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446" w:rsidRDefault="00E26446" w:rsidP="00E26446">
      <w:pPr>
        <w:pStyle w:val="Portada1"/>
      </w:pPr>
      <w:bookmarkStart w:id="0" w:name="_GoBack"/>
      <w:bookmarkEnd w:id="0"/>
      <w:r>
        <w:t>TRIBUNAL CONSTITUCIONAL</w:t>
      </w:r>
    </w:p>
    <w:p w:rsidR="0052098F" w:rsidRDefault="0052098F" w:rsidP="00E26446">
      <w:pPr>
        <w:pStyle w:val="Portada1"/>
      </w:pPr>
    </w:p>
    <w:p w:rsidR="00E26446" w:rsidRDefault="00E26446" w:rsidP="00E26446">
      <w:pPr>
        <w:pStyle w:val="Portada2"/>
      </w:pPr>
      <w:r>
        <w:t>SECRETARÍA GENERAL</w:t>
      </w:r>
    </w:p>
    <w:p w:rsidR="00E26446" w:rsidRDefault="00E26446" w:rsidP="00E26446">
      <w:pPr>
        <w:pStyle w:val="Portada2"/>
      </w:pPr>
    </w:p>
    <w:p w:rsidR="00E26446" w:rsidRDefault="00E26446" w:rsidP="00E26446">
      <w:pPr>
        <w:pStyle w:val="Portada2"/>
      </w:pPr>
    </w:p>
    <w:p w:rsidR="00E26446" w:rsidRDefault="00E26446" w:rsidP="00E26446">
      <w:pPr>
        <w:pStyle w:val="Portada2"/>
      </w:pPr>
    </w:p>
    <w:p w:rsidR="00E26446" w:rsidRDefault="00E26446" w:rsidP="00E26446">
      <w:pPr>
        <w:pStyle w:val="Portada2"/>
      </w:pPr>
    </w:p>
    <w:p w:rsidR="00E26446" w:rsidRDefault="00E26446" w:rsidP="00E26446">
      <w:pPr>
        <w:pStyle w:val="Portada2"/>
      </w:pPr>
    </w:p>
    <w:p w:rsidR="00E26446" w:rsidRDefault="00E26446" w:rsidP="00E26446">
      <w:pPr>
        <w:pStyle w:val="Portada2"/>
      </w:pPr>
    </w:p>
    <w:p w:rsidR="00E26446" w:rsidRDefault="00E26446" w:rsidP="00E26446">
      <w:pPr>
        <w:pStyle w:val="Portada2"/>
      </w:pPr>
    </w:p>
    <w:p w:rsidR="00E26446" w:rsidRDefault="00E26446" w:rsidP="00E26446">
      <w:pPr>
        <w:pStyle w:val="Portada2"/>
      </w:pPr>
    </w:p>
    <w:p w:rsidR="00E26446" w:rsidRDefault="00E26446" w:rsidP="00E26446">
      <w:pPr>
        <w:pStyle w:val="PortadaPrincipal"/>
      </w:pPr>
      <w:r>
        <w:t>JURISPRUDENCIA</w:t>
      </w:r>
    </w:p>
    <w:p w:rsidR="00E26446" w:rsidRDefault="00E26446" w:rsidP="00E26446">
      <w:pPr>
        <w:pStyle w:val="PortadaPrincipal"/>
      </w:pPr>
      <w:r>
        <w:t>CONSTITUCIONAL</w:t>
      </w:r>
    </w:p>
    <w:p w:rsidR="00E26446" w:rsidRDefault="00E26446" w:rsidP="00E26446">
      <w:pPr>
        <w:pStyle w:val="PortadaPrincipal"/>
      </w:pPr>
    </w:p>
    <w:p w:rsidR="00E26446" w:rsidRPr="00E26446" w:rsidRDefault="00E26446" w:rsidP="00E26446">
      <w:pPr>
        <w:pStyle w:val="Portada1"/>
        <w:rPr>
          <w:b/>
        </w:rPr>
      </w:pPr>
      <w:r w:rsidRPr="00E26446">
        <w:rPr>
          <w:b/>
        </w:rPr>
        <w:t>TOMO OCTOGÉSIMO</w:t>
      </w:r>
    </w:p>
    <w:p w:rsidR="00E26446" w:rsidRPr="00E26446" w:rsidRDefault="00E26446" w:rsidP="00E26446">
      <w:pPr>
        <w:pStyle w:val="Portada1"/>
        <w:rPr>
          <w:b/>
        </w:rPr>
      </w:pPr>
      <w:r w:rsidRPr="00E26446">
        <w:rPr>
          <w:b/>
        </w:rPr>
        <w:t>(enero - abril 2008)</w:t>
      </w:r>
    </w:p>
    <w:p w:rsidR="00E26446" w:rsidRDefault="00E26446" w:rsidP="00E26446">
      <w:pPr>
        <w:pStyle w:val="Portada1"/>
      </w:pPr>
    </w:p>
    <w:p w:rsidR="00E26446" w:rsidRDefault="00E26446" w:rsidP="00E26446">
      <w:pPr>
        <w:pStyle w:val="Portada1"/>
      </w:pPr>
    </w:p>
    <w:p w:rsidR="00E26446" w:rsidRDefault="00E26446" w:rsidP="00E26446">
      <w:pPr>
        <w:pStyle w:val="Portada1"/>
      </w:pPr>
    </w:p>
    <w:p w:rsidR="00E26446" w:rsidRDefault="00E26446" w:rsidP="00E26446">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E26446" w:rsidRDefault="00E26446" w:rsidP="00E26446">
      <w:pPr>
        <w:pStyle w:val="Portada1"/>
      </w:pPr>
    </w:p>
    <w:p w:rsidR="00E26446" w:rsidRDefault="00E26446" w:rsidP="00E26446">
      <w:pPr>
        <w:pStyle w:val="Portada1"/>
      </w:pPr>
    </w:p>
    <w:p w:rsidR="00E26446" w:rsidRDefault="00E26446" w:rsidP="00E26446">
      <w:pPr>
        <w:pStyle w:val="Portada1"/>
      </w:pPr>
    </w:p>
    <w:p w:rsidR="00E26446" w:rsidRDefault="00E26446" w:rsidP="00E26446">
      <w:pPr>
        <w:pStyle w:val="Portada1"/>
      </w:pPr>
    </w:p>
    <w:p w:rsidR="00E26446" w:rsidRDefault="00E26446" w:rsidP="00E26446">
      <w:pPr>
        <w:pStyle w:val="Portada1"/>
      </w:pPr>
    </w:p>
    <w:p w:rsidR="00E26446" w:rsidRDefault="00E26446" w:rsidP="00E26446">
      <w:pPr>
        <w:pStyle w:val="Portada2"/>
      </w:pPr>
      <w:r>
        <w:t>MADRID 2008</w:t>
      </w:r>
    </w:p>
    <w:p w:rsidR="009259C8" w:rsidRDefault="009259C8">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9259C8" w:rsidRDefault="009259C8" w:rsidP="009259C8">
      <w:pPr>
        <w:pStyle w:val="CabeceraApartadoDerecha"/>
      </w:pPr>
      <w:r>
        <w:lastRenderedPageBreak/>
        <w:t>CONTENIDO</w:t>
      </w:r>
    </w:p>
    <w:p w:rsidR="0052098F" w:rsidRDefault="0052098F" w:rsidP="009259C8">
      <w:pPr>
        <w:pStyle w:val="CabeceraApartadoDerecha"/>
      </w:pPr>
    </w:p>
    <w:p w:rsidR="009259C8" w:rsidRDefault="009259C8" w:rsidP="009259C8">
      <w:pPr>
        <w:pStyle w:val="EntradandiceSumario"/>
        <w:keepNext w:val="0"/>
      </w:pPr>
      <w:r>
        <w:t>1. SENTENCIAS: STC 1/2008 A STC 58/2008</w:t>
      </w:r>
      <w:r>
        <w:tab/>
      </w:r>
      <w:r>
        <w:tab/>
      </w:r>
      <w:r>
        <w:fldChar w:fldCharType="begin"/>
      </w:r>
      <w:r>
        <w:instrText xml:space="preserve"> PAGEREF SUMARIOSENTENCIAS \h </w:instrText>
      </w:r>
      <w:r>
        <w:fldChar w:fldCharType="separate"/>
      </w:r>
      <w:r w:rsidR="003D67AB">
        <w:rPr>
          <w:noProof/>
        </w:rPr>
        <w:t>3</w:t>
      </w:r>
      <w:r>
        <w:fldChar w:fldCharType="end"/>
      </w:r>
    </w:p>
    <w:p w:rsidR="009259C8" w:rsidRDefault="009259C8" w:rsidP="009259C8">
      <w:pPr>
        <w:pStyle w:val="EntradandiceSumario"/>
        <w:keepNext w:val="0"/>
      </w:pPr>
    </w:p>
    <w:p w:rsidR="009259C8" w:rsidRDefault="009259C8" w:rsidP="009259C8">
      <w:pPr>
        <w:pStyle w:val="EntradandiceSumario"/>
        <w:keepNext w:val="0"/>
      </w:pPr>
      <w:bookmarkStart w:id="1" w:name="SUMARIOSINDICES"/>
      <w:r>
        <w:t>2. AUTOS: ATC 1/2008 A ATC 118/2008</w:t>
      </w:r>
      <w:r>
        <w:tab/>
      </w:r>
      <w:r>
        <w:tab/>
      </w:r>
      <w:r>
        <w:fldChar w:fldCharType="begin"/>
      </w:r>
      <w:r>
        <w:instrText xml:space="preserve"> PAGEREF SUMARIOSAUTOS \h </w:instrText>
      </w:r>
      <w:r>
        <w:fldChar w:fldCharType="separate"/>
      </w:r>
      <w:r w:rsidR="003D67AB">
        <w:rPr>
          <w:noProof/>
        </w:rPr>
        <w:t>15</w:t>
      </w:r>
      <w:r>
        <w:fldChar w:fldCharType="end"/>
      </w:r>
    </w:p>
    <w:bookmarkEnd w:id="1"/>
    <w:p w:rsidR="009259C8" w:rsidRDefault="009259C8" w:rsidP="009259C8">
      <w:pPr>
        <w:pStyle w:val="EntradandiceSumario"/>
        <w:keepNext w:val="0"/>
      </w:pPr>
    </w:p>
    <w:p w:rsidR="009259C8" w:rsidRDefault="009259C8" w:rsidP="009259C8">
      <w:pPr>
        <w:pStyle w:val="EntradandiceSumario"/>
        <w:keepNext w:val="0"/>
      </w:pPr>
      <w:r>
        <w:t>3.</w:t>
      </w:r>
      <w:r w:rsidR="00994314">
        <w:t xml:space="preserve"> ÍNDICE DE DISPOSICIONES CON FUERZA DE LEY IMPUGNADAS</w:t>
      </w:r>
      <w:r>
        <w:t>:</w:t>
      </w:r>
    </w:p>
    <w:p w:rsidR="009259C8" w:rsidRDefault="009259C8" w:rsidP="009259C8">
      <w:pPr>
        <w:pStyle w:val="EntradandiceSumario"/>
        <w:keepNext w:val="0"/>
      </w:pPr>
    </w:p>
    <w:p w:rsidR="009259C8" w:rsidRDefault="001901E6" w:rsidP="009259C8">
      <w:pPr>
        <w:pStyle w:val="EntradandiceSumarioNivel2"/>
        <w:keepNext w:val="0"/>
      </w:pPr>
      <w:r>
        <w:t>A) Disposiciones con fuerza de ley del Estado</w:t>
      </w:r>
      <w:r w:rsidR="009259C8">
        <w:tab/>
      </w:r>
      <w:r w:rsidR="009259C8">
        <w:tab/>
      </w:r>
      <w:r w:rsidR="009259C8">
        <w:fldChar w:fldCharType="begin"/>
      </w:r>
      <w:r w:rsidR="009259C8">
        <w:instrText xml:space="preserve"> PAGEREF INDICE22802 \h </w:instrText>
      </w:r>
      <w:r w:rsidR="009259C8">
        <w:fldChar w:fldCharType="separate"/>
      </w:r>
      <w:r w:rsidR="003D67AB">
        <w:rPr>
          <w:noProof/>
        </w:rPr>
        <w:t>1335</w:t>
      </w:r>
      <w:r w:rsidR="009259C8">
        <w:fldChar w:fldCharType="end"/>
      </w:r>
    </w:p>
    <w:p w:rsidR="009259C8" w:rsidRDefault="00E1151E" w:rsidP="009259C8">
      <w:pPr>
        <w:pStyle w:val="EntradandiceSumarioNivel2"/>
        <w:keepNext w:val="0"/>
      </w:pPr>
      <w:r>
        <w:t>B) Disposiciones con fuerza de ley de las Comunidades Autónomas</w:t>
      </w:r>
      <w:r w:rsidR="009259C8">
        <w:tab/>
      </w:r>
      <w:r w:rsidR="009259C8">
        <w:tab/>
      </w:r>
      <w:r w:rsidR="009259C8">
        <w:fldChar w:fldCharType="begin"/>
      </w:r>
      <w:r w:rsidR="009259C8">
        <w:instrText xml:space="preserve"> PAGEREF INDICE22806 \h </w:instrText>
      </w:r>
      <w:r w:rsidR="009259C8">
        <w:fldChar w:fldCharType="separate"/>
      </w:r>
      <w:r w:rsidR="003D67AB">
        <w:rPr>
          <w:noProof/>
        </w:rPr>
        <w:t>1336</w:t>
      </w:r>
      <w:r w:rsidR="009259C8">
        <w:fldChar w:fldCharType="end"/>
      </w:r>
    </w:p>
    <w:p w:rsidR="009259C8" w:rsidRDefault="009259C8" w:rsidP="009259C8"/>
    <w:p w:rsidR="009259C8" w:rsidRDefault="009259C8" w:rsidP="009259C8">
      <w:pPr>
        <w:pStyle w:val="EntradandiceSumario"/>
        <w:keepNext w:val="0"/>
      </w:pPr>
      <w:r>
        <w:t>4. ÍNDICE DE DISPOSICIONES CITADAS:</w:t>
      </w:r>
    </w:p>
    <w:p w:rsidR="009259C8" w:rsidRDefault="009259C8" w:rsidP="009259C8">
      <w:pPr>
        <w:pStyle w:val="EntradandiceSumario"/>
        <w:keepNext w:val="0"/>
      </w:pPr>
    </w:p>
    <w:p w:rsidR="009259C8" w:rsidRDefault="009259C8" w:rsidP="009259C8">
      <w:pPr>
        <w:pStyle w:val="EntradandiceSumarioNivel2"/>
        <w:keepNext w:val="0"/>
      </w:pPr>
      <w:r>
        <w:t>A) Constitución</w:t>
      </w:r>
      <w:r>
        <w:tab/>
      </w:r>
      <w:r>
        <w:tab/>
      </w:r>
      <w:r>
        <w:fldChar w:fldCharType="begin"/>
      </w:r>
      <w:r>
        <w:instrText xml:space="preserve"> PAGEREF INDICE22804 \h </w:instrText>
      </w:r>
      <w:r>
        <w:fldChar w:fldCharType="separate"/>
      </w:r>
      <w:r w:rsidR="003D67AB">
        <w:rPr>
          <w:noProof/>
        </w:rPr>
        <w:t>1338</w:t>
      </w:r>
      <w:r>
        <w:fldChar w:fldCharType="end"/>
      </w:r>
    </w:p>
    <w:p w:rsidR="009259C8" w:rsidRDefault="009259C8" w:rsidP="009259C8">
      <w:pPr>
        <w:pStyle w:val="EntradandiceSumarioNivel2"/>
        <w:keepNext w:val="0"/>
      </w:pPr>
      <w:r>
        <w:t>B) Tribunal Constitucional</w:t>
      </w:r>
      <w:r>
        <w:tab/>
      </w:r>
      <w:r>
        <w:tab/>
      </w:r>
      <w:r>
        <w:fldChar w:fldCharType="begin"/>
      </w:r>
      <w:r>
        <w:instrText xml:space="preserve"> PAGEREF INDICE22843 \h </w:instrText>
      </w:r>
      <w:r>
        <w:fldChar w:fldCharType="separate"/>
      </w:r>
      <w:r w:rsidR="003D67AB">
        <w:rPr>
          <w:noProof/>
        </w:rPr>
        <w:t>1343</w:t>
      </w:r>
      <w:r>
        <w:fldChar w:fldCharType="end"/>
      </w:r>
    </w:p>
    <w:p w:rsidR="009259C8" w:rsidRDefault="009259C8" w:rsidP="009259C8">
      <w:pPr>
        <w:pStyle w:val="EntradandiceSumarioNivel2"/>
        <w:keepNext w:val="0"/>
      </w:pPr>
      <w:r>
        <w:t>D) Leyes Orgánicas</w:t>
      </w:r>
      <w:r>
        <w:tab/>
      </w:r>
      <w:r>
        <w:tab/>
      </w:r>
      <w:r>
        <w:fldChar w:fldCharType="begin"/>
      </w:r>
      <w:r>
        <w:instrText xml:space="preserve"> PAGEREF INDICE22845 \h </w:instrText>
      </w:r>
      <w:r>
        <w:fldChar w:fldCharType="separate"/>
      </w:r>
      <w:r w:rsidR="003D67AB">
        <w:rPr>
          <w:noProof/>
        </w:rPr>
        <w:t>1346</w:t>
      </w:r>
      <w:r>
        <w:fldChar w:fldCharType="end"/>
      </w:r>
    </w:p>
    <w:p w:rsidR="009259C8" w:rsidRDefault="009259C8" w:rsidP="009259C8">
      <w:pPr>
        <w:pStyle w:val="EntradandiceSumarioNivel2"/>
        <w:keepNext w:val="0"/>
      </w:pPr>
      <w:r>
        <w:t>E) Leyes de las Cortes Generales</w:t>
      </w:r>
      <w:r>
        <w:tab/>
      </w:r>
      <w:r>
        <w:tab/>
      </w:r>
      <w:r>
        <w:fldChar w:fldCharType="begin"/>
      </w:r>
      <w:r>
        <w:instrText xml:space="preserve"> PAGEREF INDICE22846 \h </w:instrText>
      </w:r>
      <w:r>
        <w:fldChar w:fldCharType="separate"/>
      </w:r>
      <w:r w:rsidR="003D67AB">
        <w:rPr>
          <w:noProof/>
        </w:rPr>
        <w:t>1350</w:t>
      </w:r>
      <w:r>
        <w:fldChar w:fldCharType="end"/>
      </w:r>
    </w:p>
    <w:p w:rsidR="009259C8" w:rsidRDefault="009259C8" w:rsidP="009259C8">
      <w:pPr>
        <w:pStyle w:val="EntradandiceSumarioNivel2"/>
        <w:keepNext w:val="0"/>
      </w:pPr>
      <w:r>
        <w:t>F) Reales Decretos Legislativos</w:t>
      </w:r>
      <w:r>
        <w:tab/>
      </w:r>
      <w:r>
        <w:tab/>
      </w:r>
      <w:r>
        <w:fldChar w:fldCharType="begin"/>
      </w:r>
      <w:r>
        <w:instrText xml:space="preserve"> PAGEREF INDICE22847 \h </w:instrText>
      </w:r>
      <w:r>
        <w:fldChar w:fldCharType="separate"/>
      </w:r>
      <w:r w:rsidR="003D67AB">
        <w:rPr>
          <w:noProof/>
        </w:rPr>
        <w:t>1355</w:t>
      </w:r>
      <w:r>
        <w:fldChar w:fldCharType="end"/>
      </w:r>
    </w:p>
    <w:p w:rsidR="009259C8" w:rsidRDefault="009259C8" w:rsidP="009259C8">
      <w:pPr>
        <w:pStyle w:val="EntradandiceSumarioNivel2"/>
        <w:keepNext w:val="0"/>
      </w:pPr>
      <w:r>
        <w:t>G) Reales Decretos-leyes</w:t>
      </w:r>
      <w:r>
        <w:tab/>
      </w:r>
      <w:r>
        <w:tab/>
      </w:r>
      <w:r>
        <w:fldChar w:fldCharType="begin"/>
      </w:r>
      <w:r>
        <w:instrText xml:space="preserve"> PAGEREF INDICE22848 \h </w:instrText>
      </w:r>
      <w:r>
        <w:fldChar w:fldCharType="separate"/>
      </w:r>
      <w:r w:rsidR="003D67AB">
        <w:rPr>
          <w:noProof/>
        </w:rPr>
        <w:t>1356</w:t>
      </w:r>
      <w:r>
        <w:fldChar w:fldCharType="end"/>
      </w:r>
    </w:p>
    <w:p w:rsidR="009259C8" w:rsidRDefault="009259C8" w:rsidP="009259C8">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3D67AB">
        <w:rPr>
          <w:noProof/>
        </w:rPr>
        <w:t>1356</w:t>
      </w:r>
      <w:r>
        <w:fldChar w:fldCharType="end"/>
      </w:r>
    </w:p>
    <w:p w:rsidR="009259C8" w:rsidRDefault="009259C8" w:rsidP="009259C8">
      <w:pPr>
        <w:pStyle w:val="EntradandiceSumarioNivel2"/>
        <w:keepNext w:val="0"/>
      </w:pPr>
      <w:r>
        <w:t>I) Legislación preconstitucional</w:t>
      </w:r>
      <w:r>
        <w:tab/>
      </w:r>
      <w:r>
        <w:tab/>
      </w:r>
      <w:r>
        <w:fldChar w:fldCharType="begin"/>
      </w:r>
      <w:r>
        <w:instrText xml:space="preserve"> PAGEREF INDICE22850 \h </w:instrText>
      </w:r>
      <w:r>
        <w:fldChar w:fldCharType="separate"/>
      </w:r>
      <w:r w:rsidR="003D67AB">
        <w:rPr>
          <w:noProof/>
        </w:rPr>
        <w:t>1358</w:t>
      </w:r>
      <w:r>
        <w:fldChar w:fldCharType="end"/>
      </w:r>
    </w:p>
    <w:p w:rsidR="009259C8" w:rsidRDefault="009259C8" w:rsidP="009259C8">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3D67AB">
        <w:rPr>
          <w:noProof/>
        </w:rPr>
        <w:t>1360</w:t>
      </w:r>
      <w:r>
        <w:fldChar w:fldCharType="end"/>
      </w:r>
    </w:p>
    <w:p w:rsidR="009259C8" w:rsidRDefault="009259C8" w:rsidP="009259C8">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3D67AB">
        <w:rPr>
          <w:noProof/>
        </w:rPr>
        <w:t>1364</w:t>
      </w:r>
      <w:r>
        <w:fldChar w:fldCharType="end"/>
      </w:r>
    </w:p>
    <w:p w:rsidR="009259C8" w:rsidRDefault="009259C8" w:rsidP="009259C8">
      <w:pPr>
        <w:pStyle w:val="EntradandiceSumarioNivel2"/>
        <w:keepNext w:val="0"/>
      </w:pPr>
      <w:r>
        <w:t>M) Unión Europea</w:t>
      </w:r>
      <w:r>
        <w:tab/>
      </w:r>
      <w:r>
        <w:tab/>
      </w:r>
      <w:r>
        <w:fldChar w:fldCharType="begin"/>
      </w:r>
      <w:r>
        <w:instrText xml:space="preserve"> PAGEREF INDICE22871 \h </w:instrText>
      </w:r>
      <w:r>
        <w:fldChar w:fldCharType="separate"/>
      </w:r>
      <w:r w:rsidR="003D67AB">
        <w:rPr>
          <w:noProof/>
        </w:rPr>
        <w:t>1365</w:t>
      </w:r>
      <w:r>
        <w:fldChar w:fldCharType="end"/>
      </w:r>
    </w:p>
    <w:p w:rsidR="009259C8" w:rsidRDefault="009259C8" w:rsidP="009259C8">
      <w:pPr>
        <w:pStyle w:val="EntradandiceSumarioNivel2"/>
        <w:keepNext w:val="0"/>
      </w:pPr>
      <w:r>
        <w:t>N) Consejo de Europa</w:t>
      </w:r>
      <w:r>
        <w:tab/>
      </w:r>
      <w:r>
        <w:tab/>
      </w:r>
      <w:r>
        <w:fldChar w:fldCharType="begin"/>
      </w:r>
      <w:r>
        <w:instrText xml:space="preserve"> PAGEREF INDICE27994 \h </w:instrText>
      </w:r>
      <w:r>
        <w:fldChar w:fldCharType="separate"/>
      </w:r>
      <w:r w:rsidR="003D67AB">
        <w:rPr>
          <w:noProof/>
        </w:rPr>
        <w:t>1366</w:t>
      </w:r>
      <w:r>
        <w:fldChar w:fldCharType="end"/>
      </w:r>
    </w:p>
    <w:p w:rsidR="009259C8" w:rsidRDefault="009259C8" w:rsidP="009259C8">
      <w:pPr>
        <w:pStyle w:val="EntradandiceSumarioNivel2"/>
        <w:keepNext w:val="0"/>
      </w:pPr>
      <w:r>
        <w:t>Ñ) Legislación extranjera</w:t>
      </w:r>
      <w:r>
        <w:tab/>
      </w:r>
      <w:r>
        <w:tab/>
      </w:r>
      <w:r>
        <w:fldChar w:fldCharType="begin"/>
      </w:r>
      <w:r>
        <w:instrText xml:space="preserve"> PAGEREF INDICE22872 \h </w:instrText>
      </w:r>
      <w:r>
        <w:fldChar w:fldCharType="separate"/>
      </w:r>
      <w:r w:rsidR="003D67AB">
        <w:rPr>
          <w:noProof/>
        </w:rPr>
        <w:t>1366</w:t>
      </w:r>
      <w:r>
        <w:fldChar w:fldCharType="end"/>
      </w:r>
    </w:p>
    <w:p w:rsidR="009259C8" w:rsidRDefault="009259C8" w:rsidP="009259C8"/>
    <w:p w:rsidR="009259C8" w:rsidRDefault="009259C8" w:rsidP="009259C8">
      <w:pPr>
        <w:pStyle w:val="EntradandiceSumario"/>
        <w:keepNext w:val="0"/>
      </w:pPr>
      <w:r>
        <w:t>5.</w:t>
      </w:r>
      <w:r w:rsidR="009E005A">
        <w:t xml:space="preserve"> ÍNDICE DE RESOLUCIONES JUDICIALES DE OTROS TRIBUNALES CITADAS</w:t>
      </w:r>
      <w:r>
        <w:t>:</w:t>
      </w:r>
    </w:p>
    <w:p w:rsidR="009259C8" w:rsidRDefault="009259C8" w:rsidP="009259C8">
      <w:pPr>
        <w:pStyle w:val="EntradandiceSumario"/>
        <w:keepNext w:val="0"/>
      </w:pPr>
    </w:p>
    <w:p w:rsidR="009259C8" w:rsidRDefault="009259C8" w:rsidP="009259C8">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3D67AB">
        <w:rPr>
          <w:noProof/>
        </w:rPr>
        <w:t>1367</w:t>
      </w:r>
      <w:r>
        <w:fldChar w:fldCharType="end"/>
      </w:r>
    </w:p>
    <w:p w:rsidR="009259C8" w:rsidRDefault="009259C8" w:rsidP="009259C8">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3D67AB">
        <w:rPr>
          <w:noProof/>
        </w:rPr>
        <w:t>1370</w:t>
      </w:r>
      <w:r>
        <w:fldChar w:fldCharType="end"/>
      </w:r>
    </w:p>
    <w:p w:rsidR="009259C8" w:rsidRDefault="009259C8" w:rsidP="009259C8">
      <w:pPr>
        <w:pStyle w:val="EntradandiceSumarioNivel2"/>
        <w:keepNext w:val="0"/>
      </w:pPr>
      <w:r>
        <w:t>C) Tribunal Supremo</w:t>
      </w:r>
      <w:r>
        <w:tab/>
      </w:r>
      <w:r>
        <w:tab/>
      </w:r>
      <w:r>
        <w:fldChar w:fldCharType="begin"/>
      </w:r>
      <w:r>
        <w:instrText xml:space="preserve"> PAGEREF INDICE22925 \h </w:instrText>
      </w:r>
      <w:r>
        <w:fldChar w:fldCharType="separate"/>
      </w:r>
      <w:r w:rsidR="003D67AB">
        <w:rPr>
          <w:noProof/>
        </w:rPr>
        <w:t>1370</w:t>
      </w:r>
      <w:r>
        <w:fldChar w:fldCharType="end"/>
      </w:r>
    </w:p>
    <w:p w:rsidR="009259C8" w:rsidRDefault="009259C8" w:rsidP="009259C8"/>
    <w:p w:rsidR="009259C8" w:rsidRDefault="009259C8" w:rsidP="009259C8">
      <w:pPr>
        <w:pStyle w:val="EntradandiceSumario"/>
        <w:keepNext w:val="0"/>
      </w:pPr>
      <w:r>
        <w:t>6. ÍNDICE ANALÍTICO</w:t>
      </w:r>
      <w:r>
        <w:tab/>
      </w:r>
      <w:r>
        <w:tab/>
      </w:r>
      <w:r>
        <w:fldChar w:fldCharType="begin"/>
      </w:r>
      <w:r>
        <w:instrText xml:space="preserve"> PAGEREF INDICE5ALFABETICO \h </w:instrText>
      </w:r>
      <w:r>
        <w:fldChar w:fldCharType="separate"/>
      </w:r>
      <w:r w:rsidR="003D67AB">
        <w:rPr>
          <w:noProof/>
        </w:rPr>
        <w:t>1372</w:t>
      </w:r>
      <w:r>
        <w:fldChar w:fldCharType="end"/>
      </w:r>
    </w:p>
    <w:p w:rsidR="009259C8" w:rsidRDefault="009259C8" w:rsidP="009259C8"/>
    <w:p w:rsidR="009259C8" w:rsidRDefault="009259C8" w:rsidP="009259C8">
      <w:pPr>
        <w:pStyle w:val="EntradandiceSumario"/>
        <w:keepNext w:val="0"/>
      </w:pPr>
      <w:r>
        <w:t>7. ABREVIATURAS Y ACRÓNIMOS</w:t>
      </w:r>
      <w:r>
        <w:tab/>
      </w:r>
      <w:r>
        <w:tab/>
      </w:r>
      <w:r>
        <w:fldChar w:fldCharType="begin"/>
      </w:r>
      <w:r>
        <w:instrText xml:space="preserve"> PAGEREF ACRONIMOS \h </w:instrText>
      </w:r>
      <w:r>
        <w:fldChar w:fldCharType="separate"/>
      </w:r>
      <w:r w:rsidR="003D67AB">
        <w:rPr>
          <w:noProof/>
        </w:rPr>
        <w:t>1394</w:t>
      </w:r>
      <w:r>
        <w:fldChar w:fldCharType="end"/>
      </w:r>
    </w:p>
    <w:p w:rsidR="009259C8" w:rsidRDefault="009259C8">
      <w:pPr>
        <w:spacing w:after="160" w:line="259" w:lineRule="auto"/>
        <w:rPr>
          <w:rFonts w:ascii="Times New Roman" w:eastAsia="Times New Roman" w:hAnsi="Times New Roman" w:cs="Times New Roman"/>
          <w:sz w:val="24"/>
          <w:szCs w:val="24"/>
          <w:lang w:eastAsia="es-ES"/>
        </w:rPr>
      </w:pPr>
      <w:r>
        <w:br w:type="page"/>
      </w:r>
    </w:p>
    <w:p w:rsidR="009259C8" w:rsidRDefault="009259C8" w:rsidP="009259C8">
      <w:pPr>
        <w:pStyle w:val="EntradandiceSumario"/>
        <w:keepNext w:val="0"/>
      </w:pPr>
    </w:p>
    <w:p w:rsidR="009259C8" w:rsidRDefault="009259C8" w:rsidP="009259C8"/>
    <w:p w:rsidR="009259C8" w:rsidRDefault="009259C8" w:rsidP="009259C8"/>
    <w:p w:rsidR="009259C8" w:rsidRDefault="009259C8" w:rsidP="009259C8">
      <w:pPr>
        <w:pStyle w:val="Ttulondice"/>
      </w:pPr>
      <w:bookmarkStart w:id="2" w:name="SUMARIOSENTENCIAS"/>
      <w:r>
        <w:t>1. SENTENCIAS: STC 1/2008 A STC 58/2008</w:t>
      </w:r>
    </w:p>
    <w:bookmarkEnd w:id="2"/>
    <w:p w:rsidR="009259C8" w:rsidRDefault="009259C8" w:rsidP="009259C8">
      <w:pPr>
        <w:pStyle w:val="Ttulondice"/>
      </w:pPr>
    </w:p>
    <w:p w:rsidR="009259C8" w:rsidRDefault="009259C8" w:rsidP="009259C8">
      <w:pPr>
        <w:pStyle w:val="Ttulondice"/>
      </w:pPr>
    </w:p>
    <w:p w:rsidR="009259C8" w:rsidRDefault="009259C8" w:rsidP="009259C8">
      <w:pPr>
        <w:pStyle w:val="Ttulondice"/>
      </w:pPr>
    </w:p>
    <w:p w:rsidR="009259C8" w:rsidRDefault="009259C8" w:rsidP="009259C8">
      <w:pPr>
        <w:pStyle w:val="Ttulondice"/>
      </w:pPr>
    </w:p>
    <w:p w:rsidR="009259C8" w:rsidRDefault="009259C8" w:rsidP="009259C8">
      <w:pPr>
        <w:pStyle w:val="Ttulondice"/>
      </w:pPr>
    </w:p>
    <w:p w:rsidR="009259C8" w:rsidRDefault="009259C8" w:rsidP="009259C8">
      <w:pPr>
        <w:pStyle w:val="Ttulondice"/>
      </w:pPr>
    </w:p>
    <w:p w:rsidR="009259C8" w:rsidRDefault="009259C8" w:rsidP="009259C8">
      <w:pPr>
        <w:pStyle w:val="EntradandiceSentencia"/>
      </w:pPr>
      <w:r>
        <w:t>Sala Segunda. Sentencia 1/2008, de 14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7475-2004. </w:t>
      </w:r>
      <w:r w:rsidRPr="009259C8">
        <w:rPr>
          <w:rStyle w:val="TextoNormalCursivaCaracter"/>
        </w:rPr>
        <w:t xml:space="preserve"> Alegada vulneración del derecho a la tutela judicial efectiva: falta de agotamiento porque se preparó recurso de casación contencioso-administrativo al mismo tiempo que el recurso de amparo.</w:t>
      </w:r>
      <w:r>
        <w:tab/>
      </w:r>
      <w:r>
        <w:tab/>
      </w:r>
      <w:r>
        <w:fldChar w:fldCharType="begin"/>
      </w:r>
      <w:r>
        <w:instrText xml:space="preserve"> PAGEREF SENTENCIA_2008_1 \h </w:instrText>
      </w:r>
      <w:r>
        <w:fldChar w:fldCharType="separate"/>
      </w:r>
      <w:r w:rsidR="003D67AB">
        <w:rPr>
          <w:noProof/>
        </w:rPr>
        <w:t>29</w:t>
      </w:r>
      <w:r>
        <w:fldChar w:fldCharType="end"/>
      </w:r>
    </w:p>
    <w:p w:rsidR="0052098F" w:rsidRDefault="0052098F" w:rsidP="009259C8"/>
    <w:p w:rsidR="009259C8" w:rsidRDefault="009259C8" w:rsidP="009259C8">
      <w:pPr>
        <w:pStyle w:val="EntradandiceSentencia"/>
      </w:pPr>
      <w:r>
        <w:t>Sala Segunda. Sentencia 2/2008, de 14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624-2005. </w:t>
      </w:r>
      <w:r w:rsidRPr="009259C8">
        <w:rPr>
          <w:rStyle w:val="TextoNormalCursivaCaracter"/>
        </w:rPr>
        <w:t xml:space="preserve"> Vulneración del derecho a la tutela judicial sin indefensión: emplazamiento edictal sin agotar los medios de comunicación efectiva con uno de los demandados, quien no actuó con negligencia.</w:t>
      </w:r>
      <w:r>
        <w:tab/>
      </w:r>
      <w:r>
        <w:tab/>
      </w:r>
      <w:r>
        <w:fldChar w:fldCharType="begin"/>
      </w:r>
      <w:r>
        <w:instrText xml:space="preserve"> PAGEREF SENTENCIA_2008_2 \h </w:instrText>
      </w:r>
      <w:r>
        <w:fldChar w:fldCharType="separate"/>
      </w:r>
      <w:r w:rsidR="003D67AB">
        <w:rPr>
          <w:noProof/>
        </w:rPr>
        <w:t>37</w:t>
      </w:r>
      <w:r>
        <w:fldChar w:fldCharType="end"/>
      </w:r>
    </w:p>
    <w:p w:rsidR="009259C8" w:rsidRDefault="009259C8" w:rsidP="009259C8"/>
    <w:p w:rsidR="009259C8" w:rsidRDefault="009259C8" w:rsidP="009259C8">
      <w:pPr>
        <w:pStyle w:val="EntradandiceSentencia"/>
      </w:pPr>
      <w:r>
        <w:t>Sala Primera. Sentencia 3/2008, de 21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158-2004. </w:t>
      </w:r>
      <w:r w:rsidRPr="009259C8">
        <w:rPr>
          <w:rStyle w:val="TextoNormalCursivaCaracter"/>
        </w:rPr>
        <w:t xml:space="preserve"> Vulneración del derecho a la tutela judicial efectiva (acceso a la justicia): acto administrativo declarado firme y consentido por no haber impugnado judicialmente en su día una denegación presunta de la solicitud inicial (SSTC 6/1986 y 39/2006).</w:t>
      </w:r>
      <w:r>
        <w:tab/>
      </w:r>
      <w:r>
        <w:tab/>
      </w:r>
      <w:r>
        <w:fldChar w:fldCharType="begin"/>
      </w:r>
      <w:r>
        <w:instrText xml:space="preserve"> PAGEREF SENTENCIA_2008_3 \h </w:instrText>
      </w:r>
      <w:r>
        <w:fldChar w:fldCharType="separate"/>
      </w:r>
      <w:r w:rsidR="003D67AB">
        <w:rPr>
          <w:noProof/>
        </w:rPr>
        <w:t>45</w:t>
      </w:r>
      <w:r>
        <w:fldChar w:fldCharType="end"/>
      </w:r>
    </w:p>
    <w:p w:rsidR="009259C8" w:rsidRDefault="009259C8" w:rsidP="009259C8"/>
    <w:p w:rsidR="009259C8" w:rsidRDefault="009259C8" w:rsidP="009259C8">
      <w:pPr>
        <w:pStyle w:val="EntradandiceSentencia"/>
      </w:pPr>
      <w:r>
        <w:t>Sala Primera. Sentencia 4/2008, de 21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6639-2004. </w:t>
      </w:r>
      <w:r w:rsidRPr="009259C8">
        <w:rPr>
          <w:rStyle w:val="TextoNormalCursivaCaracter"/>
        </w:rPr>
        <w:t xml:space="preserve"> Vulneración del derecho a la tutela judicial efectiva: denegación de medida cautelar de anotación preventiva de demanda civil por error patente sobre el ofrecimiento de la caución.</w:t>
      </w:r>
      <w:r>
        <w:tab/>
      </w:r>
      <w:r>
        <w:tab/>
      </w:r>
      <w:r>
        <w:fldChar w:fldCharType="begin"/>
      </w:r>
      <w:r>
        <w:instrText xml:space="preserve"> PAGEREF SENTENCIA_2008_4 \h </w:instrText>
      </w:r>
      <w:r>
        <w:fldChar w:fldCharType="separate"/>
      </w:r>
      <w:r w:rsidR="003D67AB">
        <w:rPr>
          <w:noProof/>
        </w:rPr>
        <w:t>51</w:t>
      </w:r>
      <w:r>
        <w:fldChar w:fldCharType="end"/>
      </w:r>
    </w:p>
    <w:p w:rsidR="009259C8" w:rsidRDefault="009259C8" w:rsidP="009259C8"/>
    <w:p w:rsidR="009259C8" w:rsidRDefault="009259C8" w:rsidP="009259C8">
      <w:pPr>
        <w:pStyle w:val="EntradandiceSentencia"/>
      </w:pPr>
      <w:r>
        <w:lastRenderedPageBreak/>
        <w:t>Sala Primera. Sentencia 5/2008, de 21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1314-2005. </w:t>
      </w:r>
      <w:r w:rsidRPr="009259C8">
        <w:rPr>
          <w:rStyle w:val="TextoNormalCursivaCaracter"/>
        </w:rPr>
        <w:t xml:space="preserve"> Supuesta vulneración del derecho de defensa en el procedimiento administrativo sancionador y vulneración del derecho a la tutela judicial efectiva: recurso de amparo mixto; solicitud de asistencia letrada atendida; resoluciones judiciales estereotipadas.</w:t>
      </w:r>
      <w:r>
        <w:tab/>
      </w:r>
      <w:r>
        <w:tab/>
      </w:r>
      <w:r>
        <w:fldChar w:fldCharType="begin"/>
      </w:r>
      <w:r>
        <w:instrText xml:space="preserve"> PAGEREF SENTENCIA_2008_5 \h </w:instrText>
      </w:r>
      <w:r>
        <w:fldChar w:fldCharType="separate"/>
      </w:r>
      <w:r w:rsidR="003D67AB">
        <w:rPr>
          <w:noProof/>
        </w:rPr>
        <w:t>57</w:t>
      </w:r>
      <w:r>
        <w:fldChar w:fldCharType="end"/>
      </w:r>
    </w:p>
    <w:p w:rsidR="009259C8" w:rsidRDefault="009259C8" w:rsidP="009259C8"/>
    <w:p w:rsidR="009259C8" w:rsidRDefault="009259C8" w:rsidP="009259C8">
      <w:pPr>
        <w:pStyle w:val="EntradandiceSentencia"/>
      </w:pPr>
      <w:r>
        <w:t>Sala Segunda. Sentencia 6/2008, de 21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1373-2005. </w:t>
      </w:r>
      <w:r w:rsidRPr="009259C8">
        <w:rPr>
          <w:rStyle w:val="TextoNormalCursivaCaracter"/>
        </w:rPr>
        <w:t xml:space="preserve"> Vulneración del derecho a la tutela judicial sin indefensión: falta de comunicación de procedimiento de ejecución hipotecaria a tercero, acreedor hipotecario del bien inmueble, porque solo constaba en el Registro de la Propiedad el asiento de presentación de su derecho.</w:t>
      </w:r>
      <w:r>
        <w:tab/>
      </w:r>
      <w:r>
        <w:tab/>
      </w:r>
      <w:r>
        <w:fldChar w:fldCharType="begin"/>
      </w:r>
      <w:r>
        <w:instrText xml:space="preserve"> PAGEREF SENTENCIA_2008_6 \h </w:instrText>
      </w:r>
      <w:r>
        <w:fldChar w:fldCharType="separate"/>
      </w:r>
      <w:r w:rsidR="003D67AB">
        <w:rPr>
          <w:noProof/>
        </w:rPr>
        <w:t>68</w:t>
      </w:r>
      <w:r>
        <w:fldChar w:fldCharType="end"/>
      </w:r>
    </w:p>
    <w:p w:rsidR="009259C8" w:rsidRDefault="009259C8" w:rsidP="009259C8"/>
    <w:p w:rsidR="009259C8" w:rsidRDefault="009259C8" w:rsidP="009259C8">
      <w:pPr>
        <w:pStyle w:val="EntradandiceSentencia"/>
      </w:pPr>
      <w:r>
        <w:t>Sala Primera. Sentencia 7/2008, de 21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1923-2005. </w:t>
      </w:r>
      <w:r w:rsidRPr="009259C8">
        <w:rPr>
          <w:rStyle w:val="TextoNormalCursivaCaracter"/>
        </w:rPr>
        <w:t xml:space="preserve"> Supuesta vulneración del derecho a la tutela judicial efectiva (acceso a la justicia penal): sobreseimiento de causa penal tras denegar la justicia gratuita por insostenible y ofrecer la posibilidad de proseguirla con abogado y procurador de libre designación (STC 12/1998).</w:t>
      </w:r>
      <w:r>
        <w:tab/>
      </w:r>
      <w:r>
        <w:tab/>
      </w:r>
      <w:r>
        <w:fldChar w:fldCharType="begin"/>
      </w:r>
      <w:r>
        <w:instrText xml:space="preserve"> PAGEREF SENTENCIA_2008_7 \h </w:instrText>
      </w:r>
      <w:r>
        <w:fldChar w:fldCharType="separate"/>
      </w:r>
      <w:r w:rsidR="003D67AB">
        <w:rPr>
          <w:noProof/>
        </w:rPr>
        <w:t>82</w:t>
      </w:r>
      <w:r>
        <w:fldChar w:fldCharType="end"/>
      </w:r>
    </w:p>
    <w:p w:rsidR="009259C8" w:rsidRDefault="009259C8" w:rsidP="009259C8"/>
    <w:p w:rsidR="009259C8" w:rsidRDefault="009259C8" w:rsidP="009259C8">
      <w:pPr>
        <w:pStyle w:val="EntradandiceSentencia"/>
      </w:pPr>
      <w:r>
        <w:t>Sala Segunda. Sentencia 8/2008, de 21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4029-2005. </w:t>
      </w:r>
      <w:r w:rsidRPr="009259C8">
        <w:rPr>
          <w:rStyle w:val="TextoNormalCursivaCaracter"/>
        </w:rPr>
        <w:t xml:space="preserve"> Vulneración del derecho a la tutela judicial efectiva (acceso a la justicia penal): derechos fundamentales de los entes públicos; denegación del ejercicio de la acción popular en materia de violencia de género a una Administración pública mediante resolución que inaplica una ley autonómica (STC 311/2006). Voto particular.</w:t>
      </w:r>
      <w:r>
        <w:tab/>
      </w:r>
      <w:r>
        <w:tab/>
      </w:r>
      <w:r>
        <w:fldChar w:fldCharType="begin"/>
      </w:r>
      <w:r>
        <w:instrText xml:space="preserve"> PAGEREF SENTENCIA_2008_8 \h </w:instrText>
      </w:r>
      <w:r>
        <w:fldChar w:fldCharType="separate"/>
      </w:r>
      <w:r w:rsidR="003D67AB">
        <w:rPr>
          <w:noProof/>
        </w:rPr>
        <w:t>92</w:t>
      </w:r>
      <w:r>
        <w:fldChar w:fldCharType="end"/>
      </w:r>
    </w:p>
    <w:p w:rsidR="009259C8" w:rsidRDefault="009259C8" w:rsidP="009259C8"/>
    <w:p w:rsidR="009259C8" w:rsidRDefault="009259C8" w:rsidP="009259C8">
      <w:pPr>
        <w:pStyle w:val="EntradandiceSentencia"/>
      </w:pPr>
      <w:r>
        <w:t>Sala Primera. Sentencia 9/2008, de 21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4375-2005. </w:t>
      </w:r>
      <w:r w:rsidRPr="009259C8">
        <w:rPr>
          <w:rStyle w:val="TextoNormalCursivaCaracter"/>
        </w:rPr>
        <w:t xml:space="preserve"> Vulneración de los derechos a la tutela judicial efectiva (acceso a la justicia penal) y a la asistencia letrada: denegación de la justicia gratuita, con nombramiento de abogado y procurador de oficio, al denunciante de un delito para personarse en causa penal como acusación particular.</w:t>
      </w:r>
      <w:r>
        <w:tab/>
      </w:r>
      <w:r>
        <w:tab/>
      </w:r>
      <w:r>
        <w:fldChar w:fldCharType="begin"/>
      </w:r>
      <w:r>
        <w:instrText xml:space="preserve"> PAGEREF SENTENCIA_2008_9 \h </w:instrText>
      </w:r>
      <w:r>
        <w:fldChar w:fldCharType="separate"/>
      </w:r>
      <w:r w:rsidR="003D67AB">
        <w:rPr>
          <w:noProof/>
        </w:rPr>
        <w:t>100</w:t>
      </w:r>
      <w:r>
        <w:fldChar w:fldCharType="end"/>
      </w:r>
    </w:p>
    <w:p w:rsidR="009259C8" w:rsidRDefault="009259C8" w:rsidP="009259C8"/>
    <w:p w:rsidR="009259C8" w:rsidRDefault="009259C8" w:rsidP="009259C8">
      <w:pPr>
        <w:pStyle w:val="EntradandiceSentencia"/>
      </w:pPr>
      <w:r>
        <w:lastRenderedPageBreak/>
        <w:t>Sala Primera. Sentencia 10/2008, de 21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8141-2005. </w:t>
      </w:r>
      <w:r w:rsidRPr="009259C8">
        <w:rPr>
          <w:rStyle w:val="TextoNormalCursivaCaracter"/>
        </w:rPr>
        <w:t xml:space="preserve"> Vulneración del derecho a la tutela judicial efectiva (acceso al proceso): denegación de la justicia gratuita, con nombramiento de abogado y procurador de oficio, en litigio civil porque no se volvieron a aportar documentos que se encontraban en poder de la Administración, al haberlos presentado en el colegio de abogados con una solicitud anterior.</w:t>
      </w:r>
      <w:r>
        <w:tab/>
      </w:r>
      <w:r>
        <w:tab/>
      </w:r>
      <w:r>
        <w:fldChar w:fldCharType="begin"/>
      </w:r>
      <w:r>
        <w:instrText xml:space="preserve"> PAGEREF SENTENCIA_2008_10 \h </w:instrText>
      </w:r>
      <w:r>
        <w:fldChar w:fldCharType="separate"/>
      </w:r>
      <w:r w:rsidR="003D67AB">
        <w:rPr>
          <w:noProof/>
        </w:rPr>
        <w:t>110</w:t>
      </w:r>
      <w:r>
        <w:fldChar w:fldCharType="end"/>
      </w:r>
    </w:p>
    <w:p w:rsidR="009259C8" w:rsidRDefault="009259C8" w:rsidP="009259C8"/>
    <w:p w:rsidR="009259C8" w:rsidRDefault="009259C8" w:rsidP="009259C8">
      <w:pPr>
        <w:pStyle w:val="EntradandiceSentencia"/>
      </w:pPr>
      <w:r>
        <w:t>Sala Segunda. Sentencia 11/2008, de 21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1140-2006. </w:t>
      </w:r>
      <w:r w:rsidRPr="009259C8">
        <w:rPr>
          <w:rStyle w:val="TextoNormalCursivaCaracter"/>
        </w:rPr>
        <w:t xml:space="preserve"> Supuesta vulneración del derecho a la tutela judicial efectiva (ejecución): derechos fundamentales de los entes públicos; indemnización sustitutoria de la entrega de hijos biológicos, cuya cuantía no se desvía del fallo que había anulado la declaración de desamparo.</w:t>
      </w:r>
      <w:r>
        <w:tab/>
      </w:r>
      <w:r>
        <w:tab/>
      </w:r>
      <w:r>
        <w:fldChar w:fldCharType="begin"/>
      </w:r>
      <w:r>
        <w:instrText xml:space="preserve"> PAGEREF SENTENCIA_2008_11 \h </w:instrText>
      </w:r>
      <w:r>
        <w:fldChar w:fldCharType="separate"/>
      </w:r>
      <w:r w:rsidR="003D67AB">
        <w:rPr>
          <w:noProof/>
        </w:rPr>
        <w:t>118</w:t>
      </w:r>
      <w:r>
        <w:fldChar w:fldCharType="end"/>
      </w:r>
    </w:p>
    <w:p w:rsidR="009259C8" w:rsidRDefault="009259C8" w:rsidP="009259C8"/>
    <w:p w:rsidR="009259C8" w:rsidRDefault="009259C8" w:rsidP="009259C8">
      <w:pPr>
        <w:pStyle w:val="EntradandiceSentencia"/>
      </w:pPr>
      <w:r>
        <w:t>Pleno. Sentencia 12/2008, de 29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Cuestión de inconstitucionalidad 4069-2007 y recurso de inconstitucionalidad 5653-2007 (acumulados). </w:t>
      </w:r>
      <w:r w:rsidRPr="009259C8">
        <w:rPr>
          <w:rStyle w:val="TextoNormalCursivaCaracter"/>
        </w:rPr>
        <w:t xml:space="preserve"> Supuesta vulneración de los derechos a la igualdad en la ley, a la participación en los asuntos públicos y de asociación en partidos políticos, a la libertad ideológica y de expresión y al principio de unidad del cuerpo electoral: candidaturas electorales equilibradas por sexos. Voto particular.</w:t>
      </w:r>
      <w:r>
        <w:tab/>
      </w:r>
      <w:r>
        <w:tab/>
      </w:r>
      <w:r>
        <w:fldChar w:fldCharType="begin"/>
      </w:r>
      <w:r>
        <w:instrText xml:space="preserve"> PAGEREF SENTENCIA_2008_12 \h </w:instrText>
      </w:r>
      <w:r>
        <w:fldChar w:fldCharType="separate"/>
      </w:r>
      <w:r w:rsidR="003D67AB">
        <w:rPr>
          <w:noProof/>
        </w:rPr>
        <w:t>137</w:t>
      </w:r>
      <w:r>
        <w:fldChar w:fldCharType="end"/>
      </w:r>
    </w:p>
    <w:p w:rsidR="009259C8" w:rsidRDefault="009259C8" w:rsidP="009259C8"/>
    <w:p w:rsidR="009259C8" w:rsidRDefault="009259C8" w:rsidP="009259C8">
      <w:pPr>
        <w:pStyle w:val="EntradandiceSentencia"/>
      </w:pPr>
      <w:r>
        <w:t>Sala Primera. Sentencia 13/2008,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5213-2004. </w:t>
      </w:r>
      <w:r w:rsidRPr="009259C8">
        <w:rPr>
          <w:rStyle w:val="TextoNormalCursivaCaracter"/>
        </w:rPr>
        <w:t xml:space="preserve"> Alegada y supuesta vulneración de los derechos a la tutela judicial efectiva y a la igualdad en la aplicación de la ley: inadmisión de recurso de revisión civil, porque los documentos aportados estaban a disposición del público con anterioridad, que aplica razonadamente una norma legal; falta de aportación de las resoluciones de contraste.</w:t>
      </w:r>
      <w:r>
        <w:tab/>
      </w:r>
      <w:r>
        <w:tab/>
      </w:r>
      <w:r>
        <w:fldChar w:fldCharType="begin"/>
      </w:r>
      <w:r>
        <w:instrText xml:space="preserve"> PAGEREF SENTENCIA_2008_13 \h </w:instrText>
      </w:r>
      <w:r>
        <w:fldChar w:fldCharType="separate"/>
      </w:r>
      <w:r w:rsidR="003D67AB">
        <w:rPr>
          <w:noProof/>
        </w:rPr>
        <w:t>177</w:t>
      </w:r>
      <w:r>
        <w:fldChar w:fldCharType="end"/>
      </w:r>
    </w:p>
    <w:p w:rsidR="009259C8" w:rsidRDefault="009259C8" w:rsidP="009259C8"/>
    <w:p w:rsidR="009259C8" w:rsidRDefault="009259C8" w:rsidP="009259C8">
      <w:pPr>
        <w:pStyle w:val="EntradandiceSentencia"/>
      </w:pPr>
      <w:r>
        <w:t>Sala Segunda. Sentencia 14/2008,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6715-2004. </w:t>
      </w:r>
      <w:r w:rsidRPr="009259C8">
        <w:rPr>
          <w:rStyle w:val="TextoNormalCursivaCaracter"/>
        </w:rPr>
        <w:t xml:space="preserve"> Supuesta vulneración del derecho a la tutela judicial efectiva (acceso a la justicia): incidente de nulidad de actuaciones; inadmisión de recurso contencioso-administrativo por no acreditar el poder de representación procesal y no subsanarlo a pesar de haberlo puesto de manifiesto la contraparte (STC 159/1995).</w:t>
      </w:r>
      <w:r>
        <w:tab/>
      </w:r>
      <w:r>
        <w:tab/>
      </w:r>
      <w:r>
        <w:fldChar w:fldCharType="begin"/>
      </w:r>
      <w:r>
        <w:instrText xml:space="preserve"> PAGEREF SENTENCIA_2008_14 \h </w:instrText>
      </w:r>
      <w:r>
        <w:fldChar w:fldCharType="separate"/>
      </w:r>
      <w:r w:rsidR="003D67AB">
        <w:rPr>
          <w:noProof/>
        </w:rPr>
        <w:t>186</w:t>
      </w:r>
      <w:r>
        <w:fldChar w:fldCharType="end"/>
      </w:r>
    </w:p>
    <w:p w:rsidR="009259C8" w:rsidRDefault="009259C8" w:rsidP="009259C8"/>
    <w:p w:rsidR="009259C8" w:rsidRDefault="009259C8" w:rsidP="009259C8">
      <w:pPr>
        <w:pStyle w:val="EntradandiceSentencia"/>
      </w:pPr>
      <w:r>
        <w:lastRenderedPageBreak/>
        <w:t>Sala Primera. Sentencia 15/2008,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6902-2004. </w:t>
      </w:r>
      <w:r w:rsidRPr="009259C8">
        <w:rPr>
          <w:rStyle w:val="TextoNormalCursivaCaracter"/>
        </w:rPr>
        <w:t xml:space="preserve"> Supuesta vulneración del derecho a la tutela judicial efectiva (ejecución): liquidación de frutos y rentas de unos locales comerciales, no compensados por otros gastos, que no se desvía del fallo ejecutado.</w:t>
      </w:r>
      <w:r>
        <w:tab/>
      </w:r>
      <w:r>
        <w:tab/>
      </w:r>
      <w:r>
        <w:fldChar w:fldCharType="begin"/>
      </w:r>
      <w:r>
        <w:instrText xml:space="preserve"> PAGEREF SENTENCIA_2008_15 \h </w:instrText>
      </w:r>
      <w:r>
        <w:fldChar w:fldCharType="separate"/>
      </w:r>
      <w:r w:rsidR="003D67AB">
        <w:rPr>
          <w:noProof/>
        </w:rPr>
        <w:t>193</w:t>
      </w:r>
      <w:r>
        <w:fldChar w:fldCharType="end"/>
      </w:r>
    </w:p>
    <w:p w:rsidR="009259C8" w:rsidRDefault="009259C8" w:rsidP="009259C8"/>
    <w:p w:rsidR="009259C8" w:rsidRDefault="009259C8" w:rsidP="009259C8">
      <w:pPr>
        <w:pStyle w:val="EntradandiceSentencia"/>
      </w:pPr>
      <w:r>
        <w:t>Sala Segunda. Sentencia 16/2008,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2140-2005. </w:t>
      </w:r>
      <w:r w:rsidRPr="009259C8">
        <w:rPr>
          <w:rStyle w:val="TextoNormalCursivaCaracter"/>
        </w:rPr>
        <w:t xml:space="preserve"> Vulneración del derecho a la tutela judicial efectiva: sentencia contencioso-administrativa sobre sanción que no toma en cuenta una previa sentencia social que, sobre los mismos hechos, absolvió a la empresa de un recargo en las cuotas de la seguridad social por falta de medidas de seguridad (STC 158/1985).</w:t>
      </w:r>
      <w:r>
        <w:tab/>
      </w:r>
      <w:r>
        <w:tab/>
      </w:r>
      <w:r>
        <w:fldChar w:fldCharType="begin"/>
      </w:r>
      <w:r>
        <w:instrText xml:space="preserve"> PAGEREF SENTENCIA_2008_16 \h </w:instrText>
      </w:r>
      <w:r>
        <w:fldChar w:fldCharType="separate"/>
      </w:r>
      <w:r w:rsidR="003D67AB">
        <w:rPr>
          <w:noProof/>
        </w:rPr>
        <w:t>202</w:t>
      </w:r>
      <w:r>
        <w:fldChar w:fldCharType="end"/>
      </w:r>
    </w:p>
    <w:p w:rsidR="009259C8" w:rsidRDefault="009259C8" w:rsidP="009259C8"/>
    <w:p w:rsidR="009259C8" w:rsidRDefault="009259C8" w:rsidP="009259C8">
      <w:pPr>
        <w:pStyle w:val="EntradandiceSentencia"/>
      </w:pPr>
      <w:r>
        <w:t>Sala Primera. Sentencia 17/2008,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3323-2005. </w:t>
      </w:r>
      <w:r w:rsidRPr="009259C8">
        <w:rPr>
          <w:rStyle w:val="TextoNormalCursivaCaracter"/>
        </w:rPr>
        <w:t xml:space="preserve"> Vulneración del derecho a la tutela judicial efectiva: inadmisión de demanda civil por apreciar la cosa juzgada de una absolución penal sin causa legal, porque la sentencia penal había dejado imprejuzgada la acción civil (STC 15/2002).</w:t>
      </w:r>
      <w:r>
        <w:tab/>
      </w:r>
      <w:r>
        <w:tab/>
      </w:r>
      <w:r>
        <w:fldChar w:fldCharType="begin"/>
      </w:r>
      <w:r>
        <w:instrText xml:space="preserve"> PAGEREF SENTENCIA_2008_17 \h </w:instrText>
      </w:r>
      <w:r>
        <w:fldChar w:fldCharType="separate"/>
      </w:r>
      <w:r w:rsidR="003D67AB">
        <w:rPr>
          <w:noProof/>
        </w:rPr>
        <w:t>213</w:t>
      </w:r>
      <w:r>
        <w:fldChar w:fldCharType="end"/>
      </w:r>
    </w:p>
    <w:p w:rsidR="009259C8" w:rsidRDefault="009259C8" w:rsidP="009259C8"/>
    <w:p w:rsidR="009259C8" w:rsidRDefault="009259C8" w:rsidP="009259C8">
      <w:pPr>
        <w:pStyle w:val="EntradandiceSentencia"/>
      </w:pPr>
      <w:r>
        <w:t>Sala Primera. Sentencia 18/2008,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4028-2005. </w:t>
      </w:r>
      <w:r w:rsidRPr="009259C8">
        <w:rPr>
          <w:rStyle w:val="TextoNormalCursivaCaracter"/>
        </w:rPr>
        <w:t xml:space="preserve"> Vulneración del derecho a la tutela judicial efectiva (acceso a la justicia penal): STC 8/2008.</w:t>
      </w:r>
      <w:r>
        <w:tab/>
      </w:r>
      <w:r>
        <w:tab/>
      </w:r>
      <w:r>
        <w:fldChar w:fldCharType="begin"/>
      </w:r>
      <w:r>
        <w:instrText xml:space="preserve"> PAGEREF SENTENCIA_2008_18 \h </w:instrText>
      </w:r>
      <w:r>
        <w:fldChar w:fldCharType="separate"/>
      </w:r>
      <w:r w:rsidR="003D67AB">
        <w:rPr>
          <w:noProof/>
        </w:rPr>
        <w:t>225</w:t>
      </w:r>
      <w:r>
        <w:fldChar w:fldCharType="end"/>
      </w:r>
    </w:p>
    <w:p w:rsidR="009259C8" w:rsidRDefault="009259C8" w:rsidP="009259C8"/>
    <w:p w:rsidR="009259C8" w:rsidRDefault="009259C8" w:rsidP="009259C8">
      <w:pPr>
        <w:pStyle w:val="EntradandiceSentencia"/>
      </w:pPr>
      <w:r>
        <w:t>Sala Primera. Sentencia 19/2008,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1364-2006. </w:t>
      </w:r>
      <w:r w:rsidRPr="009259C8">
        <w:rPr>
          <w:rStyle w:val="TextoNormalCursivaCaracter"/>
        </w:rPr>
        <w:t xml:space="preserve"> Alegada vulneración del derecho a la tutela judicial efectiva (motivación): derechos fundamentales de los entes públicos; falta de legitimación activa y agotamiento de los recursos en vía judicial.</w:t>
      </w:r>
      <w:r>
        <w:tab/>
      </w:r>
      <w:r>
        <w:tab/>
      </w:r>
      <w:r>
        <w:fldChar w:fldCharType="begin"/>
      </w:r>
      <w:r>
        <w:instrText xml:space="preserve"> PAGEREF SENTENCIA_2008_19 \h </w:instrText>
      </w:r>
      <w:r>
        <w:fldChar w:fldCharType="separate"/>
      </w:r>
      <w:r w:rsidR="003D67AB">
        <w:rPr>
          <w:noProof/>
        </w:rPr>
        <w:t>229</w:t>
      </w:r>
      <w:r>
        <w:fldChar w:fldCharType="end"/>
      </w:r>
    </w:p>
    <w:p w:rsidR="009259C8" w:rsidRDefault="009259C8" w:rsidP="009259C8"/>
    <w:p w:rsidR="009259C8" w:rsidRDefault="009259C8" w:rsidP="009259C8">
      <w:pPr>
        <w:pStyle w:val="EntradandiceSentencia"/>
      </w:pPr>
      <w:r>
        <w:t>Sala Segunda. Sentencia 20/2008,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5590-2006. </w:t>
      </w:r>
      <w:r w:rsidRPr="009259C8">
        <w:rPr>
          <w:rStyle w:val="TextoNormalCursivaCaracter"/>
        </w:rPr>
        <w:t xml:space="preserve"> Alegada vulneración del derecho al ejercicio del cargo parlamentario: recurso de amparo defectuoso por extemporáneo y por no haber agotado los recursos en vía parlamentaria.</w:t>
      </w:r>
      <w:r>
        <w:tab/>
      </w:r>
      <w:r>
        <w:tab/>
      </w:r>
      <w:r>
        <w:fldChar w:fldCharType="begin"/>
      </w:r>
      <w:r>
        <w:instrText xml:space="preserve"> PAGEREF SENTENCIA_2008_20 \h </w:instrText>
      </w:r>
      <w:r>
        <w:fldChar w:fldCharType="separate"/>
      </w:r>
      <w:r w:rsidR="003D67AB">
        <w:rPr>
          <w:noProof/>
        </w:rPr>
        <w:t>241</w:t>
      </w:r>
      <w:r>
        <w:fldChar w:fldCharType="end"/>
      </w:r>
    </w:p>
    <w:p w:rsidR="009259C8" w:rsidRDefault="009259C8" w:rsidP="009259C8"/>
    <w:p w:rsidR="009259C8" w:rsidRDefault="009259C8" w:rsidP="009259C8">
      <w:pPr>
        <w:pStyle w:val="EntradandiceSentencia"/>
      </w:pPr>
      <w:r>
        <w:lastRenderedPageBreak/>
        <w:t>Sala Primera. Sentencia 21/2008,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7598-2006. </w:t>
      </w:r>
      <w:r w:rsidRPr="009259C8">
        <w:rPr>
          <w:rStyle w:val="TextoNormalCursivaCaracter"/>
        </w:rPr>
        <w:t xml:space="preserve"> Vulneración del derecho a la tutela judicial efectiva: mantenimiento de la pena de prisión de un condenado cuyo recurso de casación ha sido estimado parcialmente, revocando uno de los delitos que sustentaban la pena, sin motivación.</w:t>
      </w:r>
      <w:r>
        <w:tab/>
      </w:r>
      <w:r>
        <w:tab/>
      </w:r>
      <w:r>
        <w:fldChar w:fldCharType="begin"/>
      </w:r>
      <w:r>
        <w:instrText xml:space="preserve"> PAGEREF SENTENCIA_2008_21 \h </w:instrText>
      </w:r>
      <w:r>
        <w:fldChar w:fldCharType="separate"/>
      </w:r>
      <w:r w:rsidR="003D67AB">
        <w:rPr>
          <w:noProof/>
        </w:rPr>
        <w:t>258</w:t>
      </w:r>
      <w:r>
        <w:fldChar w:fldCharType="end"/>
      </w:r>
    </w:p>
    <w:p w:rsidR="009259C8" w:rsidRDefault="009259C8" w:rsidP="009259C8"/>
    <w:p w:rsidR="009259C8" w:rsidRDefault="009259C8" w:rsidP="009259C8">
      <w:pPr>
        <w:pStyle w:val="EntradandiceSentencia"/>
      </w:pPr>
      <w:r>
        <w:t>Sala Segunda. Sentencia 22/2008, de 31 de enero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10216-2006. </w:t>
      </w:r>
      <w:r w:rsidRPr="009259C8">
        <w:rPr>
          <w:rStyle w:val="TextoNormalCursivaCaracter"/>
        </w:rPr>
        <w:t xml:space="preserve"> Supuesta vulneración de los derechos a la tutela judicial efectiva, a la prueba y a la integridad moral: denegación de prueba impertinente en proceso de ejecución provisional; resolución sobre guarda de menor sin oírle personalmente (STC 221/2002); ausencia de riesgo evidente para la menor (STC 71/2004).</w:t>
      </w:r>
      <w:r>
        <w:tab/>
      </w:r>
      <w:r>
        <w:tab/>
      </w:r>
      <w:r>
        <w:fldChar w:fldCharType="begin"/>
      </w:r>
      <w:r>
        <w:instrText xml:space="preserve"> PAGEREF SENTENCIA_2008_22 \h </w:instrText>
      </w:r>
      <w:r>
        <w:fldChar w:fldCharType="separate"/>
      </w:r>
      <w:r w:rsidR="003D67AB">
        <w:rPr>
          <w:noProof/>
        </w:rPr>
        <w:t>268</w:t>
      </w:r>
      <w:r>
        <w:fldChar w:fldCharType="end"/>
      </w:r>
    </w:p>
    <w:p w:rsidR="009259C8" w:rsidRDefault="009259C8" w:rsidP="009259C8"/>
    <w:p w:rsidR="009259C8" w:rsidRDefault="009259C8" w:rsidP="009259C8">
      <w:pPr>
        <w:pStyle w:val="EntradandiceSentencia"/>
      </w:pPr>
      <w:r>
        <w:t>Sala Primera. Sentencia 23/2008, de 11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805-2003. </w:t>
      </w:r>
      <w:r w:rsidRPr="009259C8">
        <w:rPr>
          <w:rStyle w:val="TextoNormalCursivaCaracter"/>
        </w:rPr>
        <w:t xml:space="preserve"> Supuesta vulneración del derecho a la tutela judicial efectiva y a un proceso con garantías: sentencia que casa por tercera vez un fallo absolutorio por quebrantamiento de forma y ordena repetir el juicio oral que no incurre en bis in idem procesal y pondera los derechos del acusado absuelto y el derecho a la tutela judicial efectiva de la acusación.</w:t>
      </w:r>
      <w:r>
        <w:tab/>
      </w:r>
      <w:r>
        <w:tab/>
      </w:r>
      <w:r>
        <w:fldChar w:fldCharType="begin"/>
      </w:r>
      <w:r>
        <w:instrText xml:space="preserve"> PAGEREF SENTENCIA_2008_23 \h </w:instrText>
      </w:r>
      <w:r>
        <w:fldChar w:fldCharType="separate"/>
      </w:r>
      <w:r w:rsidR="003D67AB">
        <w:rPr>
          <w:noProof/>
        </w:rPr>
        <w:t>286</w:t>
      </w:r>
      <w:r>
        <w:fldChar w:fldCharType="end"/>
      </w:r>
    </w:p>
    <w:p w:rsidR="009259C8" w:rsidRDefault="009259C8" w:rsidP="009259C8"/>
    <w:p w:rsidR="009259C8" w:rsidRDefault="009259C8" w:rsidP="009259C8">
      <w:pPr>
        <w:pStyle w:val="EntradandiceSentencia"/>
      </w:pPr>
      <w:r>
        <w:t>Sala Primera. Sentencia 24/2008, de 11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2477-2003. </w:t>
      </w:r>
      <w:r w:rsidRPr="009259C8">
        <w:rPr>
          <w:rStyle w:val="TextoNormalCursivaCaracter"/>
        </w:rPr>
        <w:t xml:space="preserve"> 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r>
        <w:tab/>
      </w:r>
      <w:r>
        <w:tab/>
      </w:r>
      <w:r>
        <w:fldChar w:fldCharType="begin"/>
      </w:r>
      <w:r>
        <w:instrText xml:space="preserve"> PAGEREF SENTENCIA_2008_24 \h </w:instrText>
      </w:r>
      <w:r>
        <w:fldChar w:fldCharType="separate"/>
      </w:r>
      <w:r w:rsidR="003D67AB">
        <w:rPr>
          <w:noProof/>
        </w:rPr>
        <w:t>296</w:t>
      </w:r>
      <w:r>
        <w:fldChar w:fldCharType="end"/>
      </w:r>
    </w:p>
    <w:p w:rsidR="009259C8" w:rsidRDefault="009259C8" w:rsidP="009259C8"/>
    <w:p w:rsidR="009259C8" w:rsidRDefault="009259C8" w:rsidP="009259C8">
      <w:pPr>
        <w:pStyle w:val="EntradandiceSentencia"/>
      </w:pPr>
      <w:r>
        <w:t>Sala Segunda. Sentencia 25/2008, de 11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6540-2004. </w:t>
      </w:r>
      <w:r w:rsidRPr="009259C8">
        <w:rPr>
          <w:rStyle w:val="TextoNormalCursivaCaracter"/>
        </w:rPr>
        <w:t xml:space="preserve"> Vulneración del derecho a la tutela judicial efectiva (acceso a la justicia): inadmisión de demanda contencioso-administrativa por falta de acreditación del domicilio, distinto al consignado en el poder para pleitos, tras inadmitir la documentación aportada para replicar a la contestación a la demanda en proceso de la Ley 62/1978.</w:t>
      </w:r>
      <w:r>
        <w:tab/>
      </w:r>
      <w:r>
        <w:tab/>
      </w:r>
      <w:r>
        <w:fldChar w:fldCharType="begin"/>
      </w:r>
      <w:r>
        <w:instrText xml:space="preserve"> PAGEREF SENTENCIA_2008_25 \h </w:instrText>
      </w:r>
      <w:r>
        <w:fldChar w:fldCharType="separate"/>
      </w:r>
      <w:r w:rsidR="003D67AB">
        <w:rPr>
          <w:noProof/>
        </w:rPr>
        <w:t>302</w:t>
      </w:r>
      <w:r>
        <w:fldChar w:fldCharType="end"/>
      </w:r>
    </w:p>
    <w:p w:rsidR="009259C8" w:rsidRDefault="009259C8" w:rsidP="009259C8"/>
    <w:p w:rsidR="009259C8" w:rsidRDefault="009259C8" w:rsidP="009259C8">
      <w:pPr>
        <w:pStyle w:val="EntradandiceSentencia"/>
      </w:pPr>
      <w:r>
        <w:lastRenderedPageBreak/>
        <w:t>Sala Segunda. Sentencia 26/2008, de 11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7782-2004. </w:t>
      </w:r>
      <w:r w:rsidRPr="009259C8">
        <w:rPr>
          <w:rStyle w:val="TextoNormalCursivaCaracter"/>
        </w:rPr>
        <w:t xml:space="preserve"> Vulneración del derecho a la tutela judicial efectiva (acceso a la jurisdicción): derechos fundamentales de los entes públicos; inadmisión de demanda contencioso-administrativa por inexistencia de actividad administrativa impugnable; Junta arbitral no constituida y conflictos de competencia. Voto particular.</w:t>
      </w:r>
      <w:r>
        <w:tab/>
      </w:r>
      <w:r>
        <w:tab/>
      </w:r>
      <w:r>
        <w:fldChar w:fldCharType="begin"/>
      </w:r>
      <w:r>
        <w:instrText xml:space="preserve"> PAGEREF SENTENCIA_2008_26 \h </w:instrText>
      </w:r>
      <w:r>
        <w:fldChar w:fldCharType="separate"/>
      </w:r>
      <w:r w:rsidR="003D67AB">
        <w:rPr>
          <w:noProof/>
        </w:rPr>
        <w:t>314</w:t>
      </w:r>
      <w:r>
        <w:fldChar w:fldCharType="end"/>
      </w:r>
    </w:p>
    <w:p w:rsidR="009259C8" w:rsidRDefault="009259C8" w:rsidP="009259C8"/>
    <w:p w:rsidR="009259C8" w:rsidRDefault="009259C8" w:rsidP="009259C8">
      <w:pPr>
        <w:pStyle w:val="EntradandiceSentencia"/>
      </w:pPr>
      <w:r>
        <w:t>Sala Segunda. Sentencia 27/2008, de 11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137-2006. </w:t>
      </w:r>
      <w:r w:rsidRPr="009259C8">
        <w:rPr>
          <w:rStyle w:val="TextoNormalCursivaCaracter"/>
        </w:rPr>
        <w:t xml:space="preserve"> Vulneración del derecho a la libertad personal: prisión provisional mantenida con prórroga insuficientemente motivada, mientras pendía recurso contra la condena de instancia (STC 22/2004).</w:t>
      </w:r>
      <w:r>
        <w:tab/>
      </w:r>
      <w:r>
        <w:tab/>
      </w:r>
      <w:r>
        <w:fldChar w:fldCharType="begin"/>
      </w:r>
      <w:r>
        <w:instrText xml:space="preserve"> PAGEREF SENTENCIA_2008_27 \h </w:instrText>
      </w:r>
      <w:r>
        <w:fldChar w:fldCharType="separate"/>
      </w:r>
      <w:r w:rsidR="003D67AB">
        <w:rPr>
          <w:noProof/>
        </w:rPr>
        <w:t>337</w:t>
      </w:r>
      <w:r>
        <w:fldChar w:fldCharType="end"/>
      </w:r>
    </w:p>
    <w:p w:rsidR="009259C8" w:rsidRDefault="009259C8" w:rsidP="009259C8"/>
    <w:p w:rsidR="009259C8" w:rsidRDefault="009259C8" w:rsidP="009259C8">
      <w:pPr>
        <w:pStyle w:val="EntradandiceSentencia"/>
      </w:pPr>
      <w:r>
        <w:t>Sala Primera. Sentencia 28/2008, de 11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9316-2006. </w:t>
      </w:r>
      <w:r w:rsidRPr="009259C8">
        <w:rPr>
          <w:rStyle w:val="TextoNormalCursivaCaracter"/>
        </w:rPr>
        <w:t xml:space="preserve"> Vulneración de los derechos a un proceso con garantías y a la presunción de inocencia: condena pronunciada en apelación sin haber celebrado vista pública (STC 167/2002); los testimonios de acusado y víctima consignados en el acta del juicio no son prueba documental.</w:t>
      </w:r>
      <w:r>
        <w:tab/>
      </w:r>
      <w:r>
        <w:tab/>
      </w:r>
      <w:r>
        <w:fldChar w:fldCharType="begin"/>
      </w:r>
      <w:r>
        <w:instrText xml:space="preserve"> PAGEREF SENTENCIA_2008_28 \h </w:instrText>
      </w:r>
      <w:r>
        <w:fldChar w:fldCharType="separate"/>
      </w:r>
      <w:r w:rsidR="003D67AB">
        <w:rPr>
          <w:noProof/>
        </w:rPr>
        <w:t>347</w:t>
      </w:r>
      <w:r>
        <w:fldChar w:fldCharType="end"/>
      </w:r>
    </w:p>
    <w:p w:rsidR="009259C8" w:rsidRDefault="009259C8" w:rsidP="009259C8"/>
    <w:p w:rsidR="009259C8" w:rsidRDefault="009259C8" w:rsidP="009259C8">
      <w:pPr>
        <w:pStyle w:val="EntradandiceSentencia"/>
      </w:pPr>
      <w:r>
        <w:t>Sala Segunda. Sentencia 29/2008, de 20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Recursos de amparo 1907-2003 y 1911-2003 (acumulados). </w:t>
      </w:r>
      <w:r w:rsidRPr="009259C8">
        <w:rPr>
          <w:rStyle w:val="TextoNormalCursivaCaracter"/>
        </w:rPr>
        <w:t xml:space="preserve"> Supuesta vulneración de los derechos a un proceso con garantías, a la presunción de inocencia, a la prueba y a la legalidad penal: sentencia de casación penal que condena sin incongruencia en relación con la prejudicialidad civil, sin necesidad de celebrar vista pública y sin recurso ulterior; pruebas de cargo suficientes, incluidas las declaraciones sumariales de un testigo que no pudo comparecer en el juicio; interpretación del tipo penal del delito de estafa previsible. Vulneración del derecho a la tutela judicial efectiva: apreciación sobre la prescripción del delito que no ofrece una tutela reforzada de la libertad personal del acusado al interpretar la ley vigente (STC 63/2005). Voto particular.</w:t>
      </w:r>
      <w:r>
        <w:tab/>
      </w:r>
      <w:r>
        <w:tab/>
      </w:r>
      <w:r>
        <w:fldChar w:fldCharType="begin"/>
      </w:r>
      <w:r>
        <w:instrText xml:space="preserve"> PAGEREF SENTENCIA_2008_29 \h </w:instrText>
      </w:r>
      <w:r>
        <w:fldChar w:fldCharType="separate"/>
      </w:r>
      <w:r w:rsidR="003D67AB">
        <w:rPr>
          <w:noProof/>
        </w:rPr>
        <w:t>354</w:t>
      </w:r>
      <w:r>
        <w:fldChar w:fldCharType="end"/>
      </w:r>
    </w:p>
    <w:p w:rsidR="009259C8" w:rsidRDefault="009259C8" w:rsidP="009259C8"/>
    <w:p w:rsidR="009259C8" w:rsidRDefault="009259C8" w:rsidP="009259C8">
      <w:pPr>
        <w:pStyle w:val="EntradandiceSentencia"/>
      </w:pPr>
      <w:r>
        <w:t>Sala Primera. Sentencia 30/2008, de 25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6452-2002 y 3049-2004 (acumulados). </w:t>
      </w:r>
      <w:r w:rsidRPr="009259C8">
        <w:rPr>
          <w:rStyle w:val="TextoNormalCursivaCaracter"/>
        </w:rPr>
        <w:t xml:space="preserve"> Supuesta vulneración de los derechos a la igualdad en el acceso a las funciones públicas, en la aplicación de la ley y a la tutela judicial efectiva: puntuación de la permanencia en el puesto de trabajo; sentencia posterior que satisface el acceso a la justicia y no es contradictoria con otras anteriores.</w:t>
      </w:r>
      <w:r>
        <w:tab/>
      </w:r>
      <w:r>
        <w:tab/>
      </w:r>
      <w:r>
        <w:fldChar w:fldCharType="begin"/>
      </w:r>
      <w:r>
        <w:instrText xml:space="preserve"> PAGEREF SENTENCIA_2008_30 \h </w:instrText>
      </w:r>
      <w:r>
        <w:fldChar w:fldCharType="separate"/>
      </w:r>
      <w:r w:rsidR="003D67AB">
        <w:rPr>
          <w:noProof/>
        </w:rPr>
        <w:t>400</w:t>
      </w:r>
      <w:r>
        <w:fldChar w:fldCharType="end"/>
      </w:r>
    </w:p>
    <w:p w:rsidR="009259C8" w:rsidRDefault="009259C8" w:rsidP="009259C8"/>
    <w:p w:rsidR="009259C8" w:rsidRDefault="009259C8" w:rsidP="009259C8">
      <w:pPr>
        <w:pStyle w:val="EntradandiceSentencia"/>
      </w:pPr>
      <w:r>
        <w:t>Sala Segunda. Sentencia 31/2008, de 25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6739-2004. </w:t>
      </w:r>
      <w:r w:rsidRPr="009259C8">
        <w:rPr>
          <w:rStyle w:val="TextoNormalCursivaCaracter"/>
        </w:rPr>
        <w:t xml:space="preserve"> Vulneración del derecho a la igualdad en la aplicación de la ley: sentencia contencioso-administrativa que contradice una anterior al aplicar una ley declarada nula por la STC 63/2003.</w:t>
      </w:r>
      <w:r>
        <w:tab/>
      </w:r>
      <w:r>
        <w:tab/>
      </w:r>
      <w:r>
        <w:fldChar w:fldCharType="begin"/>
      </w:r>
      <w:r>
        <w:instrText xml:space="preserve"> PAGEREF SENTENCIA_2008_31 \h </w:instrText>
      </w:r>
      <w:r>
        <w:fldChar w:fldCharType="separate"/>
      </w:r>
      <w:r w:rsidR="003D67AB">
        <w:rPr>
          <w:noProof/>
        </w:rPr>
        <w:t>419</w:t>
      </w:r>
      <w:r>
        <w:fldChar w:fldCharType="end"/>
      </w:r>
    </w:p>
    <w:p w:rsidR="009259C8" w:rsidRDefault="009259C8" w:rsidP="009259C8"/>
    <w:p w:rsidR="009259C8" w:rsidRDefault="009259C8" w:rsidP="009259C8">
      <w:pPr>
        <w:pStyle w:val="EntradandiceSentencia"/>
      </w:pPr>
      <w:r>
        <w:t>Sala Primera. Sentencia 32/2008, de 25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7482-2004. </w:t>
      </w:r>
      <w:r w:rsidRPr="009259C8">
        <w:rPr>
          <w:rStyle w:val="TextoNormalCursivaCaracter"/>
        </w:rPr>
        <w:t xml:space="preserve"> Vulneración del derecho de defensa en el procedimiento administrativo sancionador: emplazamiento edictal de la empresa titular del vehículo infractor (STC 54/2003).</w:t>
      </w:r>
      <w:r>
        <w:tab/>
      </w:r>
      <w:r>
        <w:tab/>
      </w:r>
      <w:r>
        <w:fldChar w:fldCharType="begin"/>
      </w:r>
      <w:r>
        <w:instrText xml:space="preserve"> PAGEREF SENTENCIA_2008_32 \h </w:instrText>
      </w:r>
      <w:r>
        <w:fldChar w:fldCharType="separate"/>
      </w:r>
      <w:r w:rsidR="003D67AB">
        <w:rPr>
          <w:noProof/>
        </w:rPr>
        <w:t>427</w:t>
      </w:r>
      <w:r>
        <w:fldChar w:fldCharType="end"/>
      </w:r>
    </w:p>
    <w:p w:rsidR="009259C8" w:rsidRDefault="009259C8" w:rsidP="009259C8"/>
    <w:p w:rsidR="009259C8" w:rsidRDefault="009259C8" w:rsidP="009259C8">
      <w:pPr>
        <w:pStyle w:val="EntradandiceSentencia"/>
      </w:pPr>
      <w:r>
        <w:t>Sala Primera. Sentencia 33/2008, de 25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1829-2005. </w:t>
      </w:r>
      <w:r w:rsidRPr="009259C8">
        <w:rPr>
          <w:rStyle w:val="TextoNormalCursivaCaracter"/>
        </w:rPr>
        <w:t xml:space="preserve"> Supuesta vulneración del derecho a la tutela judicial efectiva (acceso al recurso legal): inadmisión de recurso de apelación civil por no haber consignado los intereses de la deuda en litigio por discrepancias sobre el alcance de la exención legal en favor del Estado.</w:t>
      </w:r>
      <w:r>
        <w:tab/>
      </w:r>
      <w:r>
        <w:tab/>
      </w:r>
      <w:r>
        <w:fldChar w:fldCharType="begin"/>
      </w:r>
      <w:r>
        <w:instrText xml:space="preserve"> PAGEREF SENTENCIA_2008_33 \h </w:instrText>
      </w:r>
      <w:r>
        <w:fldChar w:fldCharType="separate"/>
      </w:r>
      <w:r w:rsidR="003D67AB">
        <w:rPr>
          <w:noProof/>
        </w:rPr>
        <w:t>433</w:t>
      </w:r>
      <w:r>
        <w:fldChar w:fldCharType="end"/>
      </w:r>
    </w:p>
    <w:p w:rsidR="009259C8" w:rsidRDefault="009259C8" w:rsidP="009259C8"/>
    <w:p w:rsidR="009259C8" w:rsidRDefault="009259C8" w:rsidP="009259C8">
      <w:pPr>
        <w:pStyle w:val="EntradandiceSentencia"/>
      </w:pPr>
      <w:r>
        <w:t>Sala Primera. Sentencia 34/2008, de 25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3066-2005. </w:t>
      </w:r>
      <w:r w:rsidRPr="009259C8">
        <w:rPr>
          <w:rStyle w:val="TextoNormalCursivaCaracter"/>
        </w:rPr>
        <w:t xml:space="preserve"> Vulneración del derecho a la tutela judicial efectiva: investigación insuficiente de una denuncia de tratos inhumanos y degradantes sufridos bajo custodia policial (STC 224/2007).</w:t>
      </w:r>
      <w:r>
        <w:tab/>
      </w:r>
      <w:r>
        <w:tab/>
      </w:r>
      <w:r>
        <w:fldChar w:fldCharType="begin"/>
      </w:r>
      <w:r>
        <w:instrText xml:space="preserve"> PAGEREF SENTENCIA_2008_34 \h </w:instrText>
      </w:r>
      <w:r>
        <w:fldChar w:fldCharType="separate"/>
      </w:r>
      <w:r w:rsidR="003D67AB">
        <w:rPr>
          <w:noProof/>
        </w:rPr>
        <w:t>439</w:t>
      </w:r>
      <w:r>
        <w:fldChar w:fldCharType="end"/>
      </w:r>
    </w:p>
    <w:p w:rsidR="009259C8" w:rsidRDefault="009259C8" w:rsidP="009259C8"/>
    <w:p w:rsidR="009259C8" w:rsidRDefault="009259C8" w:rsidP="009259C8">
      <w:pPr>
        <w:pStyle w:val="EntradandiceSentencia"/>
      </w:pPr>
      <w:r>
        <w:t>Sala Primera. Sentencia 35/2008, de 25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5624-2005. </w:t>
      </w:r>
      <w:r w:rsidRPr="009259C8">
        <w:rPr>
          <w:rStyle w:val="TextoNormalCursivaCaracter"/>
        </w:rPr>
        <w:t xml:space="preserve"> Vulneración del derecho a la libertad personal: inadmisión a trámite de una petición de habeas corpus por razones de fondo (STC 86/1996).</w:t>
      </w:r>
      <w:r>
        <w:tab/>
      </w:r>
      <w:r>
        <w:tab/>
      </w:r>
      <w:r>
        <w:fldChar w:fldCharType="begin"/>
      </w:r>
      <w:r>
        <w:instrText xml:space="preserve"> PAGEREF SENTENCIA_2008_35 \h </w:instrText>
      </w:r>
      <w:r>
        <w:fldChar w:fldCharType="separate"/>
      </w:r>
      <w:r w:rsidR="003D67AB">
        <w:rPr>
          <w:noProof/>
        </w:rPr>
        <w:t>454</w:t>
      </w:r>
      <w:r>
        <w:fldChar w:fldCharType="end"/>
      </w:r>
    </w:p>
    <w:p w:rsidR="009259C8" w:rsidRDefault="009259C8" w:rsidP="009259C8"/>
    <w:p w:rsidR="009259C8" w:rsidRDefault="009259C8" w:rsidP="009259C8">
      <w:pPr>
        <w:pStyle w:val="EntradandiceSentencia"/>
      </w:pPr>
      <w:r>
        <w:t>Sala Segunda. Sentencia 36/2008, de 25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925-2006. </w:t>
      </w:r>
      <w:r w:rsidRPr="009259C8">
        <w:rPr>
          <w:rStyle w:val="TextoNormalCursivaCaracter"/>
        </w:rPr>
        <w:t xml:space="preserve"> Supuesta vulneración del derecho al juez imparcial y vulneración de los derechos a un proceso con garantías y a la presunción de inocencia: Sala de apelación formada con un magistrado que había confirmado en apelación la revocación del sobreseimiento libre de la causa, mediante </w:t>
      </w:r>
      <w:r w:rsidRPr="009259C8">
        <w:rPr>
          <w:rStyle w:val="TextoNormalCursivaCaracter"/>
        </w:rPr>
        <w:lastRenderedPageBreak/>
        <w:t>auto que no exteriorizaba un juicio anticipado; condena pronunciada en apelación sin haber celebrado vista pública (STC 167/2002).</w:t>
      </w:r>
      <w:r>
        <w:tab/>
      </w:r>
      <w:r>
        <w:tab/>
      </w:r>
      <w:r>
        <w:fldChar w:fldCharType="begin"/>
      </w:r>
      <w:r>
        <w:instrText xml:space="preserve"> PAGEREF SENTENCIA_2008_36 \h </w:instrText>
      </w:r>
      <w:r>
        <w:fldChar w:fldCharType="separate"/>
      </w:r>
      <w:r w:rsidR="003D67AB">
        <w:rPr>
          <w:noProof/>
        </w:rPr>
        <w:t>460</w:t>
      </w:r>
      <w:r>
        <w:fldChar w:fldCharType="end"/>
      </w:r>
    </w:p>
    <w:p w:rsidR="009259C8" w:rsidRDefault="009259C8" w:rsidP="009259C8"/>
    <w:p w:rsidR="009259C8" w:rsidRDefault="009259C8" w:rsidP="009259C8">
      <w:pPr>
        <w:pStyle w:val="EntradandiceSentencia"/>
      </w:pPr>
      <w:r>
        <w:t>Sala Primera. Sentencia 37/2008, de 25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4007-2006. </w:t>
      </w:r>
      <w:r w:rsidRPr="009259C8">
        <w:rPr>
          <w:rStyle w:val="TextoNormalCursivaCaracter"/>
        </w:rPr>
        <w:t xml:space="preserve"> Vulneración del derecho a la libertad personal: inadmisión a trámite de una petición de habeas corpus por razones de fondo (STC 86/1996).</w:t>
      </w:r>
      <w:r>
        <w:tab/>
      </w:r>
      <w:r>
        <w:tab/>
      </w:r>
      <w:r>
        <w:fldChar w:fldCharType="begin"/>
      </w:r>
      <w:r>
        <w:instrText xml:space="preserve"> PAGEREF SENTENCIA_2008_37 \h </w:instrText>
      </w:r>
      <w:r>
        <w:fldChar w:fldCharType="separate"/>
      </w:r>
      <w:r w:rsidR="003D67AB">
        <w:rPr>
          <w:noProof/>
        </w:rPr>
        <w:t>477</w:t>
      </w:r>
      <w:r>
        <w:fldChar w:fldCharType="end"/>
      </w:r>
    </w:p>
    <w:p w:rsidR="009259C8" w:rsidRDefault="009259C8" w:rsidP="009259C8"/>
    <w:p w:rsidR="009259C8" w:rsidRDefault="009259C8" w:rsidP="009259C8">
      <w:pPr>
        <w:pStyle w:val="EntradandiceSentencia"/>
      </w:pPr>
      <w:r>
        <w:t>Sala Segunda. Sentencia 38/2008, de 25 de febrero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10743-2006. </w:t>
      </w:r>
      <w:r w:rsidRPr="009259C8">
        <w:rPr>
          <w:rStyle w:val="TextoNormalCursivaCaracter"/>
        </w:rPr>
        <w:t xml:space="preserve"> Vulneración del derecho a un proceso sin dilaciones indebidas: demora de más de un año para tramitar un incidente de recusación en recurso de apelación penal.</w:t>
      </w:r>
      <w:r>
        <w:tab/>
      </w:r>
      <w:r>
        <w:tab/>
      </w:r>
      <w:r>
        <w:fldChar w:fldCharType="begin"/>
      </w:r>
      <w:r>
        <w:instrText xml:space="preserve"> PAGEREF SENTENCIA_2008_38 \h </w:instrText>
      </w:r>
      <w:r>
        <w:fldChar w:fldCharType="separate"/>
      </w:r>
      <w:r w:rsidR="003D67AB">
        <w:rPr>
          <w:noProof/>
        </w:rPr>
        <w:t>485</w:t>
      </w:r>
      <w:r>
        <w:fldChar w:fldCharType="end"/>
      </w:r>
    </w:p>
    <w:p w:rsidR="009259C8" w:rsidRDefault="009259C8" w:rsidP="009259C8"/>
    <w:p w:rsidR="009259C8" w:rsidRDefault="009259C8" w:rsidP="009259C8">
      <w:pPr>
        <w:pStyle w:val="EntradandiceSentencia"/>
      </w:pPr>
      <w:r>
        <w:t>Sala Primera. Sentencia 39/2008, de 10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6076-2003. </w:t>
      </w:r>
      <w:r w:rsidRPr="009259C8">
        <w:rPr>
          <w:rStyle w:val="TextoNormalCursivaCaracter"/>
        </w:rPr>
        <w:t xml:space="preserve"> Supuesta vulneración del derecho al ejercicio del cargo parlamentario: participación en una comisión de investigación atinente a hechos protagonizados por los diputados, adscritos al grupo mixto.</w:t>
      </w:r>
      <w:r>
        <w:tab/>
      </w:r>
      <w:r>
        <w:tab/>
      </w:r>
      <w:r>
        <w:fldChar w:fldCharType="begin"/>
      </w:r>
      <w:r>
        <w:instrText xml:space="preserve"> PAGEREF SENTENCIA_2008_39 \h </w:instrText>
      </w:r>
      <w:r>
        <w:fldChar w:fldCharType="separate"/>
      </w:r>
      <w:r w:rsidR="003D67AB">
        <w:rPr>
          <w:noProof/>
        </w:rPr>
        <w:t>493</w:t>
      </w:r>
      <w:r>
        <w:fldChar w:fldCharType="end"/>
      </w:r>
    </w:p>
    <w:p w:rsidR="009259C8" w:rsidRDefault="009259C8" w:rsidP="009259C8"/>
    <w:p w:rsidR="009259C8" w:rsidRDefault="009259C8" w:rsidP="009259C8">
      <w:pPr>
        <w:pStyle w:val="EntradandiceSentencia"/>
      </w:pPr>
      <w:r>
        <w:t>Sala Primera. Sentencia 40/2008, de 10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6545-2004. </w:t>
      </w:r>
      <w:r w:rsidRPr="009259C8">
        <w:rPr>
          <w:rStyle w:val="TextoNormalCursivaCaracter"/>
        </w:rPr>
        <w:t xml:space="preserve"> Supuesta vulneración del derecho a la presunción de inocencia y vulneración del derecho a la tutela judicial efectiva (incongruencia): sanción administrativa apoyada en prueba de cargo suministrada por un cinemómetro; sentencia y auto de nulidad que no resuelven la pretensión subsidiaria de reducir la cuantía de la multa.</w:t>
      </w:r>
      <w:r>
        <w:tab/>
      </w:r>
      <w:r>
        <w:tab/>
      </w:r>
      <w:r>
        <w:fldChar w:fldCharType="begin"/>
      </w:r>
      <w:r>
        <w:instrText xml:space="preserve"> PAGEREF SENTENCIA_2008_40 \h </w:instrText>
      </w:r>
      <w:r>
        <w:fldChar w:fldCharType="separate"/>
      </w:r>
      <w:r w:rsidR="003D67AB">
        <w:rPr>
          <w:noProof/>
        </w:rPr>
        <w:t>513</w:t>
      </w:r>
      <w:r>
        <w:fldChar w:fldCharType="end"/>
      </w:r>
    </w:p>
    <w:p w:rsidR="009259C8" w:rsidRDefault="009259C8" w:rsidP="009259C8"/>
    <w:p w:rsidR="009259C8" w:rsidRDefault="009259C8" w:rsidP="009259C8">
      <w:pPr>
        <w:pStyle w:val="EntradandiceSentencia"/>
      </w:pPr>
      <w:r>
        <w:t>Sala Primera. Sentencia 41/2008, de 10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6914-2004. </w:t>
      </w:r>
      <w:r w:rsidRPr="009259C8">
        <w:rPr>
          <w:rStyle w:val="TextoNormalCursivaCaracter"/>
        </w:rPr>
        <w:t xml:space="preserve"> Vulneración del derecho a la tutela judicial (reforma peyorativa): alteración de los intereses legales en perjuicio del único apelante.</w:t>
      </w:r>
      <w:r>
        <w:tab/>
      </w:r>
      <w:r>
        <w:tab/>
      </w:r>
      <w:r>
        <w:fldChar w:fldCharType="begin"/>
      </w:r>
      <w:r>
        <w:instrText xml:space="preserve"> PAGEREF SENTENCIA_2008_41 \h </w:instrText>
      </w:r>
      <w:r>
        <w:fldChar w:fldCharType="separate"/>
      </w:r>
      <w:r w:rsidR="003D67AB">
        <w:rPr>
          <w:noProof/>
        </w:rPr>
        <w:t>524</w:t>
      </w:r>
      <w:r>
        <w:fldChar w:fldCharType="end"/>
      </w:r>
    </w:p>
    <w:p w:rsidR="009259C8" w:rsidRDefault="009259C8" w:rsidP="009259C8"/>
    <w:p w:rsidR="009259C8" w:rsidRDefault="009259C8" w:rsidP="009259C8">
      <w:pPr>
        <w:pStyle w:val="EntradandiceSentencia"/>
      </w:pPr>
      <w:r>
        <w:lastRenderedPageBreak/>
        <w:t>Sala Segunda. Sentencia 42/2008, de 10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3482-2005. </w:t>
      </w:r>
      <w:r w:rsidRPr="009259C8">
        <w:rPr>
          <w:rStyle w:val="TextoNormalCursivaCaracter"/>
        </w:rPr>
        <w:t xml:space="preserve"> Supuesta vulneración del derecho a la asistencia letrada: alcance de la garantía en el procedimiento de disciplina penitenciaria; petición de asesoramiento no formulada por el recluso en forma.</w:t>
      </w:r>
      <w:r>
        <w:tab/>
      </w:r>
      <w:r>
        <w:tab/>
      </w:r>
      <w:r>
        <w:fldChar w:fldCharType="begin"/>
      </w:r>
      <w:r>
        <w:instrText xml:space="preserve"> PAGEREF SENTENCIA_2008_42 \h </w:instrText>
      </w:r>
      <w:r>
        <w:fldChar w:fldCharType="separate"/>
      </w:r>
      <w:r w:rsidR="003D67AB">
        <w:rPr>
          <w:noProof/>
        </w:rPr>
        <w:t>529</w:t>
      </w:r>
      <w:r>
        <w:fldChar w:fldCharType="end"/>
      </w:r>
    </w:p>
    <w:p w:rsidR="009259C8" w:rsidRDefault="009259C8" w:rsidP="009259C8"/>
    <w:p w:rsidR="009259C8" w:rsidRDefault="009259C8" w:rsidP="009259C8">
      <w:pPr>
        <w:pStyle w:val="EntradandiceSentencia"/>
      </w:pPr>
      <w:r>
        <w:t>Sala Primera. Sentencia 43/2008, de 10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3908-2005. </w:t>
      </w:r>
      <w:r w:rsidRPr="009259C8">
        <w:rPr>
          <w:rStyle w:val="TextoNormalCursivaCaracter"/>
        </w:rPr>
        <w:t xml:space="preserve"> Vulneración del derecho a la tutela judicial efectiva: apreciación de prescripción del beneficio de redención de penas por el trabajo que no ofrece una tutela reforzada de la libertad personal del preso al interpretar la legislación penal y administrativa. Voto particular.</w:t>
      </w:r>
      <w:r>
        <w:tab/>
      </w:r>
      <w:r>
        <w:tab/>
      </w:r>
      <w:r>
        <w:fldChar w:fldCharType="begin"/>
      </w:r>
      <w:r>
        <w:instrText xml:space="preserve"> PAGEREF SENTENCIA_2008_43 \h </w:instrText>
      </w:r>
      <w:r>
        <w:fldChar w:fldCharType="separate"/>
      </w:r>
      <w:r w:rsidR="003D67AB">
        <w:rPr>
          <w:noProof/>
        </w:rPr>
        <w:t>540</w:t>
      </w:r>
      <w:r>
        <w:fldChar w:fldCharType="end"/>
      </w:r>
    </w:p>
    <w:p w:rsidR="009259C8" w:rsidRDefault="009259C8" w:rsidP="009259C8"/>
    <w:p w:rsidR="009259C8" w:rsidRDefault="009259C8" w:rsidP="009259C8">
      <w:pPr>
        <w:pStyle w:val="EntradandiceSentencia"/>
      </w:pPr>
      <w:r>
        <w:t>Sala Segunda. Sentencia 44/2008, de 10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4423-2005. </w:t>
      </w:r>
      <w:r w:rsidRPr="009259C8">
        <w:rPr>
          <w:rStyle w:val="TextoNormalCursivaCaracter"/>
        </w:rPr>
        <w:t xml:space="preserve"> Vulneración del derecho a la tutela judicial efectiva (incongruencia): sentencia que deja sin respuesta la alegación de la Administración pública demandada acerca de la caducidad de la acción de responsabilidad.</w:t>
      </w:r>
      <w:r>
        <w:tab/>
      </w:r>
      <w:r>
        <w:tab/>
      </w:r>
      <w:r>
        <w:fldChar w:fldCharType="begin"/>
      </w:r>
      <w:r>
        <w:instrText xml:space="preserve"> PAGEREF SENTENCIA_2008_44 \h </w:instrText>
      </w:r>
      <w:r>
        <w:fldChar w:fldCharType="separate"/>
      </w:r>
      <w:r w:rsidR="003D67AB">
        <w:rPr>
          <w:noProof/>
        </w:rPr>
        <w:t>555</w:t>
      </w:r>
      <w:r>
        <w:fldChar w:fldCharType="end"/>
      </w:r>
    </w:p>
    <w:p w:rsidR="009259C8" w:rsidRDefault="009259C8" w:rsidP="009259C8"/>
    <w:p w:rsidR="009259C8" w:rsidRDefault="009259C8" w:rsidP="009259C8">
      <w:pPr>
        <w:pStyle w:val="EntradandiceSentencia"/>
      </w:pPr>
      <w:r>
        <w:t>Sala Segunda. Sentencia 45/2008, de 10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1464-2006. </w:t>
      </w:r>
      <w:r w:rsidRPr="009259C8">
        <w:rPr>
          <w:rStyle w:val="TextoNormalCursivaCaracter"/>
        </w:rPr>
        <w:t xml:space="preserve"> Vulneración del derecho a la tutela judicial (acceso a la justicia): inadmisión de demanda contencioso-administrativa por considerarla una acción de protección del derecho al honor competencia del orden jurisdiccional civil. Voto particular.</w:t>
      </w:r>
      <w:r>
        <w:tab/>
      </w:r>
      <w:r>
        <w:tab/>
      </w:r>
      <w:r>
        <w:fldChar w:fldCharType="begin"/>
      </w:r>
      <w:r>
        <w:instrText xml:space="preserve"> PAGEREF SENTENCIA_2008_45 \h </w:instrText>
      </w:r>
      <w:r>
        <w:fldChar w:fldCharType="separate"/>
      </w:r>
      <w:r w:rsidR="003D67AB">
        <w:rPr>
          <w:noProof/>
        </w:rPr>
        <w:t>565</w:t>
      </w:r>
      <w:r>
        <w:fldChar w:fldCharType="end"/>
      </w:r>
    </w:p>
    <w:p w:rsidR="009259C8" w:rsidRDefault="009259C8" w:rsidP="009259C8"/>
    <w:p w:rsidR="009259C8" w:rsidRDefault="009259C8" w:rsidP="009259C8">
      <w:pPr>
        <w:pStyle w:val="EntradandiceSentencia"/>
      </w:pPr>
      <w:r>
        <w:t>Sala Segunda. Sentencia 46/2008, de 10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6130-2006. </w:t>
      </w:r>
      <w:r w:rsidRPr="009259C8">
        <w:rPr>
          <w:rStyle w:val="TextoNormalCursivaCaracter"/>
        </w:rPr>
        <w:t xml:space="preserve"> Vulneración del derecho a la tutela judicial efectiva (acceso a la justicia): notificación de una liquidación tributaria y un acuerdo de comprobación de valores al presentador de documentos ante la Administración tributaria, en aplicación de una norma anulada por la STC 113/2006.</w:t>
      </w:r>
      <w:r>
        <w:tab/>
      </w:r>
      <w:r>
        <w:tab/>
      </w:r>
      <w:r>
        <w:fldChar w:fldCharType="begin"/>
      </w:r>
      <w:r>
        <w:instrText xml:space="preserve"> PAGEREF SENTENCIA_2008_46 \h </w:instrText>
      </w:r>
      <w:r>
        <w:fldChar w:fldCharType="separate"/>
      </w:r>
      <w:r w:rsidR="003D67AB">
        <w:rPr>
          <w:noProof/>
        </w:rPr>
        <w:t>572</w:t>
      </w:r>
      <w:r>
        <w:fldChar w:fldCharType="end"/>
      </w:r>
    </w:p>
    <w:p w:rsidR="009259C8" w:rsidRDefault="009259C8" w:rsidP="009259C8"/>
    <w:p w:rsidR="009259C8" w:rsidRDefault="009259C8" w:rsidP="009259C8">
      <w:pPr>
        <w:pStyle w:val="EntradandiceSentencia"/>
      </w:pPr>
      <w:r>
        <w:t>Pleno. Sentencia 47/2008, de 11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Conflicto en defensa de la autonomía local 6613-2000. </w:t>
      </w:r>
      <w:r w:rsidRPr="009259C8">
        <w:rPr>
          <w:rStyle w:val="TextoNormalCursivaCaracter"/>
        </w:rPr>
        <w:t xml:space="preserve"> Alegada vulneración de la autonomía local: extinción del conflicto porque la ley ha agotado sus efectos. Voto particular.</w:t>
      </w:r>
      <w:r>
        <w:tab/>
      </w:r>
      <w:r>
        <w:tab/>
      </w:r>
      <w:r>
        <w:fldChar w:fldCharType="begin"/>
      </w:r>
      <w:r>
        <w:instrText xml:space="preserve"> PAGEREF SENTENCIA_2008_47 \h </w:instrText>
      </w:r>
      <w:r>
        <w:fldChar w:fldCharType="separate"/>
      </w:r>
      <w:r w:rsidR="003D67AB">
        <w:rPr>
          <w:noProof/>
        </w:rPr>
        <w:t>584</w:t>
      </w:r>
      <w:r>
        <w:fldChar w:fldCharType="end"/>
      </w:r>
    </w:p>
    <w:p w:rsidR="009259C8" w:rsidRDefault="009259C8" w:rsidP="009259C8"/>
    <w:p w:rsidR="009259C8" w:rsidRDefault="009259C8" w:rsidP="009259C8">
      <w:pPr>
        <w:pStyle w:val="EntradandiceSentencia"/>
      </w:pPr>
      <w:r>
        <w:t>Pleno. Sentencia 48/2008, de 11 de marzo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2784-2004. </w:t>
      </w:r>
      <w:r w:rsidRPr="009259C8">
        <w:rPr>
          <w:rStyle w:val="TextoNormalCursivaCaracter"/>
        </w:rPr>
        <w:t xml:space="preserve"> Supuesta vulneración de los derechos a la tutela judicial efectiva, a un proceso con garantías y a la prueba: desestimación de recurso contra sentencia absolutoria en virtud de los límites legales a la práctica de prueba en grado de apelación; alcance de la audiencia al acusado en apelación penal (SSTC 167/2002 y 285/2005).</w:t>
      </w:r>
      <w:r>
        <w:tab/>
      </w:r>
      <w:r>
        <w:tab/>
      </w:r>
      <w:r>
        <w:fldChar w:fldCharType="begin"/>
      </w:r>
      <w:r>
        <w:instrText xml:space="preserve"> PAGEREF SENTENCIA_2008_48 \h </w:instrText>
      </w:r>
      <w:r>
        <w:fldChar w:fldCharType="separate"/>
      </w:r>
      <w:r w:rsidR="003D67AB">
        <w:rPr>
          <w:noProof/>
        </w:rPr>
        <w:t>597</w:t>
      </w:r>
      <w:r>
        <w:fldChar w:fldCharType="end"/>
      </w:r>
    </w:p>
    <w:p w:rsidR="009259C8" w:rsidRDefault="009259C8" w:rsidP="009259C8"/>
    <w:p w:rsidR="009259C8" w:rsidRDefault="009259C8" w:rsidP="009259C8">
      <w:pPr>
        <w:pStyle w:val="EntradandiceSentencia"/>
      </w:pPr>
      <w:r>
        <w:t>Pleno. Sentencia 49/2008, de 9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inconstitucionalidad 6729-2007. </w:t>
      </w:r>
      <w:r w:rsidRPr="009259C8">
        <w:rPr>
          <w:rStyle w:val="TextoNormalCursivaCaracter"/>
        </w:rPr>
        <w:t xml:space="preserve"> Supuesta vulneración de la interdicción de la arbitrariedad y de normas sobre la elección de Magistrados y Presidente, reserva de reglamento parlamentario, materias reservadas a la ley orgánica del Tribunal Constitucional, posición institucional del Senado, estatuto de los Senadores y organización territorial del poder: participación de las Comunidades Autónomas en la elección de Magistrados del Tribunal Constitucional por el Senado; prórroga de la duración de la Presidencia en los supuestos en que su mandato no coincida con la renovación parcial del Tribunal. Votos particulares.</w:t>
      </w:r>
      <w:r>
        <w:tab/>
      </w:r>
      <w:r>
        <w:tab/>
      </w:r>
      <w:r>
        <w:fldChar w:fldCharType="begin"/>
      </w:r>
      <w:r>
        <w:instrText xml:space="preserve"> PAGEREF SENTENCIA_2008_49 \h </w:instrText>
      </w:r>
      <w:r>
        <w:fldChar w:fldCharType="separate"/>
      </w:r>
      <w:r w:rsidR="003D67AB">
        <w:rPr>
          <w:noProof/>
        </w:rPr>
        <w:t>612</w:t>
      </w:r>
      <w:r>
        <w:fldChar w:fldCharType="end"/>
      </w:r>
    </w:p>
    <w:p w:rsidR="009259C8" w:rsidRDefault="009259C8" w:rsidP="009259C8"/>
    <w:p w:rsidR="009259C8" w:rsidRDefault="009259C8" w:rsidP="009259C8">
      <w:pPr>
        <w:pStyle w:val="EntradandiceSentencia"/>
      </w:pPr>
      <w:r>
        <w:t>Sala Segunda. Sentencia 50/2008, de 14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Recursos de amparo 6458-2003, 6462-2003, 6494-2003, 6496-2003, 6498-2003 y 6500-2003 (acumulados). </w:t>
      </w:r>
      <w:r w:rsidRPr="009259C8">
        <w:rPr>
          <w:rStyle w:val="TextoNormalCursivaCaracter"/>
        </w:rPr>
        <w:t xml:space="preserve"> Supuesta vulneración de los derechos a participar en los asuntos públicos, al ejercicio del cargo parlamentario y a la tutela judicial efectiva: anulación de actos parlamentarios que impedían la ejecución de resoluciones judiciales firmes.</w:t>
      </w:r>
      <w:r>
        <w:tab/>
      </w:r>
      <w:r>
        <w:tab/>
      </w:r>
      <w:r>
        <w:fldChar w:fldCharType="begin"/>
      </w:r>
      <w:r>
        <w:instrText xml:space="preserve"> PAGEREF SENTENCIA_2008_50 \h </w:instrText>
      </w:r>
      <w:r>
        <w:fldChar w:fldCharType="separate"/>
      </w:r>
      <w:r w:rsidR="003D67AB">
        <w:rPr>
          <w:noProof/>
        </w:rPr>
        <w:t>666</w:t>
      </w:r>
      <w:r>
        <w:fldChar w:fldCharType="end"/>
      </w:r>
    </w:p>
    <w:p w:rsidR="009259C8" w:rsidRDefault="009259C8" w:rsidP="009259C8"/>
    <w:p w:rsidR="009259C8" w:rsidRDefault="009259C8" w:rsidP="009259C8">
      <w:pPr>
        <w:pStyle w:val="EntradandiceSentencia"/>
      </w:pPr>
      <w:r>
        <w:t>Sala Segunda. Sentencia 51/2008, de 14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5351-2004. </w:t>
      </w:r>
      <w:r w:rsidRPr="009259C8">
        <w:rPr>
          <w:rStyle w:val="TextoNormalCursivaCaracter"/>
        </w:rPr>
        <w:t xml:space="preserve"> Supuesta vulneración del derecho al honor: fragmento de una novela, ejercicio del derecho de creación literaria, que identifica a una persona fallecida sin emplear frases vejatorias ni desmerecedoras de la reputación o consideración ajenas.</w:t>
      </w:r>
      <w:r>
        <w:tab/>
      </w:r>
      <w:r>
        <w:tab/>
      </w:r>
      <w:r>
        <w:fldChar w:fldCharType="begin"/>
      </w:r>
      <w:r>
        <w:instrText xml:space="preserve"> PAGEREF SENTENCIA_2008_51 \h </w:instrText>
      </w:r>
      <w:r>
        <w:fldChar w:fldCharType="separate"/>
      </w:r>
      <w:r w:rsidR="003D67AB">
        <w:rPr>
          <w:noProof/>
        </w:rPr>
        <w:t>695</w:t>
      </w:r>
      <w:r>
        <w:fldChar w:fldCharType="end"/>
      </w:r>
    </w:p>
    <w:p w:rsidR="009259C8" w:rsidRDefault="009259C8" w:rsidP="009259C8"/>
    <w:p w:rsidR="009259C8" w:rsidRDefault="009259C8" w:rsidP="009259C8">
      <w:pPr>
        <w:pStyle w:val="EntradandiceSentencia"/>
      </w:pPr>
      <w:r>
        <w:lastRenderedPageBreak/>
        <w:t>Sala Primera. Sentencia 52/2008, de 14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6421-2004. </w:t>
      </w:r>
      <w:r w:rsidRPr="009259C8">
        <w:rPr>
          <w:rStyle w:val="TextoNormalCursivaCaracter"/>
        </w:rPr>
        <w:t xml:space="preserve"> Vulneración del derecho a la tutela judicial efectiva: investigación insuficiente de una denuncia de tortura o tratos inhumanos y degradantes sufridos bajo custodia policial (STC 34/2008). Voto particular.</w:t>
      </w:r>
      <w:r>
        <w:tab/>
      </w:r>
      <w:r>
        <w:tab/>
      </w:r>
      <w:r>
        <w:fldChar w:fldCharType="begin"/>
      </w:r>
      <w:r>
        <w:instrText xml:space="preserve"> PAGEREF SENTENCIA_2008_52 \h </w:instrText>
      </w:r>
      <w:r>
        <w:fldChar w:fldCharType="separate"/>
      </w:r>
      <w:r w:rsidR="003D67AB">
        <w:rPr>
          <w:noProof/>
        </w:rPr>
        <w:t>710</w:t>
      </w:r>
      <w:r>
        <w:fldChar w:fldCharType="end"/>
      </w:r>
    </w:p>
    <w:p w:rsidR="009259C8" w:rsidRDefault="009259C8" w:rsidP="009259C8"/>
    <w:p w:rsidR="009259C8" w:rsidRDefault="009259C8" w:rsidP="009259C8">
      <w:pPr>
        <w:pStyle w:val="EntradandiceSentencia"/>
      </w:pPr>
      <w:r>
        <w:t>Sala Segunda. Sentencia 53/2008, de 14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7253-2004. </w:t>
      </w:r>
      <w:r w:rsidRPr="009259C8">
        <w:rPr>
          <w:rStyle w:val="TextoNormalCursivaCaracter"/>
        </w:rPr>
        <w:t xml:space="preserve"> Alegada vulneración del derecho a la tutela judicial efectiva: fallecimiento de la demandante de amparo constitucional.</w:t>
      </w:r>
      <w:r>
        <w:tab/>
      </w:r>
      <w:r>
        <w:tab/>
      </w:r>
      <w:r>
        <w:fldChar w:fldCharType="begin"/>
      </w:r>
      <w:r>
        <w:instrText xml:space="preserve"> PAGEREF SENTENCIA_2008_53 \h </w:instrText>
      </w:r>
      <w:r>
        <w:fldChar w:fldCharType="separate"/>
      </w:r>
      <w:r w:rsidR="003D67AB">
        <w:rPr>
          <w:noProof/>
        </w:rPr>
        <w:t>722</w:t>
      </w:r>
      <w:r>
        <w:fldChar w:fldCharType="end"/>
      </w:r>
    </w:p>
    <w:p w:rsidR="009259C8" w:rsidRDefault="009259C8" w:rsidP="009259C8"/>
    <w:p w:rsidR="009259C8" w:rsidRDefault="009259C8" w:rsidP="009259C8">
      <w:pPr>
        <w:pStyle w:val="EntradandiceSentencia"/>
      </w:pPr>
      <w:r>
        <w:t>Sala Segunda. Sentencia 54/2008, de 14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2381-2005. </w:t>
      </w:r>
      <w:r w:rsidRPr="009259C8">
        <w:rPr>
          <w:rStyle w:val="TextoNormalCursivaCaracter"/>
        </w:rPr>
        <w:t xml:space="preserve"> Vulneración del derecho a la legalidad penal: sanción administrativa al titular de un vehículo de motor mal estacionado por no identificar suficientemente a un conductor residente en el extranjero que carece de fundamento razonable en la infracción administrativa aplicada.</w:t>
      </w:r>
      <w:r>
        <w:tab/>
      </w:r>
      <w:r>
        <w:tab/>
      </w:r>
      <w:r>
        <w:fldChar w:fldCharType="begin"/>
      </w:r>
      <w:r>
        <w:instrText xml:space="preserve"> PAGEREF SENTENCIA_2008_54 \h </w:instrText>
      </w:r>
      <w:r>
        <w:fldChar w:fldCharType="separate"/>
      </w:r>
      <w:r w:rsidR="003D67AB">
        <w:rPr>
          <w:noProof/>
        </w:rPr>
        <w:t>728</w:t>
      </w:r>
      <w:r>
        <w:fldChar w:fldCharType="end"/>
      </w:r>
    </w:p>
    <w:p w:rsidR="009259C8" w:rsidRDefault="009259C8" w:rsidP="009259C8"/>
    <w:p w:rsidR="009259C8" w:rsidRDefault="009259C8" w:rsidP="009259C8">
      <w:pPr>
        <w:pStyle w:val="EntradandiceSentencia"/>
      </w:pPr>
      <w:r>
        <w:t>Sala Segunda. Sentencia 55/2008, de 14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14-2006. </w:t>
      </w:r>
      <w:r w:rsidRPr="009259C8">
        <w:rPr>
          <w:rStyle w:val="TextoNormalCursivaCaracter"/>
        </w:rPr>
        <w:t xml:space="preserve"> Vulneración del derecho a la tutela judicial efectiva (acceso al recurso legal): recurso de apelación civil declarado desierto sin resolver la solicitud de nombramiento de procurador de oficio, que impide la asistencia jurídica gratuita.</w:t>
      </w:r>
      <w:r>
        <w:tab/>
      </w:r>
      <w:r>
        <w:tab/>
      </w:r>
      <w:r>
        <w:fldChar w:fldCharType="begin"/>
      </w:r>
      <w:r>
        <w:instrText xml:space="preserve"> PAGEREF SENTENCIA_2008_55 \h </w:instrText>
      </w:r>
      <w:r>
        <w:fldChar w:fldCharType="separate"/>
      </w:r>
      <w:r w:rsidR="003D67AB">
        <w:rPr>
          <w:noProof/>
        </w:rPr>
        <w:t>742</w:t>
      </w:r>
      <w:r>
        <w:fldChar w:fldCharType="end"/>
      </w:r>
    </w:p>
    <w:p w:rsidR="009259C8" w:rsidRDefault="009259C8" w:rsidP="009259C8"/>
    <w:p w:rsidR="009259C8" w:rsidRDefault="009259C8" w:rsidP="009259C8">
      <w:pPr>
        <w:pStyle w:val="EntradandiceSentencia"/>
      </w:pPr>
      <w:r>
        <w:t>Sala Segunda. Sentencia 56/2008, de 14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2732-2006. </w:t>
      </w:r>
      <w:r w:rsidRPr="009259C8">
        <w:rPr>
          <w:rStyle w:val="TextoNormalCursivaCaracter"/>
        </w:rPr>
        <w:t xml:space="preserve"> Vulneración del derecho a la libre expresión: despido de un trabajador por distribuir un comunicado dentro de la empresa formulando críticas por cuestiones laborales. Voto particular.</w:t>
      </w:r>
      <w:r>
        <w:tab/>
      </w:r>
      <w:r>
        <w:tab/>
      </w:r>
      <w:r>
        <w:fldChar w:fldCharType="begin"/>
      </w:r>
      <w:r>
        <w:instrText xml:space="preserve"> PAGEREF SENTENCIA_2008_56 \h </w:instrText>
      </w:r>
      <w:r>
        <w:fldChar w:fldCharType="separate"/>
      </w:r>
      <w:r w:rsidR="003D67AB">
        <w:rPr>
          <w:noProof/>
        </w:rPr>
        <w:t>752</w:t>
      </w:r>
      <w:r>
        <w:fldChar w:fldCharType="end"/>
      </w:r>
    </w:p>
    <w:p w:rsidR="009259C8" w:rsidRDefault="009259C8" w:rsidP="009259C8"/>
    <w:p w:rsidR="009259C8" w:rsidRDefault="009259C8" w:rsidP="009259C8">
      <w:pPr>
        <w:pStyle w:val="EntradandiceSentencia"/>
      </w:pPr>
      <w:r>
        <w:t>Sala Segunda. Sentencia 57/2008, de 28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5899-2003. </w:t>
      </w:r>
      <w:r w:rsidRPr="009259C8">
        <w:rPr>
          <w:rStyle w:val="TextoNormalCursivaCaracter"/>
        </w:rPr>
        <w:t xml:space="preserve"> Vulneración del derecho a la libertad personal: liquidación de condena que no abona el tiempo en el que simultáneamente a la prisión provisional sufrida en la causa ha estado privado de libertad como penado en cumplimiento de la condena impuesta en otra causa distinta.</w:t>
      </w:r>
      <w:r>
        <w:tab/>
      </w:r>
      <w:r>
        <w:tab/>
      </w:r>
      <w:r>
        <w:fldChar w:fldCharType="begin"/>
      </w:r>
      <w:r>
        <w:instrText xml:space="preserve"> PAGEREF SENTENCIA_2008_57 \h </w:instrText>
      </w:r>
      <w:r>
        <w:fldChar w:fldCharType="separate"/>
      </w:r>
      <w:r w:rsidR="003D67AB">
        <w:rPr>
          <w:noProof/>
        </w:rPr>
        <w:t>773</w:t>
      </w:r>
      <w:r>
        <w:fldChar w:fldCharType="end"/>
      </w:r>
    </w:p>
    <w:p w:rsidR="009259C8" w:rsidRDefault="009259C8" w:rsidP="009259C8"/>
    <w:p w:rsidR="009259C8" w:rsidRDefault="009259C8" w:rsidP="009259C8">
      <w:pPr>
        <w:pStyle w:val="EntradandiceSentencia"/>
      </w:pPr>
      <w:r>
        <w:lastRenderedPageBreak/>
        <w:t>Sala Segunda. Sentencia 58/2008, de 28 de abril de 2008</w:t>
      </w:r>
    </w:p>
    <w:p w:rsidR="009259C8" w:rsidRDefault="009259C8" w:rsidP="009259C8">
      <w:pPr>
        <w:pStyle w:val="EntradandiceSentencia"/>
      </w:pPr>
    </w:p>
    <w:p w:rsidR="009259C8" w:rsidRDefault="009259C8" w:rsidP="009259C8">
      <w:pPr>
        <w:pStyle w:val="EntradaSumario"/>
      </w:pPr>
      <w:r w:rsidRPr="009259C8">
        <w:rPr>
          <w:rStyle w:val="TextoNormalCaracter"/>
        </w:rPr>
        <w:t xml:space="preserve">Recurso de amparo 2306-2005. </w:t>
      </w:r>
      <w:r w:rsidRPr="009259C8">
        <w:rPr>
          <w:rStyle w:val="TextoNormalCursivaCaracter"/>
        </w:rPr>
        <w:t xml:space="preserve"> Vulneración del derecho a la tutela judicial efectiva: procedimiento de adopción donde no se resuelve si la intervención de la madre biológica se reduce a ser oída o si, por el contrario, es necesario su asentimiento.</w:t>
      </w:r>
      <w:r>
        <w:tab/>
      </w:r>
      <w:r>
        <w:tab/>
      </w:r>
      <w:r>
        <w:fldChar w:fldCharType="begin"/>
      </w:r>
      <w:r>
        <w:instrText xml:space="preserve"> PAGEREF SENTENCIA_2008_58 \h </w:instrText>
      </w:r>
      <w:r>
        <w:fldChar w:fldCharType="separate"/>
      </w:r>
      <w:r w:rsidR="003D67AB">
        <w:rPr>
          <w:noProof/>
        </w:rPr>
        <w:t>786</w:t>
      </w:r>
      <w:r>
        <w:fldChar w:fldCharType="end"/>
      </w:r>
    </w:p>
    <w:p w:rsidR="009259C8" w:rsidRDefault="009259C8">
      <w:pPr>
        <w:spacing w:after="160" w:line="259" w:lineRule="auto"/>
      </w:pPr>
      <w:r>
        <w:br w:type="page"/>
      </w:r>
    </w:p>
    <w:p w:rsidR="009259C8" w:rsidRDefault="009259C8" w:rsidP="009259C8"/>
    <w:p w:rsidR="009259C8" w:rsidRDefault="009259C8" w:rsidP="009259C8"/>
    <w:p w:rsidR="009259C8" w:rsidRDefault="009259C8" w:rsidP="009259C8"/>
    <w:p w:rsidR="009259C8" w:rsidRDefault="009259C8" w:rsidP="009259C8">
      <w:pPr>
        <w:pStyle w:val="Ttulondice"/>
      </w:pPr>
      <w:bookmarkStart w:id="3" w:name="SUMARIOSAUTOS"/>
      <w:r>
        <w:t>2. AUTOS: ATC 1/2008 A ATC 118/2008</w:t>
      </w:r>
    </w:p>
    <w:bookmarkEnd w:id="3"/>
    <w:p w:rsidR="009259C8" w:rsidRDefault="009259C8" w:rsidP="009259C8">
      <w:pPr>
        <w:pStyle w:val="Ttulondice"/>
      </w:pPr>
    </w:p>
    <w:p w:rsidR="009259C8" w:rsidRDefault="009259C8" w:rsidP="009259C8">
      <w:pPr>
        <w:pStyle w:val="Ttulondice"/>
      </w:pPr>
    </w:p>
    <w:p w:rsidR="009259C8" w:rsidRDefault="009259C8" w:rsidP="009259C8">
      <w:pPr>
        <w:pStyle w:val="Ttulondice"/>
      </w:pPr>
    </w:p>
    <w:p w:rsidR="009259C8" w:rsidRDefault="009259C8" w:rsidP="009259C8">
      <w:pPr>
        <w:pStyle w:val="Ttulondice"/>
      </w:pPr>
    </w:p>
    <w:p w:rsidR="009259C8" w:rsidRDefault="009259C8" w:rsidP="009259C8">
      <w:pPr>
        <w:pStyle w:val="Ttulondice"/>
      </w:pPr>
    </w:p>
    <w:p w:rsidR="009259C8" w:rsidRDefault="009259C8" w:rsidP="009259C8">
      <w:pPr>
        <w:pStyle w:val="Ttulondice"/>
      </w:pPr>
    </w:p>
    <w:p w:rsidR="009259C8" w:rsidRDefault="009259C8" w:rsidP="009259C8">
      <w:pPr>
        <w:pStyle w:val="Ttulondice"/>
      </w:pPr>
    </w:p>
    <w:p w:rsidR="009259C8" w:rsidRDefault="009259C8" w:rsidP="009259C8">
      <w:pPr>
        <w:pStyle w:val="EntradandiceAuto"/>
      </w:pPr>
      <w:r>
        <w:t>Sección Primera. Auto 1/2008, de 9 de enero de 2008. Acuerda el desistimiento en el recurso de amparo 5640-2005, promovido por Colegio Provincial de Abogados de A Coruña.</w:t>
      </w:r>
      <w:r>
        <w:tab/>
      </w:r>
      <w:r>
        <w:tab/>
      </w:r>
      <w:r>
        <w:fldChar w:fldCharType="begin"/>
      </w:r>
      <w:r>
        <w:instrText xml:space="preserve"> PAGEREF AUTO_2008_1 \h </w:instrText>
      </w:r>
      <w:r>
        <w:fldChar w:fldCharType="separate"/>
      </w:r>
      <w:r w:rsidR="003D67AB">
        <w:rPr>
          <w:noProof/>
        </w:rPr>
        <w:t>800</w:t>
      </w:r>
      <w:r>
        <w:fldChar w:fldCharType="end"/>
      </w:r>
    </w:p>
    <w:p w:rsidR="0052098F" w:rsidRDefault="0052098F" w:rsidP="009259C8"/>
    <w:p w:rsidR="009259C8" w:rsidRDefault="009259C8" w:rsidP="009259C8">
      <w:pPr>
        <w:pStyle w:val="EntradandiceAuto"/>
      </w:pPr>
      <w:r>
        <w:t>Sección Tercera. Auto 2/2008, de 9 de enero de 2008. Desestima el recurso de súplica sobre inadmisión del recurso de amparo 7240-2005, promovido por Pronovias, S.A., en litigio por despido.</w:t>
      </w:r>
      <w:r>
        <w:tab/>
      </w:r>
      <w:r>
        <w:tab/>
      </w:r>
      <w:r>
        <w:fldChar w:fldCharType="begin"/>
      </w:r>
      <w:r>
        <w:instrText xml:space="preserve"> PAGEREF AUTO_2008_2 \h </w:instrText>
      </w:r>
      <w:r>
        <w:fldChar w:fldCharType="separate"/>
      </w:r>
      <w:r w:rsidR="003D67AB">
        <w:rPr>
          <w:noProof/>
        </w:rPr>
        <w:t>801</w:t>
      </w:r>
      <w:r>
        <w:fldChar w:fldCharType="end"/>
      </w:r>
    </w:p>
    <w:p w:rsidR="009259C8" w:rsidRDefault="009259C8" w:rsidP="009259C8"/>
    <w:p w:rsidR="009259C8" w:rsidRDefault="009259C8" w:rsidP="009259C8">
      <w:pPr>
        <w:pStyle w:val="EntradandiceAuto"/>
      </w:pPr>
      <w:r>
        <w:t>Sección Primera. Auto 3/2008, de 9 de enero de 2008. Acuerda el desistimiento en el recurso de amparo 1729-2006, promovido por Holcim Hormigones, S.A.</w:t>
      </w:r>
      <w:r>
        <w:tab/>
      </w:r>
      <w:r>
        <w:tab/>
      </w:r>
      <w:r>
        <w:fldChar w:fldCharType="begin"/>
      </w:r>
      <w:r>
        <w:instrText xml:space="preserve"> PAGEREF AUTO_2008_3 \h </w:instrText>
      </w:r>
      <w:r>
        <w:fldChar w:fldCharType="separate"/>
      </w:r>
      <w:r w:rsidR="003D67AB">
        <w:rPr>
          <w:noProof/>
        </w:rPr>
        <w:t>807</w:t>
      </w:r>
      <w:r>
        <w:fldChar w:fldCharType="end"/>
      </w:r>
    </w:p>
    <w:p w:rsidR="009259C8" w:rsidRDefault="009259C8" w:rsidP="009259C8"/>
    <w:p w:rsidR="009259C8" w:rsidRDefault="009259C8" w:rsidP="009259C8">
      <w:pPr>
        <w:pStyle w:val="EntradandiceAuto"/>
      </w:pPr>
      <w:r>
        <w:t>Sección Primera. Auto 4/2008, de 9 de enero de 2008. Inadmite a trámite el recurso de amparo 2989-2007, promovido por don Iñaki de Juana Chaos en causa por delitos de amenazas y enaltecimiento del terrorismo.</w:t>
      </w:r>
      <w:r>
        <w:tab/>
      </w:r>
      <w:r>
        <w:tab/>
      </w:r>
      <w:r>
        <w:fldChar w:fldCharType="begin"/>
      </w:r>
      <w:r>
        <w:instrText xml:space="preserve"> PAGEREF AUTO_2008_4 \h </w:instrText>
      </w:r>
      <w:r>
        <w:fldChar w:fldCharType="separate"/>
      </w:r>
      <w:r w:rsidR="003D67AB">
        <w:rPr>
          <w:noProof/>
        </w:rPr>
        <w:t>808</w:t>
      </w:r>
      <w:r>
        <w:fldChar w:fldCharType="end"/>
      </w:r>
    </w:p>
    <w:p w:rsidR="009259C8" w:rsidRDefault="009259C8" w:rsidP="009259C8"/>
    <w:p w:rsidR="009259C8" w:rsidRDefault="009259C8" w:rsidP="009259C8">
      <w:pPr>
        <w:pStyle w:val="EntradandiceAuto"/>
      </w:pPr>
      <w:r>
        <w:t>Sección Primera. Auto 5/2008, de 9 de enero de 2008. Acuerda el desistimiento en el recurso de amparo 4310-2007.</w:t>
      </w:r>
      <w:r>
        <w:tab/>
      </w:r>
      <w:r>
        <w:tab/>
      </w:r>
      <w:r>
        <w:fldChar w:fldCharType="begin"/>
      </w:r>
      <w:r>
        <w:instrText xml:space="preserve"> PAGEREF AUTO_2008_5 \h </w:instrText>
      </w:r>
      <w:r>
        <w:fldChar w:fldCharType="separate"/>
      </w:r>
      <w:r w:rsidR="003D67AB">
        <w:rPr>
          <w:noProof/>
        </w:rPr>
        <w:t>818</w:t>
      </w:r>
      <w:r>
        <w:fldChar w:fldCharType="end"/>
      </w:r>
    </w:p>
    <w:p w:rsidR="009259C8" w:rsidRDefault="009259C8" w:rsidP="009259C8"/>
    <w:p w:rsidR="009259C8" w:rsidRDefault="009259C8" w:rsidP="009259C8">
      <w:pPr>
        <w:pStyle w:val="EntradandiceAuto"/>
      </w:pPr>
      <w:r>
        <w:t>Sección Primera. Auto 6/2008, de 9 de enero de 2008. Acuerda el desistimiento en el recurso de amparo 7807-2007, promovido por Comersan, S.A.</w:t>
      </w:r>
      <w:r>
        <w:tab/>
      </w:r>
      <w:r>
        <w:tab/>
      </w:r>
      <w:r>
        <w:fldChar w:fldCharType="begin"/>
      </w:r>
      <w:r>
        <w:instrText xml:space="preserve"> PAGEREF AUTO_2008_6 \h </w:instrText>
      </w:r>
      <w:r>
        <w:fldChar w:fldCharType="separate"/>
      </w:r>
      <w:r w:rsidR="003D67AB">
        <w:rPr>
          <w:noProof/>
        </w:rPr>
        <w:t>819</w:t>
      </w:r>
      <w:r>
        <w:fldChar w:fldCharType="end"/>
      </w:r>
    </w:p>
    <w:p w:rsidR="009259C8" w:rsidRDefault="009259C8" w:rsidP="009259C8"/>
    <w:p w:rsidR="009259C8" w:rsidRDefault="009259C8" w:rsidP="009259C8">
      <w:pPr>
        <w:pStyle w:val="EntradandiceAuto"/>
      </w:pPr>
      <w:r>
        <w:t>Sala Primera. Auto 7/2008, de 14 de enero de 2008. Acuerda la suspensión parcial en el recurso de amparo 6206-2006, promovido por don Juan Galisteo Palma en causa por delito contra la salud pública.</w:t>
      </w:r>
      <w:r>
        <w:tab/>
      </w:r>
      <w:r>
        <w:tab/>
      </w:r>
      <w:r>
        <w:fldChar w:fldCharType="begin"/>
      </w:r>
      <w:r>
        <w:instrText xml:space="preserve"> PAGEREF AUTO_2008_7 \h </w:instrText>
      </w:r>
      <w:r>
        <w:fldChar w:fldCharType="separate"/>
      </w:r>
      <w:r w:rsidR="003D67AB">
        <w:rPr>
          <w:noProof/>
        </w:rPr>
        <w:t>820</w:t>
      </w:r>
      <w:r>
        <w:fldChar w:fldCharType="end"/>
      </w:r>
    </w:p>
    <w:p w:rsidR="009259C8" w:rsidRDefault="009259C8" w:rsidP="009259C8"/>
    <w:p w:rsidR="009259C8" w:rsidRDefault="009259C8" w:rsidP="009259C8">
      <w:pPr>
        <w:pStyle w:val="EntradandiceAuto"/>
      </w:pPr>
      <w:r>
        <w:t>Pleno. Auto 8/2008, de 16 de enero de 2008. Inadmite a trámite por infundada la cuestión de inconstitucionalidad 6897-2007, planteada por el Juzgado de lo Contencioso-Administrativo núm. 4 de Córdoba en relación con la Ley del Parlamento de Andalucía 18/2003, de 29 de diciembre, de medidas fiscales y administrativas, en lo relativo al impuesto sobre depósito de residuos radioactivos.</w:t>
      </w:r>
      <w:r>
        <w:tab/>
      </w:r>
      <w:r>
        <w:tab/>
      </w:r>
      <w:r>
        <w:fldChar w:fldCharType="begin"/>
      </w:r>
      <w:r>
        <w:instrText xml:space="preserve"> PAGEREF AUTO_2008_8 \h </w:instrText>
      </w:r>
      <w:r>
        <w:fldChar w:fldCharType="separate"/>
      </w:r>
      <w:r w:rsidR="003D67AB">
        <w:rPr>
          <w:noProof/>
        </w:rPr>
        <w:t>824</w:t>
      </w:r>
      <w:r>
        <w:fldChar w:fldCharType="end"/>
      </w:r>
    </w:p>
    <w:p w:rsidR="009259C8" w:rsidRDefault="009259C8" w:rsidP="009259C8"/>
    <w:p w:rsidR="009259C8" w:rsidRDefault="009259C8" w:rsidP="009259C8">
      <w:pPr>
        <w:pStyle w:val="EntradandiceAuto"/>
      </w:pPr>
      <w:r>
        <w:t>Pleno. Auto 9/2008, de 16 de enero de 2008. Inadmite a trámite por infundada la cuestión de inconstitucionalidad 6898-2007, planteada por el Juzgado de lo Contencioso-Administrativo núm. 4 de Córdoba en relación con la Ley del Parlamento de Andalucía 18/2003, de 29 de diciembre, de medidas fiscales y administrativas, en lo relativo al impuesto sobre depósito de residuos radioactivos.</w:t>
      </w:r>
      <w:r>
        <w:tab/>
      </w:r>
      <w:r>
        <w:tab/>
      </w:r>
      <w:r>
        <w:fldChar w:fldCharType="begin"/>
      </w:r>
      <w:r>
        <w:instrText xml:space="preserve"> PAGEREF AUTO_2008_9 \h </w:instrText>
      </w:r>
      <w:r>
        <w:fldChar w:fldCharType="separate"/>
      </w:r>
      <w:r w:rsidR="003D67AB">
        <w:rPr>
          <w:noProof/>
        </w:rPr>
        <w:t>829</w:t>
      </w:r>
      <w:r>
        <w:fldChar w:fldCharType="end"/>
      </w:r>
    </w:p>
    <w:p w:rsidR="009259C8" w:rsidRDefault="009259C8" w:rsidP="009259C8"/>
    <w:p w:rsidR="009259C8" w:rsidRDefault="009259C8" w:rsidP="009259C8">
      <w:pPr>
        <w:pStyle w:val="EntradandiceAuto"/>
      </w:pPr>
      <w:r>
        <w:t>Pleno. Auto 10/2008, de 16 de enero de 2008. Inadmite a trámite por infundada la cuestión de inconstitucionalidad 6899-2007, planteada por el Juzgado de lo Contencioso-Administrativo núm. 4 de Córdoba en relación con la Ley del Parlamento de Andalucía 18/2003, de 29 de diciembre, de medidas fiscales y administrativas, en lo relativo al impuesto sobre depósito de residuos radioactivos.</w:t>
      </w:r>
      <w:r>
        <w:tab/>
      </w:r>
      <w:r>
        <w:tab/>
      </w:r>
      <w:r>
        <w:fldChar w:fldCharType="begin"/>
      </w:r>
      <w:r>
        <w:instrText xml:space="preserve"> PAGEREF AUTO_2008_10 \h </w:instrText>
      </w:r>
      <w:r>
        <w:fldChar w:fldCharType="separate"/>
      </w:r>
      <w:r w:rsidR="003D67AB">
        <w:rPr>
          <w:noProof/>
        </w:rPr>
        <w:t>833</w:t>
      </w:r>
      <w:r>
        <w:fldChar w:fldCharType="end"/>
      </w:r>
    </w:p>
    <w:p w:rsidR="009259C8" w:rsidRDefault="009259C8" w:rsidP="009259C8"/>
    <w:p w:rsidR="009259C8" w:rsidRDefault="009259C8" w:rsidP="009259C8">
      <w:pPr>
        <w:pStyle w:val="EntradandiceAuto"/>
      </w:pPr>
      <w:r>
        <w:t>Pleno. Auto 11/2008, de 16 de enero de 2008. Inadmite a trámite por infundada la cuestión de inconstitucionalidad 7496-2007, planteada por el Tribunal Superior de Justicia de Galicia en relación con el artículo 26.4 de la Ley del Parlamento de Galicia 5/1999, de 21 de mayo, de ordenación farmacéutica.</w:t>
      </w:r>
      <w:r>
        <w:tab/>
      </w:r>
      <w:r>
        <w:tab/>
      </w:r>
      <w:r>
        <w:fldChar w:fldCharType="begin"/>
      </w:r>
      <w:r>
        <w:instrText xml:space="preserve"> PAGEREF AUTO_2008_11 \h </w:instrText>
      </w:r>
      <w:r>
        <w:fldChar w:fldCharType="separate"/>
      </w:r>
      <w:r w:rsidR="003D67AB">
        <w:rPr>
          <w:noProof/>
        </w:rPr>
        <w:t>837</w:t>
      </w:r>
      <w:r>
        <w:fldChar w:fldCharType="end"/>
      </w:r>
    </w:p>
    <w:p w:rsidR="009259C8" w:rsidRDefault="009259C8" w:rsidP="009259C8"/>
    <w:p w:rsidR="009259C8" w:rsidRDefault="009259C8" w:rsidP="009259C8">
      <w:pPr>
        <w:pStyle w:val="EntradandiceAuto"/>
      </w:pPr>
      <w:r>
        <w:t>Pleno. Auto 12/2008, de 16 de enero de 2008. Inadmite a trámite la cuestión de inconstitucionalidad 7796-2007, planteada por el Magistrado encargado del Registro Civil de Cieza en relación con el artículo 44, párrafo 2, del Código civil, en la redacción dada por la Ley 13/2005, de 1 de julio. Votos particulares.</w:t>
      </w:r>
      <w:r>
        <w:tab/>
      </w:r>
      <w:r>
        <w:tab/>
      </w:r>
      <w:r>
        <w:fldChar w:fldCharType="begin"/>
      </w:r>
      <w:r>
        <w:instrText xml:space="preserve"> PAGEREF AUTO_2008_12 \h </w:instrText>
      </w:r>
      <w:r>
        <w:fldChar w:fldCharType="separate"/>
      </w:r>
      <w:r w:rsidR="003D67AB">
        <w:rPr>
          <w:noProof/>
        </w:rPr>
        <w:t>845</w:t>
      </w:r>
      <w:r>
        <w:fldChar w:fldCharType="end"/>
      </w:r>
    </w:p>
    <w:p w:rsidR="009259C8" w:rsidRDefault="009259C8" w:rsidP="009259C8"/>
    <w:p w:rsidR="009259C8" w:rsidRDefault="009259C8" w:rsidP="009259C8">
      <w:pPr>
        <w:pStyle w:val="EntradandiceAuto"/>
      </w:pPr>
      <w:r>
        <w:t>Pleno. Auto 13/2008, de 16 de enero de 2008. Inadmite a trámite la cuestión de inconstitucionalidad 7945-2007, planteada por el Juzgado de lo Penal núm. 2 de Las Palmas de Gran Canaria en relación con el artículo 148.1.4 del Código penal, en la redacción dada por la Ley Orgánica 1/2004, de 28 de diciembre, de medidas de protección integral contra la violencia de género.</w:t>
      </w:r>
      <w:r>
        <w:tab/>
      </w:r>
      <w:r>
        <w:tab/>
      </w:r>
      <w:r>
        <w:fldChar w:fldCharType="begin"/>
      </w:r>
      <w:r>
        <w:instrText xml:space="preserve"> PAGEREF AUTO_2008_13 \h </w:instrText>
      </w:r>
      <w:r>
        <w:fldChar w:fldCharType="separate"/>
      </w:r>
      <w:r w:rsidR="003D67AB">
        <w:rPr>
          <w:noProof/>
        </w:rPr>
        <w:t>857</w:t>
      </w:r>
      <w:r>
        <w:fldChar w:fldCharType="end"/>
      </w:r>
    </w:p>
    <w:p w:rsidR="009259C8" w:rsidRDefault="009259C8" w:rsidP="009259C8"/>
    <w:p w:rsidR="009259C8" w:rsidRDefault="009259C8" w:rsidP="009259C8">
      <w:pPr>
        <w:pStyle w:val="EntradandiceAuto"/>
      </w:pPr>
      <w:r>
        <w:t>Sección Segunda. Auto 14/2008, de 17 de enero de 2008. Acuerda el desistimiento en el recurso de amparo 1379-2007.</w:t>
      </w:r>
      <w:r>
        <w:tab/>
      </w:r>
      <w:r>
        <w:tab/>
      </w:r>
      <w:r>
        <w:fldChar w:fldCharType="begin"/>
      </w:r>
      <w:r>
        <w:instrText xml:space="preserve"> PAGEREF AUTO_2008_14 \h </w:instrText>
      </w:r>
      <w:r>
        <w:fldChar w:fldCharType="separate"/>
      </w:r>
      <w:r w:rsidR="003D67AB">
        <w:rPr>
          <w:noProof/>
        </w:rPr>
        <w:t>864</w:t>
      </w:r>
      <w:r>
        <w:fldChar w:fldCharType="end"/>
      </w:r>
    </w:p>
    <w:p w:rsidR="009259C8" w:rsidRDefault="009259C8" w:rsidP="009259C8"/>
    <w:p w:rsidR="009259C8" w:rsidRDefault="009259C8" w:rsidP="009259C8">
      <w:pPr>
        <w:pStyle w:val="EntradandiceAuto"/>
      </w:pPr>
      <w:r>
        <w:t>Sección Segunda. Auto 15/2008, de 17 de enero de 2008. Acuerda el desistimiento en el recurso de amparo 1536-2007.</w:t>
      </w:r>
      <w:r>
        <w:tab/>
      </w:r>
      <w:r>
        <w:tab/>
      </w:r>
      <w:r>
        <w:fldChar w:fldCharType="begin"/>
      </w:r>
      <w:r>
        <w:instrText xml:space="preserve"> PAGEREF AUTO_2008_15 \h </w:instrText>
      </w:r>
      <w:r>
        <w:fldChar w:fldCharType="separate"/>
      </w:r>
      <w:r w:rsidR="003D67AB">
        <w:rPr>
          <w:noProof/>
        </w:rPr>
        <w:t>865</w:t>
      </w:r>
      <w:r>
        <w:fldChar w:fldCharType="end"/>
      </w:r>
    </w:p>
    <w:p w:rsidR="009259C8" w:rsidRDefault="009259C8" w:rsidP="009259C8"/>
    <w:p w:rsidR="009259C8" w:rsidRDefault="009259C8" w:rsidP="009259C8">
      <w:pPr>
        <w:pStyle w:val="EntradandiceAuto"/>
      </w:pPr>
      <w:r>
        <w:lastRenderedPageBreak/>
        <w:t>Sala Primera. Auto 16/2008, de 21 de enero de 2008. Deniega la suspensión en el recurso de amparo 156-2006, promovido por don Luis Miguel Martins Da Silva Mira Calhanas en causa por delito de lesiones.</w:t>
      </w:r>
      <w:r>
        <w:tab/>
      </w:r>
      <w:r>
        <w:tab/>
      </w:r>
      <w:r>
        <w:fldChar w:fldCharType="begin"/>
      </w:r>
      <w:r>
        <w:instrText xml:space="preserve"> PAGEREF AUTO_2008_16 \h </w:instrText>
      </w:r>
      <w:r>
        <w:fldChar w:fldCharType="separate"/>
      </w:r>
      <w:r w:rsidR="003D67AB">
        <w:rPr>
          <w:noProof/>
        </w:rPr>
        <w:t>866</w:t>
      </w:r>
      <w:r>
        <w:fldChar w:fldCharType="end"/>
      </w:r>
    </w:p>
    <w:p w:rsidR="009259C8" w:rsidRDefault="009259C8" w:rsidP="009259C8"/>
    <w:p w:rsidR="009259C8" w:rsidRDefault="009259C8" w:rsidP="009259C8">
      <w:pPr>
        <w:pStyle w:val="EntradandiceAuto"/>
      </w:pPr>
      <w:r>
        <w:t>Sala Primera. Auto 17/2008, de 21 de enero de 2008. Deniega la suspensión en el recurso de amparo 10245-2006, promovido por don Ángel Luis Hermosa Urra en procedimiento de vigilancia penitenciaria sobre licenciamiento definitivo.</w:t>
      </w:r>
      <w:r>
        <w:tab/>
      </w:r>
      <w:r>
        <w:tab/>
      </w:r>
      <w:r>
        <w:fldChar w:fldCharType="begin"/>
      </w:r>
      <w:r>
        <w:instrText xml:space="preserve"> PAGEREF AUTO_2008_17 \h </w:instrText>
      </w:r>
      <w:r>
        <w:fldChar w:fldCharType="separate"/>
      </w:r>
      <w:r w:rsidR="003D67AB">
        <w:rPr>
          <w:noProof/>
        </w:rPr>
        <w:t>870</w:t>
      </w:r>
      <w:r>
        <w:fldChar w:fldCharType="end"/>
      </w:r>
    </w:p>
    <w:p w:rsidR="009259C8" w:rsidRDefault="009259C8" w:rsidP="009259C8"/>
    <w:p w:rsidR="009259C8" w:rsidRDefault="009259C8" w:rsidP="009259C8">
      <w:pPr>
        <w:pStyle w:val="EntradandiceAuto"/>
      </w:pPr>
      <w:r>
        <w:t>Sala Primera. Auto 18/2008, de 21 de enero de 2008. Deniega la suspensión en el recurso de amparo 3783-2007, promovido por doña Ana María García Fuentes en litigio sobre despido.</w:t>
      </w:r>
      <w:r>
        <w:tab/>
      </w:r>
      <w:r>
        <w:tab/>
      </w:r>
      <w:r>
        <w:fldChar w:fldCharType="begin"/>
      </w:r>
      <w:r>
        <w:instrText xml:space="preserve"> PAGEREF AUTO_2008_18 \h </w:instrText>
      </w:r>
      <w:r>
        <w:fldChar w:fldCharType="separate"/>
      </w:r>
      <w:r w:rsidR="003D67AB">
        <w:rPr>
          <w:noProof/>
        </w:rPr>
        <w:t>875</w:t>
      </w:r>
      <w:r>
        <w:fldChar w:fldCharType="end"/>
      </w:r>
    </w:p>
    <w:p w:rsidR="009259C8" w:rsidRDefault="009259C8" w:rsidP="009259C8"/>
    <w:p w:rsidR="009259C8" w:rsidRDefault="009259C8" w:rsidP="009259C8">
      <w:pPr>
        <w:pStyle w:val="EntradandiceAuto"/>
      </w:pPr>
      <w:r>
        <w:t>Sala Segunda. Auto 19/2008, de 22 de enero de 2008. Deniega la suspensión en el recurso de amparo 7325-2006, promovido por don Juan Francisco Gómez López en procedimiento de vigilancia penitenciaria sobre licenciamiento definitivo.</w:t>
      </w:r>
      <w:r>
        <w:tab/>
      </w:r>
      <w:r>
        <w:tab/>
      </w:r>
      <w:r>
        <w:fldChar w:fldCharType="begin"/>
      </w:r>
      <w:r>
        <w:instrText xml:space="preserve"> PAGEREF AUTO_2008_19 \h </w:instrText>
      </w:r>
      <w:r>
        <w:fldChar w:fldCharType="separate"/>
      </w:r>
      <w:r w:rsidR="003D67AB">
        <w:rPr>
          <w:noProof/>
        </w:rPr>
        <w:t>878</w:t>
      </w:r>
      <w:r>
        <w:fldChar w:fldCharType="end"/>
      </w:r>
    </w:p>
    <w:p w:rsidR="009259C8" w:rsidRDefault="009259C8" w:rsidP="009259C8"/>
    <w:p w:rsidR="009259C8" w:rsidRDefault="009259C8" w:rsidP="009259C8">
      <w:pPr>
        <w:pStyle w:val="EntradandiceAuto"/>
      </w:pPr>
      <w:r>
        <w:t>Pleno. Auto 20/2008, de 22 de enero de 2008. Deniega una abstención en la cuestión de inconstitucionalidad 8638-2006, planteada por el Tribunal Superior de Justicia de Cataluña en relación con el artículo 3.4 del Real Decreto-ley 16/1977, de 25 de febrero, por el que se regulan los aspectos penales, administrativos y fiscales de los juegos de suerte, envite o azar y apuestas. Votos particulares.</w:t>
      </w:r>
      <w:r>
        <w:tab/>
      </w:r>
      <w:r>
        <w:tab/>
      </w:r>
      <w:r>
        <w:fldChar w:fldCharType="begin"/>
      </w:r>
      <w:r>
        <w:instrText xml:space="preserve"> PAGEREF AUTO_2008_20 \h </w:instrText>
      </w:r>
      <w:r>
        <w:fldChar w:fldCharType="separate"/>
      </w:r>
      <w:r w:rsidR="003D67AB">
        <w:rPr>
          <w:noProof/>
        </w:rPr>
        <w:t>882</w:t>
      </w:r>
      <w:r>
        <w:fldChar w:fldCharType="end"/>
      </w:r>
    </w:p>
    <w:p w:rsidR="009259C8" w:rsidRDefault="009259C8" w:rsidP="009259C8"/>
    <w:p w:rsidR="009259C8" w:rsidRDefault="009259C8" w:rsidP="009259C8">
      <w:pPr>
        <w:pStyle w:val="EntradandiceAuto"/>
      </w:pPr>
      <w:r>
        <w:t>Pleno. Auto 21/2008, de 22 de enero de 2008. Deniega una abstención en la cuestión de inconstitucionalidad 9545-2006, planteada por el Tribunal Superior de Justicia de Cataluña en relación con el artículo 3.4 del Real Decreto-ley 16/1997, de 25 de febrero, por el que se regulan los aspectos penales, administrativos y fiscales de los juegos de suerte, envite o azar y apuestas.</w:t>
      </w:r>
      <w:r>
        <w:tab/>
      </w:r>
      <w:r>
        <w:tab/>
      </w:r>
      <w:r>
        <w:fldChar w:fldCharType="begin"/>
      </w:r>
      <w:r>
        <w:instrText xml:space="preserve"> PAGEREF AUTO_2008_21 \h </w:instrText>
      </w:r>
      <w:r>
        <w:fldChar w:fldCharType="separate"/>
      </w:r>
      <w:r w:rsidR="003D67AB">
        <w:rPr>
          <w:noProof/>
        </w:rPr>
        <w:t>887</w:t>
      </w:r>
      <w:r>
        <w:fldChar w:fldCharType="end"/>
      </w:r>
    </w:p>
    <w:p w:rsidR="009259C8" w:rsidRDefault="009259C8" w:rsidP="009259C8"/>
    <w:p w:rsidR="009259C8" w:rsidRDefault="009259C8" w:rsidP="009259C8">
      <w:pPr>
        <w:pStyle w:val="EntradandiceAuto"/>
      </w:pPr>
      <w:r>
        <w:t>Pleno. Auto 22/2008, de 22 de enero de 2008. Acuerda el desistimiento en el recurso de inconstitucionalidad 2250-2007, planteado por la Comunidad Foral de Navarra en relación con la Ley 39/2006, de 14 de diciembre, de promoción de la autonomía personal y atención a personas en situación de dependencia.</w:t>
      </w:r>
      <w:r>
        <w:tab/>
      </w:r>
      <w:r>
        <w:tab/>
      </w:r>
      <w:r>
        <w:fldChar w:fldCharType="begin"/>
      </w:r>
      <w:r>
        <w:instrText xml:space="preserve"> PAGEREF AUTO_2008_22 \h </w:instrText>
      </w:r>
      <w:r>
        <w:fldChar w:fldCharType="separate"/>
      </w:r>
      <w:r w:rsidR="003D67AB">
        <w:rPr>
          <w:noProof/>
        </w:rPr>
        <w:t>892</w:t>
      </w:r>
      <w:r>
        <w:fldChar w:fldCharType="end"/>
      </w:r>
    </w:p>
    <w:p w:rsidR="009259C8" w:rsidRDefault="009259C8" w:rsidP="009259C8"/>
    <w:p w:rsidR="009259C8" w:rsidRDefault="009259C8" w:rsidP="009259C8">
      <w:pPr>
        <w:pStyle w:val="EntradandiceAuto"/>
      </w:pPr>
      <w:r>
        <w:t>Pleno. Auto 23/2008, de 22 de enero de 2008. Inadmite a trámite la cuestión de inconstitucionalidad 6896-2007, planteada por el Juzgado de lo Contencioso-Administrativo núm. 4 de Córdoba en relación con la Ley de Andalucía 18/2003, de 29 de diciembre, de medidas fiscales y administrativas, en lo relativo al impuesto sobre depósito de residuos radioactivos.</w:t>
      </w:r>
      <w:r>
        <w:tab/>
      </w:r>
      <w:r>
        <w:tab/>
      </w:r>
      <w:r>
        <w:fldChar w:fldCharType="begin"/>
      </w:r>
      <w:r>
        <w:instrText xml:space="preserve"> PAGEREF AUTO_2008_23 \h </w:instrText>
      </w:r>
      <w:r>
        <w:fldChar w:fldCharType="separate"/>
      </w:r>
      <w:r w:rsidR="003D67AB">
        <w:rPr>
          <w:noProof/>
        </w:rPr>
        <w:t>894</w:t>
      </w:r>
      <w:r>
        <w:fldChar w:fldCharType="end"/>
      </w:r>
    </w:p>
    <w:p w:rsidR="009259C8" w:rsidRDefault="009259C8" w:rsidP="009259C8"/>
    <w:p w:rsidR="009259C8" w:rsidRDefault="009259C8" w:rsidP="009259C8">
      <w:pPr>
        <w:pStyle w:val="EntradandiceAuto"/>
      </w:pPr>
      <w:r>
        <w:lastRenderedPageBreak/>
        <w:t>Pleno. Auto 24/2008, de 22 de enero de 2008. Inadmite a trámite la cuestión de inconstitucionalidad 7319-2007, planteada por el Juzgado de lo Contencioso-Administrativo núm. 3 de Madrid en relación con el artículo 16.3 de la Ley de la Comunidad de Madrid 20/1998, de 27 de noviembre, de ordenación y coordinación de los transportes urbanos de Madrid.</w:t>
      </w:r>
      <w:r>
        <w:tab/>
      </w:r>
      <w:r>
        <w:tab/>
      </w:r>
      <w:r>
        <w:fldChar w:fldCharType="begin"/>
      </w:r>
      <w:r>
        <w:instrText xml:space="preserve"> PAGEREF AUTO_2008_24 \h </w:instrText>
      </w:r>
      <w:r>
        <w:fldChar w:fldCharType="separate"/>
      </w:r>
      <w:r w:rsidR="003D67AB">
        <w:rPr>
          <w:noProof/>
        </w:rPr>
        <w:t>899</w:t>
      </w:r>
      <w:r>
        <w:fldChar w:fldCharType="end"/>
      </w:r>
    </w:p>
    <w:p w:rsidR="009259C8" w:rsidRDefault="009259C8" w:rsidP="009259C8"/>
    <w:p w:rsidR="009259C8" w:rsidRDefault="009259C8" w:rsidP="009259C8">
      <w:pPr>
        <w:pStyle w:val="EntradandiceAuto"/>
      </w:pPr>
      <w:r>
        <w:t>Sección Segunda. Auto 25/2008, de 23 de enero de 2008. Acepta una abstención en el recurso de amparo 7647-2005, promovido por doña Josefa Rodríguez Prada.</w:t>
      </w:r>
      <w:r>
        <w:tab/>
      </w:r>
      <w:r>
        <w:tab/>
      </w:r>
      <w:r>
        <w:fldChar w:fldCharType="begin"/>
      </w:r>
      <w:r>
        <w:instrText xml:space="preserve"> PAGEREF AUTO_2008_25 \h </w:instrText>
      </w:r>
      <w:r>
        <w:fldChar w:fldCharType="separate"/>
      </w:r>
      <w:r w:rsidR="003D67AB">
        <w:rPr>
          <w:noProof/>
        </w:rPr>
        <w:t>905</w:t>
      </w:r>
      <w:r>
        <w:fldChar w:fldCharType="end"/>
      </w:r>
    </w:p>
    <w:p w:rsidR="009259C8" w:rsidRDefault="009259C8" w:rsidP="009259C8"/>
    <w:p w:rsidR="009259C8" w:rsidRDefault="009259C8" w:rsidP="009259C8">
      <w:pPr>
        <w:pStyle w:val="EntradandiceAuto"/>
      </w:pPr>
      <w:r>
        <w:t>Sección Segunda. Auto 26/2008, de 23 de enero de 2008. Acuerda el desistimiento parcial en el recurso de amparo 1209-2007.</w:t>
      </w:r>
      <w:r>
        <w:tab/>
      </w:r>
      <w:r>
        <w:tab/>
      </w:r>
      <w:r>
        <w:fldChar w:fldCharType="begin"/>
      </w:r>
      <w:r>
        <w:instrText xml:space="preserve"> PAGEREF AUTO_2008_26 \h </w:instrText>
      </w:r>
      <w:r>
        <w:fldChar w:fldCharType="separate"/>
      </w:r>
      <w:r w:rsidR="003D67AB">
        <w:rPr>
          <w:noProof/>
        </w:rPr>
        <w:t>908</w:t>
      </w:r>
      <w:r>
        <w:fldChar w:fldCharType="end"/>
      </w:r>
    </w:p>
    <w:p w:rsidR="009259C8" w:rsidRDefault="009259C8" w:rsidP="009259C8"/>
    <w:p w:rsidR="009259C8" w:rsidRDefault="009259C8" w:rsidP="009259C8">
      <w:pPr>
        <w:pStyle w:val="EntradandiceAuto"/>
      </w:pPr>
      <w:r>
        <w:t>Sección Tercera. Auto 27/2008, de 28 de enero de 2008. Inadmite a trámite el recurso de amparo 3553-2004, promovido por don Luis Miguel Suárez Lema y otro en pleito sobre herencia.</w:t>
      </w:r>
      <w:r>
        <w:tab/>
      </w:r>
      <w:r>
        <w:tab/>
      </w:r>
      <w:r>
        <w:fldChar w:fldCharType="begin"/>
      </w:r>
      <w:r>
        <w:instrText xml:space="preserve"> PAGEREF AUTO_2008_27 \h </w:instrText>
      </w:r>
      <w:r>
        <w:fldChar w:fldCharType="separate"/>
      </w:r>
      <w:r w:rsidR="003D67AB">
        <w:rPr>
          <w:noProof/>
        </w:rPr>
        <w:t>909</w:t>
      </w:r>
      <w:r>
        <w:fldChar w:fldCharType="end"/>
      </w:r>
    </w:p>
    <w:p w:rsidR="009259C8" w:rsidRDefault="009259C8" w:rsidP="009259C8"/>
    <w:p w:rsidR="009259C8" w:rsidRDefault="009259C8" w:rsidP="009259C8">
      <w:pPr>
        <w:pStyle w:val="EntradandiceAuto"/>
      </w:pPr>
      <w:r>
        <w:t>Sección Cuarta. Auto 28/2008, de 28 de enero de 2008. Inadmite a trámite el recurso de amparo 6328-2004, promovido por doña Concepción Criado López contra la Sentencia del Juzgado de lo Contencioso-Administrativo núm. 1 de Córdoba, dictada en procedimiento abreviado nº 270/2004, sobre liquidación del impuesto de bienes inmuebles de naturaleza rústica.</w:t>
      </w:r>
      <w:r>
        <w:tab/>
      </w:r>
      <w:r>
        <w:tab/>
      </w:r>
      <w:r>
        <w:fldChar w:fldCharType="begin"/>
      </w:r>
      <w:r>
        <w:instrText xml:space="preserve"> PAGEREF AUTO_2008_28 \h </w:instrText>
      </w:r>
      <w:r>
        <w:fldChar w:fldCharType="separate"/>
      </w:r>
      <w:r w:rsidR="003D67AB">
        <w:rPr>
          <w:noProof/>
        </w:rPr>
        <w:t>918</w:t>
      </w:r>
      <w:r>
        <w:fldChar w:fldCharType="end"/>
      </w:r>
    </w:p>
    <w:p w:rsidR="009259C8" w:rsidRDefault="009259C8" w:rsidP="009259C8"/>
    <w:p w:rsidR="009259C8" w:rsidRDefault="009259C8" w:rsidP="009259C8">
      <w:pPr>
        <w:pStyle w:val="EntradandiceAuto"/>
      </w:pPr>
      <w:r>
        <w:t>Sección Tercera. Auto 29/2008, de 28 de enero de 2008. Inadmite a trámite el recurso de amparo 2216-2005, promovido por la Federación de Servicios y Administraciones Públicas de Comisiones Obreras de Madrid en contencioso sobre solicitud de listado de ocupación de puestos de trabajo en la Tesorería General de la Seguridad Social.</w:t>
      </w:r>
      <w:r>
        <w:tab/>
      </w:r>
      <w:r>
        <w:tab/>
      </w:r>
      <w:r>
        <w:fldChar w:fldCharType="begin"/>
      </w:r>
      <w:r>
        <w:instrText xml:space="preserve"> PAGEREF AUTO_2008_29 \h </w:instrText>
      </w:r>
      <w:r>
        <w:fldChar w:fldCharType="separate"/>
      </w:r>
      <w:r w:rsidR="003D67AB">
        <w:rPr>
          <w:noProof/>
        </w:rPr>
        <w:t>925</w:t>
      </w:r>
      <w:r>
        <w:fldChar w:fldCharType="end"/>
      </w:r>
    </w:p>
    <w:p w:rsidR="009259C8" w:rsidRDefault="009259C8" w:rsidP="009259C8"/>
    <w:p w:rsidR="009259C8" w:rsidRDefault="009259C8" w:rsidP="009259C8">
      <w:pPr>
        <w:pStyle w:val="EntradandiceAuto"/>
      </w:pPr>
      <w:r>
        <w:t>Sección Tercera. Auto 30/2008, de 28 de enero de 2008. Inadmite a trámite el recurso de amparo 6225-2005, promovido por don José María Vea Casado en litigio por despido.</w:t>
      </w:r>
      <w:r>
        <w:tab/>
      </w:r>
      <w:r>
        <w:tab/>
      </w:r>
      <w:r>
        <w:fldChar w:fldCharType="begin"/>
      </w:r>
      <w:r>
        <w:instrText xml:space="preserve"> PAGEREF AUTO_2008_30 \h </w:instrText>
      </w:r>
      <w:r>
        <w:fldChar w:fldCharType="separate"/>
      </w:r>
      <w:r w:rsidR="003D67AB">
        <w:rPr>
          <w:noProof/>
        </w:rPr>
        <w:t>931</w:t>
      </w:r>
      <w:r>
        <w:fldChar w:fldCharType="end"/>
      </w:r>
    </w:p>
    <w:p w:rsidR="009259C8" w:rsidRDefault="009259C8" w:rsidP="009259C8"/>
    <w:p w:rsidR="009259C8" w:rsidRDefault="009259C8" w:rsidP="009259C8">
      <w:pPr>
        <w:pStyle w:val="EntradandiceAuto"/>
      </w:pPr>
      <w:r>
        <w:t>Sala Segunda. Auto 31/2008, de 31 de enero de 2008. Desestima el recurso de súplica sobre suspensión en el recurso de amparo 6097-2005, promovido por don José Rodríguez Pichaco en causa por delito contra la salud pública.</w:t>
      </w:r>
      <w:r>
        <w:tab/>
      </w:r>
      <w:r>
        <w:tab/>
      </w:r>
      <w:r>
        <w:fldChar w:fldCharType="begin"/>
      </w:r>
      <w:r>
        <w:instrText xml:space="preserve"> PAGEREF AUTO_2008_31 \h </w:instrText>
      </w:r>
      <w:r>
        <w:fldChar w:fldCharType="separate"/>
      </w:r>
      <w:r w:rsidR="003D67AB">
        <w:rPr>
          <w:noProof/>
        </w:rPr>
        <w:t>939</w:t>
      </w:r>
      <w:r>
        <w:fldChar w:fldCharType="end"/>
      </w:r>
    </w:p>
    <w:p w:rsidR="009259C8" w:rsidRDefault="009259C8" w:rsidP="009259C8"/>
    <w:p w:rsidR="009259C8" w:rsidRDefault="009259C8" w:rsidP="009259C8">
      <w:pPr>
        <w:pStyle w:val="EntradandiceAuto"/>
      </w:pPr>
      <w:r>
        <w:t>Sala Segunda. Auto 32/2008, de 31 de enero de 2008. Acuerda la suspensión en el recurso de amparo 8524-2006, interpuesto por don Félix Redondo Suárez en causa por delito de lesiones en el ámbito doméstico.</w:t>
      </w:r>
      <w:r>
        <w:tab/>
      </w:r>
      <w:r>
        <w:tab/>
      </w:r>
      <w:r>
        <w:fldChar w:fldCharType="begin"/>
      </w:r>
      <w:r>
        <w:instrText xml:space="preserve"> PAGEREF AUTO_2008_32 \h </w:instrText>
      </w:r>
      <w:r>
        <w:fldChar w:fldCharType="separate"/>
      </w:r>
      <w:r w:rsidR="003D67AB">
        <w:rPr>
          <w:noProof/>
        </w:rPr>
        <w:t>941</w:t>
      </w:r>
      <w:r>
        <w:fldChar w:fldCharType="end"/>
      </w:r>
    </w:p>
    <w:p w:rsidR="009259C8" w:rsidRDefault="009259C8" w:rsidP="009259C8"/>
    <w:p w:rsidR="009259C8" w:rsidRDefault="009259C8" w:rsidP="009259C8">
      <w:pPr>
        <w:pStyle w:val="EntradandiceAuto"/>
      </w:pPr>
      <w:r>
        <w:lastRenderedPageBreak/>
        <w:t>Sala Primera. Auto 33/2008, de 31 de enero de 2008. Deniega la suspensión en el recurso de amparo 2650-2007, promovido por don Miguel Collado Honrubia en causa por delito de quebrantamiento de condena.</w:t>
      </w:r>
      <w:r>
        <w:tab/>
      </w:r>
      <w:r>
        <w:tab/>
      </w:r>
      <w:r>
        <w:fldChar w:fldCharType="begin"/>
      </w:r>
      <w:r>
        <w:instrText xml:space="preserve"> PAGEREF AUTO_2008_33 \h </w:instrText>
      </w:r>
      <w:r>
        <w:fldChar w:fldCharType="separate"/>
      </w:r>
      <w:r w:rsidR="003D67AB">
        <w:rPr>
          <w:noProof/>
        </w:rPr>
        <w:t>945</w:t>
      </w:r>
      <w:r>
        <w:fldChar w:fldCharType="end"/>
      </w:r>
    </w:p>
    <w:p w:rsidR="009259C8" w:rsidRDefault="009259C8" w:rsidP="009259C8"/>
    <w:p w:rsidR="009259C8" w:rsidRDefault="009259C8" w:rsidP="009259C8">
      <w:pPr>
        <w:pStyle w:val="EntradandiceAuto"/>
      </w:pPr>
      <w:r>
        <w:t>Sección Primera. Auto 34/2008, de 6 de febrero de 2008. Acuerda el desistimiento en el recurso de amparo 10282-2006.</w:t>
      </w:r>
      <w:r>
        <w:tab/>
      </w:r>
      <w:r>
        <w:tab/>
      </w:r>
      <w:r>
        <w:fldChar w:fldCharType="begin"/>
      </w:r>
      <w:r>
        <w:instrText xml:space="preserve"> PAGEREF AUTO_2008_34 \h </w:instrText>
      </w:r>
      <w:r>
        <w:fldChar w:fldCharType="separate"/>
      </w:r>
      <w:r w:rsidR="003D67AB">
        <w:rPr>
          <w:noProof/>
        </w:rPr>
        <w:t>948</w:t>
      </w:r>
      <w:r>
        <w:fldChar w:fldCharType="end"/>
      </w:r>
    </w:p>
    <w:p w:rsidR="009259C8" w:rsidRDefault="009259C8" w:rsidP="009259C8"/>
    <w:p w:rsidR="009259C8" w:rsidRDefault="009259C8" w:rsidP="009259C8">
      <w:pPr>
        <w:pStyle w:val="EntradandiceAuto"/>
      </w:pPr>
      <w:r>
        <w:t>Sala Primera. Auto 35/2008, de 11 de febrero de 2008. Acuerda la acumulación de cuatro recursos de amparo al 5177-2003, promovidos en procedimientos de habeas corpus.</w:t>
      </w:r>
      <w:r>
        <w:tab/>
      </w:r>
      <w:r>
        <w:tab/>
      </w:r>
      <w:r>
        <w:fldChar w:fldCharType="begin"/>
      </w:r>
      <w:r>
        <w:instrText xml:space="preserve"> PAGEREF AUTO_2008_35 \h </w:instrText>
      </w:r>
      <w:r>
        <w:fldChar w:fldCharType="separate"/>
      </w:r>
      <w:r w:rsidR="003D67AB">
        <w:rPr>
          <w:noProof/>
        </w:rPr>
        <w:t>949</w:t>
      </w:r>
      <w:r>
        <w:fldChar w:fldCharType="end"/>
      </w:r>
    </w:p>
    <w:p w:rsidR="009259C8" w:rsidRDefault="009259C8" w:rsidP="009259C8"/>
    <w:p w:rsidR="009259C8" w:rsidRDefault="009259C8" w:rsidP="009259C8">
      <w:pPr>
        <w:pStyle w:val="EntradandiceAuto"/>
      </w:pPr>
      <w:r>
        <w:t>Sala Segunda. Auto 36/2008, de 11 de febrero de 2008. Deniega la suspensión en el recurso de amparo 5077-2005, promovido por don Emiliano Murciano García contra la Sentencia de la Audiencia Provincial de Navarra recaída en recurso de apelación nº 3/04 interpuesto contra la dictada por el Juzgado de lo Penal nº 3 de Pamplona en procedimiento abreviado nº 80/03.</w:t>
      </w:r>
      <w:r>
        <w:tab/>
      </w:r>
      <w:r>
        <w:tab/>
      </w:r>
      <w:r>
        <w:fldChar w:fldCharType="begin"/>
      </w:r>
      <w:r>
        <w:instrText xml:space="preserve"> PAGEREF AUTO_2008_36 \h </w:instrText>
      </w:r>
      <w:r>
        <w:fldChar w:fldCharType="separate"/>
      </w:r>
      <w:r w:rsidR="003D67AB">
        <w:rPr>
          <w:noProof/>
        </w:rPr>
        <w:t>950</w:t>
      </w:r>
      <w:r>
        <w:fldChar w:fldCharType="end"/>
      </w:r>
    </w:p>
    <w:p w:rsidR="009259C8" w:rsidRDefault="009259C8" w:rsidP="009259C8"/>
    <w:p w:rsidR="009259C8" w:rsidRDefault="009259C8" w:rsidP="009259C8">
      <w:pPr>
        <w:pStyle w:val="EntradandiceAuto"/>
      </w:pPr>
      <w:r>
        <w:t>Sala Segunda. Auto 37/2008, de 11 de febrero de 2008. Acuerda la suspensión parcial en el recurso de amparo 5417-2005, promovido por don Andrés Pajares Alonso en causa por delito de lesiones.</w:t>
      </w:r>
      <w:r>
        <w:tab/>
      </w:r>
      <w:r>
        <w:tab/>
      </w:r>
      <w:r>
        <w:fldChar w:fldCharType="begin"/>
      </w:r>
      <w:r>
        <w:instrText xml:space="preserve"> PAGEREF AUTO_2008_37 \h </w:instrText>
      </w:r>
      <w:r>
        <w:fldChar w:fldCharType="separate"/>
      </w:r>
      <w:r w:rsidR="003D67AB">
        <w:rPr>
          <w:noProof/>
        </w:rPr>
        <w:t>953</w:t>
      </w:r>
      <w:r>
        <w:fldChar w:fldCharType="end"/>
      </w:r>
    </w:p>
    <w:p w:rsidR="009259C8" w:rsidRDefault="009259C8" w:rsidP="009259C8"/>
    <w:p w:rsidR="009259C8" w:rsidRDefault="009259C8" w:rsidP="009259C8">
      <w:pPr>
        <w:pStyle w:val="EntradandiceAuto"/>
      </w:pPr>
      <w:r>
        <w:t>Sección Tercera. Auto 38/2008, de 11 de febrero de 2008. Desestima el recurso de súplica sobre inadmisión del recurso de amparo 8070-2005, promovido por don Julián Tortosa Rodríguez en pleito por liquidación de gananciales.</w:t>
      </w:r>
      <w:r>
        <w:tab/>
      </w:r>
      <w:r>
        <w:tab/>
      </w:r>
      <w:r>
        <w:fldChar w:fldCharType="begin"/>
      </w:r>
      <w:r>
        <w:instrText xml:space="preserve"> PAGEREF AUTO_2008_38 \h </w:instrText>
      </w:r>
      <w:r>
        <w:fldChar w:fldCharType="separate"/>
      </w:r>
      <w:r w:rsidR="003D67AB">
        <w:rPr>
          <w:noProof/>
        </w:rPr>
        <w:t>957</w:t>
      </w:r>
      <w:r>
        <w:fldChar w:fldCharType="end"/>
      </w:r>
    </w:p>
    <w:p w:rsidR="009259C8" w:rsidRDefault="009259C8" w:rsidP="009259C8"/>
    <w:p w:rsidR="009259C8" w:rsidRDefault="009259C8" w:rsidP="009259C8">
      <w:pPr>
        <w:pStyle w:val="EntradandiceAuto"/>
      </w:pPr>
      <w:r>
        <w:t>Sala Segunda. Auto 39/2008, de 11 de febrero de 2008. Deniega la suspensión en el recurso de amparo 8426-2005, promovido por El Estanquero, S.L., en pleito sobre suspensión de obra nueva.</w:t>
      </w:r>
      <w:r>
        <w:tab/>
      </w:r>
      <w:r>
        <w:tab/>
      </w:r>
      <w:r>
        <w:fldChar w:fldCharType="begin"/>
      </w:r>
      <w:r>
        <w:instrText xml:space="preserve"> PAGEREF AUTO_2008_39 \h </w:instrText>
      </w:r>
      <w:r>
        <w:fldChar w:fldCharType="separate"/>
      </w:r>
      <w:r w:rsidR="003D67AB">
        <w:rPr>
          <w:noProof/>
        </w:rPr>
        <w:t>960</w:t>
      </w:r>
      <w:r>
        <w:fldChar w:fldCharType="end"/>
      </w:r>
    </w:p>
    <w:p w:rsidR="009259C8" w:rsidRDefault="009259C8" w:rsidP="009259C8"/>
    <w:p w:rsidR="009259C8" w:rsidRDefault="009259C8" w:rsidP="009259C8">
      <w:pPr>
        <w:pStyle w:val="EntradandiceAuto"/>
      </w:pPr>
      <w:r>
        <w:t>Sala Segunda. Auto 40/2008, de 11 de febrero de 2008. Deniega la suspensión en el recurso de amparo 28-2006, promovido por la sociedad civil San Fermín en contencioso sobre embargo de bienes inmuebles.</w:t>
      </w:r>
      <w:r>
        <w:tab/>
      </w:r>
      <w:r>
        <w:tab/>
      </w:r>
      <w:r>
        <w:fldChar w:fldCharType="begin"/>
      </w:r>
      <w:r>
        <w:instrText xml:space="preserve"> PAGEREF AUTO_2008_40 \h </w:instrText>
      </w:r>
      <w:r>
        <w:fldChar w:fldCharType="separate"/>
      </w:r>
      <w:r w:rsidR="003D67AB">
        <w:rPr>
          <w:noProof/>
        </w:rPr>
        <w:t>964</w:t>
      </w:r>
      <w:r>
        <w:fldChar w:fldCharType="end"/>
      </w:r>
    </w:p>
    <w:p w:rsidR="009259C8" w:rsidRDefault="009259C8" w:rsidP="009259C8"/>
    <w:p w:rsidR="009259C8" w:rsidRDefault="009259C8" w:rsidP="009259C8">
      <w:pPr>
        <w:pStyle w:val="EntradandiceAuto"/>
      </w:pPr>
      <w:r>
        <w:t>Sección Tercera. Auto 41/2008, de 11 de febrero de 2008. Inadmite a trámite el recurso de amparo 1090-2006, promovido por Tecomat, S.A., en pleito por quiebra voluntaria.</w:t>
      </w:r>
      <w:r>
        <w:tab/>
      </w:r>
      <w:r>
        <w:tab/>
      </w:r>
      <w:r>
        <w:fldChar w:fldCharType="begin"/>
      </w:r>
      <w:r>
        <w:instrText xml:space="preserve"> PAGEREF AUTO_2008_41 \h </w:instrText>
      </w:r>
      <w:r>
        <w:fldChar w:fldCharType="separate"/>
      </w:r>
      <w:r w:rsidR="003D67AB">
        <w:rPr>
          <w:noProof/>
        </w:rPr>
        <w:t>967</w:t>
      </w:r>
      <w:r>
        <w:fldChar w:fldCharType="end"/>
      </w:r>
    </w:p>
    <w:p w:rsidR="009259C8" w:rsidRDefault="009259C8" w:rsidP="009259C8"/>
    <w:p w:rsidR="009259C8" w:rsidRDefault="009259C8" w:rsidP="009259C8">
      <w:pPr>
        <w:pStyle w:val="EntradandiceAuto"/>
      </w:pPr>
      <w:r>
        <w:t>Sala Segunda. Auto 42/2008, de 11 de febrero de 2008. Deniega la suspensión en el recurso de amparo 5094-2006, promovido por doña Ainara Fresneda Echevarría en pleito por quiebra voluntaria.</w:t>
      </w:r>
      <w:r>
        <w:tab/>
      </w:r>
      <w:r>
        <w:tab/>
      </w:r>
      <w:r>
        <w:fldChar w:fldCharType="begin"/>
      </w:r>
      <w:r>
        <w:instrText xml:space="preserve"> PAGEREF AUTO_2008_42 \h </w:instrText>
      </w:r>
      <w:r>
        <w:fldChar w:fldCharType="separate"/>
      </w:r>
      <w:r w:rsidR="003D67AB">
        <w:rPr>
          <w:noProof/>
        </w:rPr>
        <w:t>971</w:t>
      </w:r>
      <w:r>
        <w:fldChar w:fldCharType="end"/>
      </w:r>
    </w:p>
    <w:p w:rsidR="009259C8" w:rsidRDefault="009259C8" w:rsidP="009259C8"/>
    <w:p w:rsidR="009259C8" w:rsidRDefault="009259C8" w:rsidP="009259C8">
      <w:pPr>
        <w:pStyle w:val="EntradandiceAuto"/>
      </w:pPr>
      <w:r>
        <w:lastRenderedPageBreak/>
        <w:t>Sala Segunda. Auto 43/2008, de 11 de febrero de 2008. Deniega la suspensión en el recurso de amparo 7991-2006, promovido por don Jesús Bollada Álvarez en procedimiento sobre licenciamiento definitivo.</w:t>
      </w:r>
      <w:r>
        <w:tab/>
      </w:r>
      <w:r>
        <w:tab/>
      </w:r>
      <w:r>
        <w:fldChar w:fldCharType="begin"/>
      </w:r>
      <w:r>
        <w:instrText xml:space="preserve"> PAGEREF AUTO_2008_43 \h </w:instrText>
      </w:r>
      <w:r>
        <w:fldChar w:fldCharType="separate"/>
      </w:r>
      <w:r w:rsidR="003D67AB">
        <w:rPr>
          <w:noProof/>
        </w:rPr>
        <w:t>974</w:t>
      </w:r>
      <w:r>
        <w:fldChar w:fldCharType="end"/>
      </w:r>
    </w:p>
    <w:p w:rsidR="009259C8" w:rsidRDefault="009259C8" w:rsidP="009259C8"/>
    <w:p w:rsidR="009259C8" w:rsidRDefault="009259C8" w:rsidP="009259C8">
      <w:pPr>
        <w:pStyle w:val="EntradandiceAuto"/>
      </w:pPr>
      <w:r>
        <w:t>Sala Segunda. Auto 44/2008, de 11 de febrero de 2008. Acuerda la suspensión en el recurso de amparo 9283-2006, promovido por don José María Bases Sebastián y otros en causa por delito contra la hacienda pública.</w:t>
      </w:r>
      <w:r>
        <w:tab/>
      </w:r>
      <w:r>
        <w:tab/>
      </w:r>
      <w:r>
        <w:fldChar w:fldCharType="begin"/>
      </w:r>
      <w:r>
        <w:instrText xml:space="preserve"> PAGEREF AUTO_2008_44 \h </w:instrText>
      </w:r>
      <w:r>
        <w:fldChar w:fldCharType="separate"/>
      </w:r>
      <w:r w:rsidR="003D67AB">
        <w:rPr>
          <w:noProof/>
        </w:rPr>
        <w:t>977</w:t>
      </w:r>
      <w:r>
        <w:fldChar w:fldCharType="end"/>
      </w:r>
    </w:p>
    <w:p w:rsidR="009259C8" w:rsidRDefault="009259C8" w:rsidP="009259C8"/>
    <w:p w:rsidR="009259C8" w:rsidRDefault="009259C8" w:rsidP="009259C8">
      <w:pPr>
        <w:pStyle w:val="EntradandiceAuto"/>
      </w:pPr>
      <w:r>
        <w:t>Sala Segunda. Auto 45/2008, de 11 de febrero de 2008. Acuerda la suspensión  en el recurso de amparo 10178-2006, promovido por don Carlos Holgueras Gimeno en causa por delito de receptación.</w:t>
      </w:r>
      <w:r>
        <w:tab/>
      </w:r>
      <w:r>
        <w:tab/>
      </w:r>
      <w:r>
        <w:fldChar w:fldCharType="begin"/>
      </w:r>
      <w:r>
        <w:instrText xml:space="preserve"> PAGEREF AUTO_2008_45 \h </w:instrText>
      </w:r>
      <w:r>
        <w:fldChar w:fldCharType="separate"/>
      </w:r>
      <w:r w:rsidR="003D67AB">
        <w:rPr>
          <w:noProof/>
        </w:rPr>
        <w:t>983</w:t>
      </w:r>
      <w:r>
        <w:fldChar w:fldCharType="end"/>
      </w:r>
    </w:p>
    <w:p w:rsidR="009259C8" w:rsidRDefault="009259C8" w:rsidP="009259C8"/>
    <w:p w:rsidR="009259C8" w:rsidRDefault="009259C8" w:rsidP="009259C8">
      <w:pPr>
        <w:pStyle w:val="EntradandiceAuto"/>
      </w:pPr>
      <w:r>
        <w:t>Sección Cuarta. Auto 46/2008, de 11 de febrero de 2008. Desestima el recurso de súplica interpuesto por el Ministerio Fiscal sobre inadmisión del recurso de amparo 92-2007, promovido por don Luis Terol Gómez y otra en contencioso sobre ruina de inmueble.</w:t>
      </w:r>
      <w:r>
        <w:tab/>
      </w:r>
      <w:r>
        <w:tab/>
      </w:r>
      <w:r>
        <w:fldChar w:fldCharType="begin"/>
      </w:r>
      <w:r>
        <w:instrText xml:space="preserve"> PAGEREF AUTO_2008_46 \h </w:instrText>
      </w:r>
      <w:r>
        <w:fldChar w:fldCharType="separate"/>
      </w:r>
      <w:r w:rsidR="003D67AB">
        <w:rPr>
          <w:noProof/>
        </w:rPr>
        <w:t>987</w:t>
      </w:r>
      <w:r>
        <w:fldChar w:fldCharType="end"/>
      </w:r>
    </w:p>
    <w:p w:rsidR="009259C8" w:rsidRDefault="009259C8" w:rsidP="009259C8"/>
    <w:p w:rsidR="009259C8" w:rsidRDefault="009259C8" w:rsidP="009259C8">
      <w:pPr>
        <w:pStyle w:val="EntradandiceAuto"/>
      </w:pPr>
      <w:r>
        <w:t>Sección Cuarta. Auto 47/2008, de 11 de febrero de 2008. Desestima el recurso de súplica interpuesto por el Ministerio Fiscal sobre inadmisión del recurso de amparo 2211-2007, promovido por doña Misericordia Domingo Roig en pleito civil.</w:t>
      </w:r>
      <w:r>
        <w:tab/>
      </w:r>
      <w:r>
        <w:tab/>
      </w:r>
      <w:r>
        <w:fldChar w:fldCharType="begin"/>
      </w:r>
      <w:r>
        <w:instrText xml:space="preserve"> PAGEREF AUTO_2008_47 \h </w:instrText>
      </w:r>
      <w:r>
        <w:fldChar w:fldCharType="separate"/>
      </w:r>
      <w:r w:rsidR="003D67AB">
        <w:rPr>
          <w:noProof/>
        </w:rPr>
        <w:t>990</w:t>
      </w:r>
      <w:r>
        <w:fldChar w:fldCharType="end"/>
      </w:r>
    </w:p>
    <w:p w:rsidR="009259C8" w:rsidRDefault="009259C8" w:rsidP="009259C8"/>
    <w:p w:rsidR="009259C8" w:rsidRDefault="009259C8" w:rsidP="009259C8">
      <w:pPr>
        <w:pStyle w:val="EntradandiceAuto"/>
      </w:pPr>
      <w:r>
        <w:t>Sección Tercera. Auto 48/2008, de 11 de febrero de 2008. Desestima el recurso de súplica interpuesto por el Ministerio Fiscal sobre inadmisión del recurso de amparo 2524-2007, promovido por don Isidoro Álvarez Álvarez en contencioso sobre liquidación tributaria.</w:t>
      </w:r>
      <w:r>
        <w:tab/>
      </w:r>
      <w:r>
        <w:tab/>
      </w:r>
      <w:r>
        <w:fldChar w:fldCharType="begin"/>
      </w:r>
      <w:r>
        <w:instrText xml:space="preserve"> PAGEREF AUTO_2008_48 \h </w:instrText>
      </w:r>
      <w:r>
        <w:fldChar w:fldCharType="separate"/>
      </w:r>
      <w:r w:rsidR="003D67AB">
        <w:rPr>
          <w:noProof/>
        </w:rPr>
        <w:t>993</w:t>
      </w:r>
      <w:r>
        <w:fldChar w:fldCharType="end"/>
      </w:r>
    </w:p>
    <w:p w:rsidR="009259C8" w:rsidRDefault="009259C8" w:rsidP="009259C8"/>
    <w:p w:rsidR="009259C8" w:rsidRDefault="009259C8" w:rsidP="009259C8">
      <w:pPr>
        <w:pStyle w:val="EntradandiceAuto"/>
      </w:pPr>
      <w:r>
        <w:t>Sección Segunda. Auto 49/2008, de 12 de febrero de 2008. Inadmite a trámite el recurso de amparo 3339-2004, promovido por BMC Maderas, S.A., en contencioso por reclamación de cantidad por contrato de obras.</w:t>
      </w:r>
      <w:r>
        <w:tab/>
      </w:r>
      <w:r>
        <w:tab/>
      </w:r>
      <w:r>
        <w:fldChar w:fldCharType="begin"/>
      </w:r>
      <w:r>
        <w:instrText xml:space="preserve"> PAGEREF AUTO_2008_49 \h </w:instrText>
      </w:r>
      <w:r>
        <w:fldChar w:fldCharType="separate"/>
      </w:r>
      <w:r w:rsidR="003D67AB">
        <w:rPr>
          <w:noProof/>
        </w:rPr>
        <w:t>997</w:t>
      </w:r>
      <w:r>
        <w:fldChar w:fldCharType="end"/>
      </w:r>
    </w:p>
    <w:p w:rsidR="009259C8" w:rsidRDefault="009259C8" w:rsidP="009259C8"/>
    <w:p w:rsidR="009259C8" w:rsidRDefault="009259C8" w:rsidP="009259C8">
      <w:pPr>
        <w:pStyle w:val="EntradandiceAuto"/>
      </w:pPr>
      <w:r>
        <w:t>Sección Segunda. Auto 50/2008, de 12 de febrero de 2008. Acuerda la  rectificación de la providencia de  21 de mayo de 2007 y confirma la inadmisión del  recurso de amparo 7149-2006, promovido por don Antonio Fernández Carmona en causa por delito penal.</w:t>
      </w:r>
      <w:r>
        <w:tab/>
      </w:r>
      <w:r>
        <w:tab/>
      </w:r>
      <w:r>
        <w:fldChar w:fldCharType="begin"/>
      </w:r>
      <w:r>
        <w:instrText xml:space="preserve"> PAGEREF AUTO_2008_50 \h </w:instrText>
      </w:r>
      <w:r>
        <w:fldChar w:fldCharType="separate"/>
      </w:r>
      <w:r w:rsidR="003D67AB">
        <w:rPr>
          <w:noProof/>
        </w:rPr>
        <w:t>1002</w:t>
      </w:r>
      <w:r>
        <w:fldChar w:fldCharType="end"/>
      </w:r>
    </w:p>
    <w:p w:rsidR="009259C8" w:rsidRDefault="009259C8" w:rsidP="009259C8"/>
    <w:p w:rsidR="009259C8" w:rsidRDefault="009259C8" w:rsidP="009259C8">
      <w:pPr>
        <w:pStyle w:val="EntradandiceAuto"/>
      </w:pPr>
      <w:r>
        <w:t>Pleno. Auto 51/2008, de 12 de febrero de 2008. Inadmite a trámite la cuestión de inconstitucionalidad 8845-2007, planteada por el Juzgado de lo Contencioso-Administrativo núm. 3 de Córdoba en relación con varios preceptos de la Ley del Parlamento de Andalucía 18/2003, de 29 de diciembre, de medidas fiscales y administrativas.</w:t>
      </w:r>
      <w:r>
        <w:tab/>
      </w:r>
      <w:r>
        <w:tab/>
      </w:r>
      <w:r>
        <w:fldChar w:fldCharType="begin"/>
      </w:r>
      <w:r>
        <w:instrText xml:space="preserve"> PAGEREF AUTO_2008_51 \h </w:instrText>
      </w:r>
      <w:r>
        <w:fldChar w:fldCharType="separate"/>
      </w:r>
      <w:r w:rsidR="003D67AB">
        <w:rPr>
          <w:noProof/>
        </w:rPr>
        <w:t>1004</w:t>
      </w:r>
      <w:r>
        <w:fldChar w:fldCharType="end"/>
      </w:r>
    </w:p>
    <w:p w:rsidR="009259C8" w:rsidRDefault="009259C8" w:rsidP="009259C8"/>
    <w:p w:rsidR="009259C8" w:rsidRDefault="009259C8" w:rsidP="009259C8">
      <w:pPr>
        <w:pStyle w:val="EntradandiceAuto"/>
      </w:pPr>
      <w:r>
        <w:t>Pleno. Auto 52/2008, de 12 de febrero de 2008. Inadmite a trámite la cuestión de inconstitucionalidad 8975-2007, planteada por el Juzgado de lo Contencioso-Administrativo núm. 2 de Córdoba en relación con varios preceptos de la Ley del Parlamento de Andalucía 18/2003, de 29 de diciembre, de medidas fiscales y administrativas.</w:t>
      </w:r>
      <w:r>
        <w:tab/>
      </w:r>
      <w:r>
        <w:tab/>
      </w:r>
      <w:r>
        <w:fldChar w:fldCharType="begin"/>
      </w:r>
      <w:r>
        <w:instrText xml:space="preserve"> PAGEREF AUTO_2008_52 \h </w:instrText>
      </w:r>
      <w:r>
        <w:fldChar w:fldCharType="separate"/>
      </w:r>
      <w:r w:rsidR="003D67AB">
        <w:rPr>
          <w:noProof/>
        </w:rPr>
        <w:t>1008</w:t>
      </w:r>
      <w:r>
        <w:fldChar w:fldCharType="end"/>
      </w:r>
    </w:p>
    <w:p w:rsidR="009259C8" w:rsidRDefault="009259C8" w:rsidP="009259C8"/>
    <w:p w:rsidR="009259C8" w:rsidRDefault="009259C8" w:rsidP="009259C8">
      <w:pPr>
        <w:pStyle w:val="EntradandiceAuto"/>
      </w:pPr>
      <w:r>
        <w:t>Pleno. Auto 53/2008, de 12 de febrero de 2008. Inadmite a trámite la cuestión de inconstitucionalidad 9088-2007, planteada por el Juzgado de lo Contencioso-Administrativo núm. 2 de Córdoba en relación con varios preceptos de la Ley del Parlamento de Andalucía 18/2003, de 29 de diciembre, de medidas fiscales y administrativas.</w:t>
      </w:r>
      <w:r>
        <w:tab/>
      </w:r>
      <w:r>
        <w:tab/>
      </w:r>
      <w:r>
        <w:fldChar w:fldCharType="begin"/>
      </w:r>
      <w:r>
        <w:instrText xml:space="preserve"> PAGEREF AUTO_2008_53 \h </w:instrText>
      </w:r>
      <w:r>
        <w:fldChar w:fldCharType="separate"/>
      </w:r>
      <w:r w:rsidR="003D67AB">
        <w:rPr>
          <w:noProof/>
        </w:rPr>
        <w:t>1012</w:t>
      </w:r>
      <w:r>
        <w:fldChar w:fldCharType="end"/>
      </w:r>
    </w:p>
    <w:p w:rsidR="009259C8" w:rsidRDefault="009259C8" w:rsidP="009259C8"/>
    <w:p w:rsidR="009259C8" w:rsidRDefault="009259C8" w:rsidP="009259C8">
      <w:pPr>
        <w:pStyle w:val="EntradandiceAuto"/>
      </w:pPr>
      <w:r>
        <w:t>Pleno. Auto 54/2008, de 13 de febrero de 2008. Inadmite a trámite la cuestión de inconstitucionalidad 2082-2007, planteada por el Juzgado de lo Penal núm. 4 de Murcia en relación con el artículo 153.1 del Código penal en la redacción dada por la Ley Orgánica 1/2004, 28 de diciembre, de medidas de protección integral contra la violencia de género.</w:t>
      </w:r>
      <w:r>
        <w:tab/>
      </w:r>
      <w:r>
        <w:tab/>
      </w:r>
      <w:r>
        <w:fldChar w:fldCharType="begin"/>
      </w:r>
      <w:r>
        <w:instrText xml:space="preserve"> PAGEREF AUTO_2008_54 \h </w:instrText>
      </w:r>
      <w:r>
        <w:fldChar w:fldCharType="separate"/>
      </w:r>
      <w:r w:rsidR="003D67AB">
        <w:rPr>
          <w:noProof/>
        </w:rPr>
        <w:t>1016</w:t>
      </w:r>
      <w:r>
        <w:fldChar w:fldCharType="end"/>
      </w:r>
    </w:p>
    <w:p w:rsidR="009259C8" w:rsidRDefault="009259C8" w:rsidP="009259C8"/>
    <w:p w:rsidR="009259C8" w:rsidRDefault="009259C8" w:rsidP="009259C8">
      <w:pPr>
        <w:pStyle w:val="EntradandiceAuto"/>
      </w:pPr>
      <w:r>
        <w:t>Sección Segunda. Auto 55/2008, de 14 de febrero de 2008. Acuerda el desistimiento en el recurso de amparo 2603-2007.</w:t>
      </w:r>
      <w:r>
        <w:tab/>
      </w:r>
      <w:r>
        <w:tab/>
      </w:r>
      <w:r>
        <w:fldChar w:fldCharType="begin"/>
      </w:r>
      <w:r>
        <w:instrText xml:space="preserve"> PAGEREF AUTO_2008_55 \h </w:instrText>
      </w:r>
      <w:r>
        <w:fldChar w:fldCharType="separate"/>
      </w:r>
      <w:r w:rsidR="003D67AB">
        <w:rPr>
          <w:noProof/>
        </w:rPr>
        <w:t>1020</w:t>
      </w:r>
      <w:r>
        <w:fldChar w:fldCharType="end"/>
      </w:r>
    </w:p>
    <w:p w:rsidR="009259C8" w:rsidRDefault="009259C8" w:rsidP="009259C8"/>
    <w:p w:rsidR="009259C8" w:rsidRDefault="009259C8" w:rsidP="009259C8">
      <w:pPr>
        <w:pStyle w:val="EntradandiceAuto"/>
      </w:pPr>
      <w:r>
        <w:t>Sección Segunda. Auto 56/2008, de 14 de febrero de 2008. Acuerda el desistimiento en el recurso de amparo 3244-2007.</w:t>
      </w:r>
      <w:r>
        <w:tab/>
      </w:r>
      <w:r>
        <w:tab/>
      </w:r>
      <w:r>
        <w:fldChar w:fldCharType="begin"/>
      </w:r>
      <w:r>
        <w:instrText xml:space="preserve"> PAGEREF AUTO_2008_56 \h </w:instrText>
      </w:r>
      <w:r>
        <w:fldChar w:fldCharType="separate"/>
      </w:r>
      <w:r w:rsidR="003D67AB">
        <w:rPr>
          <w:noProof/>
        </w:rPr>
        <w:t>1021</w:t>
      </w:r>
      <w:r>
        <w:fldChar w:fldCharType="end"/>
      </w:r>
    </w:p>
    <w:p w:rsidR="009259C8" w:rsidRDefault="009259C8" w:rsidP="009259C8"/>
    <w:p w:rsidR="009259C8" w:rsidRDefault="009259C8" w:rsidP="009259C8">
      <w:pPr>
        <w:pStyle w:val="EntradandiceAuto"/>
      </w:pPr>
      <w:r>
        <w:t>Pleno. Auto 57/2008, de 14 de febrero de 2008. Inadmite a trámite la cuestión de inconstitucionalidad 7986-2007, planteada por el Juzgado de lo Penal núm. 2 de Toledo en relación con el artículo 153.1 del Código penal, en la redacción dada por la Ley Orgánica 1/2004, de 28 de diciembre, de medidas de protección integral contra la violencia de género.</w:t>
      </w:r>
      <w:r>
        <w:tab/>
      </w:r>
      <w:r>
        <w:tab/>
      </w:r>
      <w:r>
        <w:fldChar w:fldCharType="begin"/>
      </w:r>
      <w:r>
        <w:instrText xml:space="preserve"> PAGEREF AUTO_2008_57 \h </w:instrText>
      </w:r>
      <w:r>
        <w:fldChar w:fldCharType="separate"/>
      </w:r>
      <w:r w:rsidR="003D67AB">
        <w:rPr>
          <w:noProof/>
        </w:rPr>
        <w:t>1022</w:t>
      </w:r>
      <w:r>
        <w:fldChar w:fldCharType="end"/>
      </w:r>
    </w:p>
    <w:p w:rsidR="009259C8" w:rsidRDefault="009259C8" w:rsidP="009259C8"/>
    <w:p w:rsidR="009259C8" w:rsidRDefault="009259C8" w:rsidP="009259C8">
      <w:pPr>
        <w:pStyle w:val="EntradandiceAuto"/>
      </w:pPr>
      <w:r>
        <w:t>Sección Tercera. Auto 58/2008, de 18 de febrero de 2008. Estima el recurso de súplica sobre inadmisión del recurso de amparo 1051-2005, promovido por doña María Eugenia Tuesta Pérez en pleito civil.</w:t>
      </w:r>
      <w:r>
        <w:tab/>
      </w:r>
      <w:r>
        <w:tab/>
      </w:r>
      <w:r>
        <w:fldChar w:fldCharType="begin"/>
      </w:r>
      <w:r>
        <w:instrText xml:space="preserve"> PAGEREF AUTO_2008_58 \h </w:instrText>
      </w:r>
      <w:r>
        <w:fldChar w:fldCharType="separate"/>
      </w:r>
      <w:r w:rsidR="003D67AB">
        <w:rPr>
          <w:noProof/>
        </w:rPr>
        <w:t>1026</w:t>
      </w:r>
      <w:r>
        <w:fldChar w:fldCharType="end"/>
      </w:r>
    </w:p>
    <w:p w:rsidR="009259C8" w:rsidRDefault="009259C8" w:rsidP="009259C8"/>
    <w:p w:rsidR="009259C8" w:rsidRDefault="009259C8" w:rsidP="009259C8">
      <w:pPr>
        <w:pStyle w:val="EntradandiceAuto"/>
      </w:pPr>
      <w:r>
        <w:t>Sala Segunda. Auto 59/2008, de 20 de febrero de 2008. Acuerda la suspensión parcial en el recurso de amparo 6095-2005, promovido por don Antonio Gamero San Juan en causa por delito contra la salud pública.</w:t>
      </w:r>
      <w:r>
        <w:tab/>
      </w:r>
      <w:r>
        <w:tab/>
      </w:r>
      <w:r>
        <w:fldChar w:fldCharType="begin"/>
      </w:r>
      <w:r>
        <w:instrText xml:space="preserve"> PAGEREF AUTO_2008_59 \h </w:instrText>
      </w:r>
      <w:r>
        <w:fldChar w:fldCharType="separate"/>
      </w:r>
      <w:r w:rsidR="003D67AB">
        <w:rPr>
          <w:noProof/>
        </w:rPr>
        <w:t>1029</w:t>
      </w:r>
      <w:r>
        <w:fldChar w:fldCharType="end"/>
      </w:r>
    </w:p>
    <w:p w:rsidR="009259C8" w:rsidRDefault="009259C8" w:rsidP="009259C8"/>
    <w:p w:rsidR="009259C8" w:rsidRDefault="009259C8" w:rsidP="009259C8">
      <w:pPr>
        <w:pStyle w:val="EntradandiceAuto"/>
      </w:pPr>
      <w:r>
        <w:t>Sección Segunda. Auto 60/2008, de 21 de febrero de 2008. Acuerda el desistimiento en el recurso de amparo 1833-2007.</w:t>
      </w:r>
      <w:r>
        <w:tab/>
      </w:r>
      <w:r>
        <w:tab/>
      </w:r>
      <w:r>
        <w:fldChar w:fldCharType="begin"/>
      </w:r>
      <w:r>
        <w:instrText xml:space="preserve"> PAGEREF AUTO_2008_60 \h </w:instrText>
      </w:r>
      <w:r>
        <w:fldChar w:fldCharType="separate"/>
      </w:r>
      <w:r w:rsidR="003D67AB">
        <w:rPr>
          <w:noProof/>
        </w:rPr>
        <w:t>1033</w:t>
      </w:r>
      <w:r>
        <w:fldChar w:fldCharType="end"/>
      </w:r>
    </w:p>
    <w:p w:rsidR="009259C8" w:rsidRDefault="009259C8" w:rsidP="009259C8"/>
    <w:p w:rsidR="009259C8" w:rsidRDefault="009259C8" w:rsidP="009259C8">
      <w:pPr>
        <w:pStyle w:val="EntradandiceAuto"/>
      </w:pPr>
      <w:r>
        <w:t>Sección Segunda. Auto 61/2008, de 25 de febrero de 2008. Inadmite a trámite el recurso de amparo 7025-2004, promovido por don Pedro Turnes Duro en contencioso sobre la escolarización de su hija.</w:t>
      </w:r>
      <w:r>
        <w:tab/>
      </w:r>
      <w:r>
        <w:tab/>
      </w:r>
      <w:r>
        <w:fldChar w:fldCharType="begin"/>
      </w:r>
      <w:r>
        <w:instrText xml:space="preserve"> PAGEREF AUTO_2008_61 \h </w:instrText>
      </w:r>
      <w:r>
        <w:fldChar w:fldCharType="separate"/>
      </w:r>
      <w:r w:rsidR="003D67AB">
        <w:rPr>
          <w:noProof/>
        </w:rPr>
        <w:t>1034</w:t>
      </w:r>
      <w:r>
        <w:fldChar w:fldCharType="end"/>
      </w:r>
    </w:p>
    <w:p w:rsidR="009259C8" w:rsidRDefault="009259C8" w:rsidP="009259C8"/>
    <w:p w:rsidR="009259C8" w:rsidRDefault="009259C8" w:rsidP="009259C8">
      <w:pPr>
        <w:pStyle w:val="EntradandiceAuto"/>
      </w:pPr>
      <w:r>
        <w:t>Sección Tercera. Auto 62/2008, de 25 de febrero de 2008. Estima el recurso de súplica sobre inadmisión del recurso de amparo 3099-2005, promovido por don Eduardo Gómez Puértolas en contencioso disciplinario militar.</w:t>
      </w:r>
      <w:r>
        <w:tab/>
      </w:r>
      <w:r>
        <w:tab/>
      </w:r>
      <w:r>
        <w:fldChar w:fldCharType="begin"/>
      </w:r>
      <w:r>
        <w:instrText xml:space="preserve"> PAGEREF AUTO_2008_62 \h </w:instrText>
      </w:r>
      <w:r>
        <w:fldChar w:fldCharType="separate"/>
      </w:r>
      <w:r w:rsidR="003D67AB">
        <w:rPr>
          <w:noProof/>
        </w:rPr>
        <w:t>1041</w:t>
      </w:r>
      <w:r>
        <w:fldChar w:fldCharType="end"/>
      </w:r>
    </w:p>
    <w:p w:rsidR="009259C8" w:rsidRDefault="009259C8" w:rsidP="009259C8"/>
    <w:p w:rsidR="009259C8" w:rsidRDefault="009259C8" w:rsidP="009259C8">
      <w:pPr>
        <w:pStyle w:val="EntradandiceAuto"/>
      </w:pPr>
      <w:r>
        <w:t>Sección Cuarta. Auto 63/2008, de 25 de febrero de 2008. Desestima el recurso de súplica sobre inadmisión del recurso de amparo 7960-2005, promovido por doña María Dolores Menéndez Prieto en contencioso sobre nombramiento provisional en el complejo hospitalario de Santiago de Compostela.</w:t>
      </w:r>
      <w:r>
        <w:tab/>
      </w:r>
      <w:r>
        <w:tab/>
      </w:r>
      <w:r>
        <w:fldChar w:fldCharType="begin"/>
      </w:r>
      <w:r>
        <w:instrText xml:space="preserve"> PAGEREF AUTO_2008_63 \h </w:instrText>
      </w:r>
      <w:r>
        <w:fldChar w:fldCharType="separate"/>
      </w:r>
      <w:r w:rsidR="003D67AB">
        <w:rPr>
          <w:noProof/>
        </w:rPr>
        <w:t>1044</w:t>
      </w:r>
      <w:r>
        <w:fldChar w:fldCharType="end"/>
      </w:r>
    </w:p>
    <w:p w:rsidR="009259C8" w:rsidRDefault="009259C8" w:rsidP="009259C8"/>
    <w:p w:rsidR="009259C8" w:rsidRDefault="009259C8" w:rsidP="009259C8">
      <w:pPr>
        <w:pStyle w:val="EntradandiceAuto"/>
      </w:pPr>
      <w:r>
        <w:t>Sección Tercera. Auto 64/2008, de 25 de febrero de 2008. Acuerda el desistimiento en el recurso de amparo 7636-2006.</w:t>
      </w:r>
      <w:r>
        <w:tab/>
      </w:r>
      <w:r>
        <w:tab/>
      </w:r>
      <w:r>
        <w:fldChar w:fldCharType="begin"/>
      </w:r>
      <w:r>
        <w:instrText xml:space="preserve"> PAGEREF AUTO_2008_64 \h </w:instrText>
      </w:r>
      <w:r>
        <w:fldChar w:fldCharType="separate"/>
      </w:r>
      <w:r w:rsidR="003D67AB">
        <w:rPr>
          <w:noProof/>
        </w:rPr>
        <w:t>1047</w:t>
      </w:r>
      <w:r>
        <w:fldChar w:fldCharType="end"/>
      </w:r>
    </w:p>
    <w:p w:rsidR="009259C8" w:rsidRDefault="009259C8" w:rsidP="009259C8"/>
    <w:p w:rsidR="009259C8" w:rsidRDefault="009259C8" w:rsidP="009259C8">
      <w:pPr>
        <w:pStyle w:val="EntradandiceAuto"/>
      </w:pPr>
      <w:r>
        <w:t>Sala Primera. Auto 65/2008, de 25 de febrero de 2008. Deniega la suspensión en el recurso de amparo 8985-2006, promovido por don Fermín Martínez Nantón en contencioso por infracción de tráfico.</w:t>
      </w:r>
      <w:r>
        <w:tab/>
      </w:r>
      <w:r>
        <w:tab/>
      </w:r>
      <w:r>
        <w:fldChar w:fldCharType="begin"/>
      </w:r>
      <w:r>
        <w:instrText xml:space="preserve"> PAGEREF AUTO_2008_65 \h </w:instrText>
      </w:r>
      <w:r>
        <w:fldChar w:fldCharType="separate"/>
      </w:r>
      <w:r w:rsidR="003D67AB">
        <w:rPr>
          <w:noProof/>
        </w:rPr>
        <w:t>1048</w:t>
      </w:r>
      <w:r>
        <w:fldChar w:fldCharType="end"/>
      </w:r>
    </w:p>
    <w:p w:rsidR="009259C8" w:rsidRDefault="009259C8" w:rsidP="009259C8"/>
    <w:p w:rsidR="009259C8" w:rsidRDefault="009259C8" w:rsidP="009259C8">
      <w:pPr>
        <w:pStyle w:val="EntradandiceAuto"/>
      </w:pPr>
      <w:r>
        <w:t>Sala Primera. Auto 66/2008, de 25 de febrero de 2008. Deniega la suspensión en el recurso de amparo 10640-2006, promovido por Arroyo Hondo, S.L., en contencioso por impuesto sobre incremento de terrenos de naturaleza urbana.</w:t>
      </w:r>
      <w:r>
        <w:tab/>
      </w:r>
      <w:r>
        <w:tab/>
      </w:r>
      <w:r>
        <w:fldChar w:fldCharType="begin"/>
      </w:r>
      <w:r>
        <w:instrText xml:space="preserve"> PAGEREF AUTO_2008_66 \h </w:instrText>
      </w:r>
      <w:r>
        <w:fldChar w:fldCharType="separate"/>
      </w:r>
      <w:r w:rsidR="003D67AB">
        <w:rPr>
          <w:noProof/>
        </w:rPr>
        <w:t>1051</w:t>
      </w:r>
      <w:r>
        <w:fldChar w:fldCharType="end"/>
      </w:r>
    </w:p>
    <w:p w:rsidR="009259C8" w:rsidRDefault="009259C8" w:rsidP="009259C8"/>
    <w:p w:rsidR="009259C8" w:rsidRDefault="009259C8" w:rsidP="009259C8">
      <w:pPr>
        <w:pStyle w:val="EntradandiceAuto"/>
      </w:pPr>
      <w:r>
        <w:t>Sala Primera. Auto 67/2008, de 25 de febrero de 2008. Deniega la suspensión en el recurso de amparo 11709-2006, promovido por don José Manuel Velasco Lingres en causa por delito contra la seguridad de tráfico.</w:t>
      </w:r>
      <w:r>
        <w:tab/>
      </w:r>
      <w:r>
        <w:tab/>
      </w:r>
      <w:r>
        <w:fldChar w:fldCharType="begin"/>
      </w:r>
      <w:r>
        <w:instrText xml:space="preserve"> PAGEREF AUTO_2008_67 \h </w:instrText>
      </w:r>
      <w:r>
        <w:fldChar w:fldCharType="separate"/>
      </w:r>
      <w:r w:rsidR="003D67AB">
        <w:rPr>
          <w:noProof/>
        </w:rPr>
        <w:t>1053</w:t>
      </w:r>
      <w:r>
        <w:fldChar w:fldCharType="end"/>
      </w:r>
    </w:p>
    <w:p w:rsidR="009259C8" w:rsidRDefault="009259C8" w:rsidP="009259C8"/>
    <w:p w:rsidR="009259C8" w:rsidRDefault="009259C8" w:rsidP="009259C8">
      <w:pPr>
        <w:pStyle w:val="EntradandiceAuto"/>
      </w:pPr>
      <w:r>
        <w:t>Sección Tercera. Auto 68/2008, de 25 de febrero de 2008. Acuerda el desistimiento en el recurso de amparo 3083-2007.</w:t>
      </w:r>
      <w:r>
        <w:tab/>
      </w:r>
      <w:r>
        <w:tab/>
      </w:r>
      <w:r>
        <w:fldChar w:fldCharType="begin"/>
      </w:r>
      <w:r>
        <w:instrText xml:space="preserve"> PAGEREF AUTO_2008_68 \h </w:instrText>
      </w:r>
      <w:r>
        <w:fldChar w:fldCharType="separate"/>
      </w:r>
      <w:r w:rsidR="003D67AB">
        <w:rPr>
          <w:noProof/>
        </w:rPr>
        <w:t>1057</w:t>
      </w:r>
      <w:r>
        <w:fldChar w:fldCharType="end"/>
      </w:r>
    </w:p>
    <w:p w:rsidR="009259C8" w:rsidRDefault="009259C8" w:rsidP="009259C8"/>
    <w:p w:rsidR="009259C8" w:rsidRDefault="009259C8" w:rsidP="009259C8">
      <w:pPr>
        <w:pStyle w:val="EntradandiceAuto"/>
      </w:pPr>
      <w:r>
        <w:t>Sección Tercera. Auto 69/2008, de 25 de febrero de 2008. Acuerda el desistimiento en el recurso de amparo 6383-2007.</w:t>
      </w:r>
      <w:r>
        <w:tab/>
      </w:r>
      <w:r>
        <w:tab/>
      </w:r>
      <w:r>
        <w:fldChar w:fldCharType="begin"/>
      </w:r>
      <w:r>
        <w:instrText xml:space="preserve"> PAGEREF AUTO_2008_69 \h </w:instrText>
      </w:r>
      <w:r>
        <w:fldChar w:fldCharType="separate"/>
      </w:r>
      <w:r w:rsidR="003D67AB">
        <w:rPr>
          <w:noProof/>
        </w:rPr>
        <w:t>1058</w:t>
      </w:r>
      <w:r>
        <w:fldChar w:fldCharType="end"/>
      </w:r>
    </w:p>
    <w:p w:rsidR="009259C8" w:rsidRDefault="009259C8" w:rsidP="009259C8"/>
    <w:p w:rsidR="009259C8" w:rsidRDefault="009259C8" w:rsidP="009259C8">
      <w:pPr>
        <w:pStyle w:val="EntradandiceAuto"/>
      </w:pPr>
      <w:r>
        <w:t>Sala Segunda. Auto 70/2008, de 26 de febrero de 2008. Deniega la aclaración de la Sentencia 29/2008, de 20 de febrero, en el recurso de amparo 1907-2003, promovido por don Alberto Cortina de Alcocer y otro.</w:t>
      </w:r>
      <w:r>
        <w:tab/>
      </w:r>
      <w:r>
        <w:tab/>
      </w:r>
      <w:r>
        <w:fldChar w:fldCharType="begin"/>
      </w:r>
      <w:r>
        <w:instrText xml:space="preserve"> PAGEREF AUTO_2008_70 \h </w:instrText>
      </w:r>
      <w:r>
        <w:fldChar w:fldCharType="separate"/>
      </w:r>
      <w:r w:rsidR="003D67AB">
        <w:rPr>
          <w:noProof/>
        </w:rPr>
        <w:t>1059</w:t>
      </w:r>
      <w:r>
        <w:fldChar w:fldCharType="end"/>
      </w:r>
    </w:p>
    <w:p w:rsidR="009259C8" w:rsidRDefault="009259C8" w:rsidP="009259C8"/>
    <w:p w:rsidR="009259C8" w:rsidRDefault="009259C8" w:rsidP="009259C8">
      <w:pPr>
        <w:pStyle w:val="EntradandiceAuto"/>
      </w:pPr>
      <w:r>
        <w:lastRenderedPageBreak/>
        <w:t>Pleno. Auto 71/2008, de 26 de febrero de 2008. Inadmite a trámite por infundada la cuestión de inconstitucionalidad 8638-2006, planteada por la Sala de lo Contencioso-Administrativo del Tribunal Superior de Justicia de Cataluña en relación con el artículo 3.4.2, letra a) del Real Decreto-ley 16/1977, de 25 de febrero, por el que se regulan los juegos de suerte, envite o azar y apuestas, en la redacción de las Leyes 5/1990, 12/1996 y 65/1997, que fija la cuantía de la tasa que grava las máquinas tipo “B”.</w:t>
      </w:r>
      <w:r>
        <w:tab/>
      </w:r>
      <w:r>
        <w:tab/>
      </w:r>
      <w:r>
        <w:fldChar w:fldCharType="begin"/>
      </w:r>
      <w:r>
        <w:instrText xml:space="preserve"> PAGEREF AUTO_2008_71 \h </w:instrText>
      </w:r>
      <w:r>
        <w:fldChar w:fldCharType="separate"/>
      </w:r>
      <w:r w:rsidR="003D67AB">
        <w:rPr>
          <w:noProof/>
        </w:rPr>
        <w:t>1061</w:t>
      </w:r>
      <w:r>
        <w:fldChar w:fldCharType="end"/>
      </w:r>
    </w:p>
    <w:p w:rsidR="009259C8" w:rsidRDefault="009259C8" w:rsidP="009259C8"/>
    <w:p w:rsidR="009259C8" w:rsidRDefault="009259C8" w:rsidP="009259C8">
      <w:pPr>
        <w:pStyle w:val="EntradandiceAuto"/>
      </w:pPr>
      <w:r>
        <w:t>Pleno. Auto 72/2008, de 26 de febrero de 2008. Inadmite a trámite por infundada la cuestión de inconstitucionalidad 10260-2006, planteada por la Sección Cuarta de la Audiencia Provincial de Sevilla en relación con el artículo 365, párrafo segundo, de la Ley de enjuiciamiento criminal, añadido por la disposición final primera de la Ley Orgánica 15/2003, de 24 de noviembre, que rige la valoración penal de las mercancías sustraídas en establecimientos comerciales.</w:t>
      </w:r>
      <w:r>
        <w:tab/>
      </w:r>
      <w:r>
        <w:tab/>
      </w:r>
      <w:r>
        <w:fldChar w:fldCharType="begin"/>
      </w:r>
      <w:r>
        <w:instrText xml:space="preserve"> PAGEREF AUTO_2008_72 \h </w:instrText>
      </w:r>
      <w:r>
        <w:fldChar w:fldCharType="separate"/>
      </w:r>
      <w:r w:rsidR="003D67AB">
        <w:rPr>
          <w:noProof/>
        </w:rPr>
        <w:t>1093</w:t>
      </w:r>
      <w:r>
        <w:fldChar w:fldCharType="end"/>
      </w:r>
    </w:p>
    <w:p w:rsidR="009259C8" w:rsidRDefault="009259C8" w:rsidP="009259C8"/>
    <w:p w:rsidR="009259C8" w:rsidRDefault="009259C8" w:rsidP="009259C8">
      <w:pPr>
        <w:pStyle w:val="EntradandiceAuto"/>
      </w:pPr>
      <w:r>
        <w:t>Sección Segunda. Auto 73/2008, de 4 de marzo de 2008. Acuerda el desistimiento en el recurso de amparo 6483-2007.</w:t>
      </w:r>
      <w:r>
        <w:tab/>
      </w:r>
      <w:r>
        <w:tab/>
      </w:r>
      <w:r>
        <w:fldChar w:fldCharType="begin"/>
      </w:r>
      <w:r>
        <w:instrText xml:space="preserve"> PAGEREF AUTO_2008_73 \h </w:instrText>
      </w:r>
      <w:r>
        <w:fldChar w:fldCharType="separate"/>
      </w:r>
      <w:r w:rsidR="003D67AB">
        <w:rPr>
          <w:noProof/>
        </w:rPr>
        <w:t>1100</w:t>
      </w:r>
      <w:r>
        <w:fldChar w:fldCharType="end"/>
      </w:r>
    </w:p>
    <w:p w:rsidR="009259C8" w:rsidRDefault="009259C8" w:rsidP="009259C8"/>
    <w:p w:rsidR="009259C8" w:rsidRDefault="009259C8" w:rsidP="009259C8">
      <w:pPr>
        <w:pStyle w:val="EntradandiceAuto"/>
      </w:pPr>
      <w:r>
        <w:t>Sección Segunda. Auto 74/2008, de 5 de marzo de 2008. Acuerda el desistimiento en el recurso de amparo 7835-2006.</w:t>
      </w:r>
      <w:r>
        <w:tab/>
      </w:r>
      <w:r>
        <w:tab/>
      </w:r>
      <w:r>
        <w:fldChar w:fldCharType="begin"/>
      </w:r>
      <w:r>
        <w:instrText xml:space="preserve"> PAGEREF AUTO_2008_74 \h </w:instrText>
      </w:r>
      <w:r>
        <w:fldChar w:fldCharType="separate"/>
      </w:r>
      <w:r w:rsidR="003D67AB">
        <w:rPr>
          <w:noProof/>
        </w:rPr>
        <w:t>1101</w:t>
      </w:r>
      <w:r>
        <w:fldChar w:fldCharType="end"/>
      </w:r>
    </w:p>
    <w:p w:rsidR="009259C8" w:rsidRDefault="009259C8" w:rsidP="009259C8"/>
    <w:p w:rsidR="009259C8" w:rsidRDefault="009259C8" w:rsidP="009259C8">
      <w:pPr>
        <w:pStyle w:val="EntradandiceAuto"/>
      </w:pPr>
      <w:r>
        <w:t>Sala Segunda. Auto 75/2008, de 10 de marzo de 2008. Deniega la suspensión en el recurso de amparo 5799-2005, promovido por la Federación de Servicios y Administraciones Públicas de Comisiones Obreras en contencioso sobre adjudicación de puestos de trabajo.</w:t>
      </w:r>
      <w:r>
        <w:tab/>
      </w:r>
      <w:r>
        <w:tab/>
      </w:r>
      <w:r>
        <w:fldChar w:fldCharType="begin"/>
      </w:r>
      <w:r>
        <w:instrText xml:space="preserve"> PAGEREF AUTO_2008_75 \h </w:instrText>
      </w:r>
      <w:r>
        <w:fldChar w:fldCharType="separate"/>
      </w:r>
      <w:r w:rsidR="003D67AB">
        <w:rPr>
          <w:noProof/>
        </w:rPr>
        <w:t>1102</w:t>
      </w:r>
      <w:r>
        <w:fldChar w:fldCharType="end"/>
      </w:r>
    </w:p>
    <w:p w:rsidR="009259C8" w:rsidRDefault="009259C8" w:rsidP="009259C8"/>
    <w:p w:rsidR="009259C8" w:rsidRDefault="009259C8" w:rsidP="009259C8">
      <w:pPr>
        <w:pStyle w:val="EntradandiceAuto"/>
      </w:pPr>
      <w:r>
        <w:t>Sección Cuarta. Auto 76/2008, de 10 de marzo de 2008. Acuerda el desistimiento en el recurso de amparo 128-2007.</w:t>
      </w:r>
      <w:r>
        <w:tab/>
      </w:r>
      <w:r>
        <w:tab/>
      </w:r>
      <w:r>
        <w:fldChar w:fldCharType="begin"/>
      </w:r>
      <w:r>
        <w:instrText xml:space="preserve"> PAGEREF AUTO_2008_76 \h </w:instrText>
      </w:r>
      <w:r>
        <w:fldChar w:fldCharType="separate"/>
      </w:r>
      <w:r w:rsidR="003D67AB">
        <w:rPr>
          <w:noProof/>
        </w:rPr>
        <w:t>1105</w:t>
      </w:r>
      <w:r>
        <w:fldChar w:fldCharType="end"/>
      </w:r>
    </w:p>
    <w:p w:rsidR="009259C8" w:rsidRDefault="009259C8" w:rsidP="009259C8"/>
    <w:p w:rsidR="009259C8" w:rsidRDefault="009259C8" w:rsidP="009259C8">
      <w:pPr>
        <w:pStyle w:val="EntradandiceAuto"/>
      </w:pPr>
      <w:r>
        <w:t>Sección Cuarta. Auto 77/2008, de 10 de marzo de 2008. Inadmite a trámite el recurso de amparo 3565-2007, promovido por doña Judy Maribel Reinoso Montalvo en litigio por despido.</w:t>
      </w:r>
      <w:r>
        <w:tab/>
      </w:r>
      <w:r>
        <w:tab/>
      </w:r>
      <w:r>
        <w:fldChar w:fldCharType="begin"/>
      </w:r>
      <w:r>
        <w:instrText xml:space="preserve"> PAGEREF AUTO_2008_77 \h </w:instrText>
      </w:r>
      <w:r>
        <w:fldChar w:fldCharType="separate"/>
      </w:r>
      <w:r w:rsidR="003D67AB">
        <w:rPr>
          <w:noProof/>
        </w:rPr>
        <w:t>1106</w:t>
      </w:r>
      <w:r>
        <w:fldChar w:fldCharType="end"/>
      </w:r>
    </w:p>
    <w:p w:rsidR="009259C8" w:rsidRDefault="009259C8" w:rsidP="009259C8"/>
    <w:p w:rsidR="009259C8" w:rsidRDefault="009259C8" w:rsidP="009259C8">
      <w:pPr>
        <w:pStyle w:val="EntradandiceAuto"/>
      </w:pPr>
      <w:r>
        <w:t>Sección Tercera. Auto 78/2008, de 10 de marzo de 2008. Acuerda el desistimiento en el recurso de amparo 9147-2007.</w:t>
      </w:r>
      <w:r>
        <w:tab/>
      </w:r>
      <w:r>
        <w:tab/>
      </w:r>
      <w:r>
        <w:fldChar w:fldCharType="begin"/>
      </w:r>
      <w:r>
        <w:instrText xml:space="preserve"> PAGEREF AUTO_2008_78 \h </w:instrText>
      </w:r>
      <w:r>
        <w:fldChar w:fldCharType="separate"/>
      </w:r>
      <w:r w:rsidR="003D67AB">
        <w:rPr>
          <w:noProof/>
        </w:rPr>
        <w:t>1111</w:t>
      </w:r>
      <w:r>
        <w:fldChar w:fldCharType="end"/>
      </w:r>
    </w:p>
    <w:p w:rsidR="009259C8" w:rsidRDefault="009259C8" w:rsidP="009259C8"/>
    <w:p w:rsidR="009259C8" w:rsidRDefault="009259C8" w:rsidP="009259C8">
      <w:pPr>
        <w:pStyle w:val="EntradandiceAuto"/>
      </w:pPr>
      <w:r>
        <w:t>Pleno. Auto 79/2008, de 11 de marzo de 2008. Acuerda el desistimiento en el recurso de inconstitucionalidad 2313-2007, planteado por el Parlamento de Navarra en relación con la Ley 39/2006, de 14 de diciembre, de promoción de la autonomía personal y atención a personas en situación de dependencia.</w:t>
      </w:r>
      <w:r>
        <w:tab/>
      </w:r>
      <w:r>
        <w:tab/>
      </w:r>
      <w:r>
        <w:fldChar w:fldCharType="begin"/>
      </w:r>
      <w:r>
        <w:instrText xml:space="preserve"> PAGEREF AUTO_2008_79 \h </w:instrText>
      </w:r>
      <w:r>
        <w:fldChar w:fldCharType="separate"/>
      </w:r>
      <w:r w:rsidR="003D67AB">
        <w:rPr>
          <w:noProof/>
        </w:rPr>
        <w:t>1112</w:t>
      </w:r>
      <w:r>
        <w:fldChar w:fldCharType="end"/>
      </w:r>
    </w:p>
    <w:p w:rsidR="009259C8" w:rsidRDefault="009259C8" w:rsidP="009259C8"/>
    <w:p w:rsidR="009259C8" w:rsidRDefault="009259C8" w:rsidP="009259C8">
      <w:pPr>
        <w:pStyle w:val="EntradandiceAuto"/>
      </w:pPr>
      <w:r>
        <w:lastRenderedPageBreak/>
        <w:t>Pleno. Auto 80/2008, de 11 de marzo de 2008. Acuerda levantar la suspensión en el recurso de inconstitucionalidad 7696-2007, interpuesto por el Presidente del Gobierno en relación con el artículo 14.1 de la Ley del Parlamento de las Illes Balears 25/2006, de 27 de diciembre, de medidas tributarias y administrativas.</w:t>
      </w:r>
      <w:r>
        <w:tab/>
      </w:r>
      <w:r>
        <w:tab/>
      </w:r>
      <w:r>
        <w:fldChar w:fldCharType="begin"/>
      </w:r>
      <w:r>
        <w:instrText xml:space="preserve"> PAGEREF AUTO_2008_80 \h </w:instrText>
      </w:r>
      <w:r>
        <w:fldChar w:fldCharType="separate"/>
      </w:r>
      <w:r w:rsidR="003D67AB">
        <w:rPr>
          <w:noProof/>
        </w:rPr>
        <w:t>1114</w:t>
      </w:r>
      <w:r>
        <w:fldChar w:fldCharType="end"/>
      </w:r>
    </w:p>
    <w:p w:rsidR="009259C8" w:rsidRDefault="009259C8" w:rsidP="009259C8"/>
    <w:p w:rsidR="009259C8" w:rsidRDefault="009259C8" w:rsidP="009259C8">
      <w:pPr>
        <w:pStyle w:val="EntradandiceAuto"/>
      </w:pPr>
      <w:r>
        <w:t>Pleno. Auto 81/2008, de 12 de marzo de 2008. Acuerda dos recusaciones en el recurso de inconstitucionalidad 6729-2007, planteado por Diputados del Grupo Parlamentario Popular del Congreso de los Diputados en relación con el artículo 16.1 de la Ley Orgánica 2/1979, de 3 de octubre, del Tribunal Constitucional.</w:t>
      </w:r>
      <w:r>
        <w:tab/>
      </w:r>
      <w:r>
        <w:tab/>
      </w:r>
      <w:r>
        <w:fldChar w:fldCharType="begin"/>
      </w:r>
      <w:r>
        <w:instrText xml:space="preserve"> PAGEREF AUTO_2008_81 \h </w:instrText>
      </w:r>
      <w:r>
        <w:fldChar w:fldCharType="separate"/>
      </w:r>
      <w:r w:rsidR="003D67AB">
        <w:rPr>
          <w:noProof/>
        </w:rPr>
        <w:t>1122</w:t>
      </w:r>
      <w:r>
        <w:fldChar w:fldCharType="end"/>
      </w:r>
    </w:p>
    <w:p w:rsidR="009259C8" w:rsidRDefault="009259C8" w:rsidP="009259C8"/>
    <w:p w:rsidR="009259C8" w:rsidRDefault="009259C8" w:rsidP="009259C8">
      <w:pPr>
        <w:pStyle w:val="EntradandiceAuto"/>
      </w:pPr>
      <w:r>
        <w:t>Sección Segunda. Auto 82/2008, de 13 de marzo de 2008. Inadmite a trámite el recurso de amparo 4164-2004, promovido por don Juan María Altolaguirre y otros.</w:t>
      </w:r>
      <w:r>
        <w:tab/>
      </w:r>
      <w:r>
        <w:tab/>
      </w:r>
      <w:r>
        <w:fldChar w:fldCharType="begin"/>
      </w:r>
      <w:r>
        <w:instrText xml:space="preserve"> PAGEREF AUTO_2008_82 \h </w:instrText>
      </w:r>
      <w:r>
        <w:fldChar w:fldCharType="separate"/>
      </w:r>
      <w:r w:rsidR="003D67AB">
        <w:rPr>
          <w:noProof/>
        </w:rPr>
        <w:t>1147</w:t>
      </w:r>
      <w:r>
        <w:fldChar w:fldCharType="end"/>
      </w:r>
    </w:p>
    <w:p w:rsidR="009259C8" w:rsidRDefault="009259C8" w:rsidP="009259C8"/>
    <w:p w:rsidR="009259C8" w:rsidRDefault="009259C8" w:rsidP="009259C8">
      <w:pPr>
        <w:pStyle w:val="EntradandiceAuto"/>
      </w:pPr>
      <w:r>
        <w:t>Sección Primera. Auto 83/2008, de 26 de marzo de 2008. Inadmite a trámite el recurso de amparo 10057-2006, promovido por don Evaristo Camacho Cuevas en litigio por despido.</w:t>
      </w:r>
      <w:r>
        <w:tab/>
      </w:r>
      <w:r>
        <w:tab/>
      </w:r>
      <w:r>
        <w:fldChar w:fldCharType="begin"/>
      </w:r>
      <w:r>
        <w:instrText xml:space="preserve"> PAGEREF AUTO_2008_83 \h </w:instrText>
      </w:r>
      <w:r>
        <w:fldChar w:fldCharType="separate"/>
      </w:r>
      <w:r w:rsidR="003D67AB">
        <w:rPr>
          <w:noProof/>
        </w:rPr>
        <w:t>1154</w:t>
      </w:r>
      <w:r>
        <w:fldChar w:fldCharType="end"/>
      </w:r>
    </w:p>
    <w:p w:rsidR="009259C8" w:rsidRDefault="009259C8" w:rsidP="009259C8"/>
    <w:p w:rsidR="009259C8" w:rsidRDefault="009259C8" w:rsidP="009259C8">
      <w:pPr>
        <w:pStyle w:val="EntradandiceAuto"/>
      </w:pPr>
      <w:r>
        <w:t>Sección Segunda. Auto 84/2008, de 28 de marzo de 2008. Inadmite a trámite el recurso de amparo 2744-2005, promovido por doña María Isabel Grimaldos García en causa por delito de acoso sexual.</w:t>
      </w:r>
      <w:r>
        <w:tab/>
      </w:r>
      <w:r>
        <w:tab/>
      </w:r>
      <w:r>
        <w:fldChar w:fldCharType="begin"/>
      </w:r>
      <w:r>
        <w:instrText xml:space="preserve"> PAGEREF AUTO_2008_84 \h </w:instrText>
      </w:r>
      <w:r>
        <w:fldChar w:fldCharType="separate"/>
      </w:r>
      <w:r w:rsidR="003D67AB">
        <w:rPr>
          <w:noProof/>
        </w:rPr>
        <w:t>1159</w:t>
      </w:r>
      <w:r>
        <w:fldChar w:fldCharType="end"/>
      </w:r>
    </w:p>
    <w:p w:rsidR="009259C8" w:rsidRDefault="009259C8" w:rsidP="009259C8"/>
    <w:p w:rsidR="009259C8" w:rsidRDefault="009259C8" w:rsidP="009259C8">
      <w:pPr>
        <w:pStyle w:val="EntradandiceAuto"/>
      </w:pPr>
      <w:r>
        <w:t>Sección Cuarta. Auto 85/2008, de 31 de marzo de 2008. Estima el recurso de súplica sobre inadmisión del  recurso de amparo 4999-2005, promovido por don Andrés Rivera Ocaña en contencioso por responsabilidad patrimonial de la Administración sanitaria.</w:t>
      </w:r>
      <w:r>
        <w:tab/>
      </w:r>
      <w:r>
        <w:tab/>
      </w:r>
      <w:r>
        <w:fldChar w:fldCharType="begin"/>
      </w:r>
      <w:r>
        <w:instrText xml:space="preserve"> PAGEREF AUTO_2008_85 \h </w:instrText>
      </w:r>
      <w:r>
        <w:fldChar w:fldCharType="separate"/>
      </w:r>
      <w:r w:rsidR="003D67AB">
        <w:rPr>
          <w:noProof/>
        </w:rPr>
        <w:t>1162</w:t>
      </w:r>
      <w:r>
        <w:fldChar w:fldCharType="end"/>
      </w:r>
    </w:p>
    <w:p w:rsidR="009259C8" w:rsidRDefault="009259C8" w:rsidP="009259C8"/>
    <w:p w:rsidR="009259C8" w:rsidRDefault="009259C8" w:rsidP="009259C8">
      <w:pPr>
        <w:pStyle w:val="EntradandiceAuto"/>
      </w:pPr>
      <w:r>
        <w:t>Sección Primera. Auto 86/2008, de 2 de abril de 2008. Desestima el recurso de súplica interpuesto por el Ministerio Fiscal sobre inadmisión del recurso de amparo 7326-2004, promovido por doña María Isabel Zambrana Valencia en incidente de ejecución de contencioso sobre horas extraordinarias.</w:t>
      </w:r>
      <w:r>
        <w:tab/>
      </w:r>
      <w:r>
        <w:tab/>
      </w:r>
      <w:r>
        <w:fldChar w:fldCharType="begin"/>
      </w:r>
      <w:r>
        <w:instrText xml:space="preserve"> PAGEREF AUTO_2008_86 \h </w:instrText>
      </w:r>
      <w:r>
        <w:fldChar w:fldCharType="separate"/>
      </w:r>
      <w:r w:rsidR="003D67AB">
        <w:rPr>
          <w:noProof/>
        </w:rPr>
        <w:t>1165</w:t>
      </w:r>
      <w:r>
        <w:fldChar w:fldCharType="end"/>
      </w:r>
    </w:p>
    <w:p w:rsidR="009259C8" w:rsidRDefault="009259C8" w:rsidP="009259C8"/>
    <w:p w:rsidR="009259C8" w:rsidRDefault="009259C8" w:rsidP="009259C8">
      <w:pPr>
        <w:pStyle w:val="EntradandiceAuto"/>
      </w:pPr>
      <w:r>
        <w:t>Sección Primera. Auto 87/2008, de 2 de abril de 2008. Acuerda la extinción del recurso de amparo 2442-2006, promovido por don Gerardo Álvarez Reza, como consecuencia de la STC 269/2006, de 11 de septiembre.</w:t>
      </w:r>
      <w:r>
        <w:tab/>
      </w:r>
      <w:r>
        <w:tab/>
      </w:r>
      <w:r>
        <w:fldChar w:fldCharType="begin"/>
      </w:r>
      <w:r>
        <w:instrText xml:space="preserve"> PAGEREF AUTO_2008_87 \h </w:instrText>
      </w:r>
      <w:r>
        <w:fldChar w:fldCharType="separate"/>
      </w:r>
      <w:r w:rsidR="003D67AB">
        <w:rPr>
          <w:noProof/>
        </w:rPr>
        <w:t>1168</w:t>
      </w:r>
      <w:r>
        <w:fldChar w:fldCharType="end"/>
      </w:r>
    </w:p>
    <w:p w:rsidR="009259C8" w:rsidRDefault="009259C8" w:rsidP="009259C8"/>
    <w:p w:rsidR="009259C8" w:rsidRDefault="009259C8" w:rsidP="009259C8">
      <w:pPr>
        <w:pStyle w:val="EntradandiceAuto"/>
      </w:pPr>
      <w:r>
        <w:t>Pleno. Auto 88/2008, de 2 de abril de 2008. Mantiene la suspensión de la Ley de la Comunidad de Madrid 3/2007, de 26 de julio, de medidas urgentes de modernización del Gobierno y la Administración de la Comunidad.</w:t>
      </w:r>
      <w:r>
        <w:tab/>
      </w:r>
      <w:r>
        <w:tab/>
      </w:r>
      <w:r>
        <w:fldChar w:fldCharType="begin"/>
      </w:r>
      <w:r>
        <w:instrText xml:space="preserve"> PAGEREF AUTO_2008_88 \h </w:instrText>
      </w:r>
      <w:r>
        <w:fldChar w:fldCharType="separate"/>
      </w:r>
      <w:r w:rsidR="003D67AB">
        <w:rPr>
          <w:noProof/>
        </w:rPr>
        <w:t>1170</w:t>
      </w:r>
      <w:r>
        <w:fldChar w:fldCharType="end"/>
      </w:r>
    </w:p>
    <w:p w:rsidR="009259C8" w:rsidRDefault="009259C8" w:rsidP="009259C8"/>
    <w:p w:rsidR="009259C8" w:rsidRDefault="009259C8" w:rsidP="009259C8">
      <w:pPr>
        <w:pStyle w:val="EntradandiceAuto"/>
      </w:pPr>
      <w:r>
        <w:lastRenderedPageBreak/>
        <w:t>Sala Segunda. Auto 89/2008, de 14 de abril de 2008. Archiva por incumplimiento sobrevenido del requisito de postulación el recurso de amparo 4167-2003, en procedimiento de habeas corpus.</w:t>
      </w:r>
      <w:r>
        <w:tab/>
      </w:r>
      <w:r>
        <w:tab/>
      </w:r>
      <w:r>
        <w:fldChar w:fldCharType="begin"/>
      </w:r>
      <w:r>
        <w:instrText xml:space="preserve"> PAGEREF AUTO_2008_89 \h </w:instrText>
      </w:r>
      <w:r>
        <w:fldChar w:fldCharType="separate"/>
      </w:r>
      <w:r w:rsidR="003D67AB">
        <w:rPr>
          <w:noProof/>
        </w:rPr>
        <w:t>1183</w:t>
      </w:r>
      <w:r>
        <w:fldChar w:fldCharType="end"/>
      </w:r>
    </w:p>
    <w:p w:rsidR="009259C8" w:rsidRDefault="009259C8" w:rsidP="009259C8"/>
    <w:p w:rsidR="009259C8" w:rsidRDefault="009259C8" w:rsidP="009259C8">
      <w:pPr>
        <w:pStyle w:val="EntradandiceAuto"/>
      </w:pPr>
      <w:r>
        <w:t>Sala Segunda. Auto 90/2008, de 14 de abril de 2008. Desestima el incidente de ejecución de la Sentencia 42/2006, de 13 de febrero, en el recurso de amparo 5062-2003, promovido por doña Francisca Delgado Morales en pleito por negligencia médica.</w:t>
      </w:r>
      <w:r>
        <w:tab/>
      </w:r>
      <w:r>
        <w:tab/>
      </w:r>
      <w:r>
        <w:fldChar w:fldCharType="begin"/>
      </w:r>
      <w:r>
        <w:instrText xml:space="preserve"> PAGEREF AUTO_2008_90 \h </w:instrText>
      </w:r>
      <w:r>
        <w:fldChar w:fldCharType="separate"/>
      </w:r>
      <w:r w:rsidR="003D67AB">
        <w:rPr>
          <w:noProof/>
        </w:rPr>
        <w:t>1188</w:t>
      </w:r>
      <w:r>
        <w:fldChar w:fldCharType="end"/>
      </w:r>
    </w:p>
    <w:p w:rsidR="009259C8" w:rsidRDefault="009259C8" w:rsidP="009259C8"/>
    <w:p w:rsidR="009259C8" w:rsidRDefault="009259C8" w:rsidP="009259C8">
      <w:pPr>
        <w:pStyle w:val="EntradandiceAuto"/>
      </w:pPr>
      <w:r>
        <w:t>Sala Segunda. Auto 91/2008, de 14 de abril de 2008. Archiva por incumplimiento sobrevenido del requisito de postulación el recurso de amparo 5178-2003, en procedimiento de habeas corpus.</w:t>
      </w:r>
      <w:r>
        <w:tab/>
      </w:r>
      <w:r>
        <w:tab/>
      </w:r>
      <w:r>
        <w:fldChar w:fldCharType="begin"/>
      </w:r>
      <w:r>
        <w:instrText xml:space="preserve"> PAGEREF AUTO_2008_91 \h </w:instrText>
      </w:r>
      <w:r>
        <w:fldChar w:fldCharType="separate"/>
      </w:r>
      <w:r w:rsidR="003D67AB">
        <w:rPr>
          <w:noProof/>
        </w:rPr>
        <w:t>1196</w:t>
      </w:r>
      <w:r>
        <w:fldChar w:fldCharType="end"/>
      </w:r>
    </w:p>
    <w:p w:rsidR="009259C8" w:rsidRDefault="009259C8" w:rsidP="009259C8"/>
    <w:p w:rsidR="009259C8" w:rsidRDefault="009259C8" w:rsidP="009259C8">
      <w:pPr>
        <w:pStyle w:val="EntradandiceAuto"/>
      </w:pPr>
      <w:r>
        <w:t>Sala Segunda. Auto 92/2008, de 14 de abril de 2008. Archiva por incumplimiento sobrevenido del requisito de postulación el recurso de amparo 5182-2003, en procedimiento de habeas corpus.</w:t>
      </w:r>
      <w:r>
        <w:tab/>
      </w:r>
      <w:r>
        <w:tab/>
      </w:r>
      <w:r>
        <w:fldChar w:fldCharType="begin"/>
      </w:r>
      <w:r>
        <w:instrText xml:space="preserve"> PAGEREF AUTO_2008_92 \h </w:instrText>
      </w:r>
      <w:r>
        <w:fldChar w:fldCharType="separate"/>
      </w:r>
      <w:r w:rsidR="003D67AB">
        <w:rPr>
          <w:noProof/>
        </w:rPr>
        <w:t>1201</w:t>
      </w:r>
      <w:r>
        <w:fldChar w:fldCharType="end"/>
      </w:r>
    </w:p>
    <w:p w:rsidR="009259C8" w:rsidRDefault="009259C8" w:rsidP="009259C8"/>
    <w:p w:rsidR="009259C8" w:rsidRDefault="009259C8" w:rsidP="009259C8">
      <w:pPr>
        <w:pStyle w:val="EntradandiceAuto"/>
      </w:pPr>
      <w:r>
        <w:t>Sala Segunda. Auto 93/2008, de 14 de abril de 2008. Archiva por incumplimiento sobrevenido del requisito de postulación el recurso de amparo 5184-2003, en procedimiento de habeas corpus.</w:t>
      </w:r>
      <w:r>
        <w:tab/>
      </w:r>
      <w:r>
        <w:tab/>
      </w:r>
      <w:r>
        <w:fldChar w:fldCharType="begin"/>
      </w:r>
      <w:r>
        <w:instrText xml:space="preserve"> PAGEREF AUTO_2008_93 \h </w:instrText>
      </w:r>
      <w:r>
        <w:fldChar w:fldCharType="separate"/>
      </w:r>
      <w:r w:rsidR="003D67AB">
        <w:rPr>
          <w:noProof/>
        </w:rPr>
        <w:t>1206</w:t>
      </w:r>
      <w:r>
        <w:fldChar w:fldCharType="end"/>
      </w:r>
    </w:p>
    <w:p w:rsidR="009259C8" w:rsidRDefault="009259C8" w:rsidP="009259C8"/>
    <w:p w:rsidR="009259C8" w:rsidRDefault="009259C8" w:rsidP="009259C8">
      <w:pPr>
        <w:pStyle w:val="EntradandiceAuto"/>
      </w:pPr>
      <w:r>
        <w:t>Sala Segunda. Auto 94/2008, de 14 de abril de 2008. Archiva por incumplimiento sobrevenido del requisito de postulación el recurso de amparo 5186-2003, en procedimiento de habeas corpus.</w:t>
      </w:r>
      <w:r>
        <w:tab/>
      </w:r>
      <w:r>
        <w:tab/>
      </w:r>
      <w:r>
        <w:fldChar w:fldCharType="begin"/>
      </w:r>
      <w:r>
        <w:instrText xml:space="preserve"> PAGEREF AUTO_2008_94 \h </w:instrText>
      </w:r>
      <w:r>
        <w:fldChar w:fldCharType="separate"/>
      </w:r>
      <w:r w:rsidR="003D67AB">
        <w:rPr>
          <w:noProof/>
        </w:rPr>
        <w:t>1211</w:t>
      </w:r>
      <w:r>
        <w:fldChar w:fldCharType="end"/>
      </w:r>
    </w:p>
    <w:p w:rsidR="009259C8" w:rsidRDefault="009259C8" w:rsidP="009259C8"/>
    <w:p w:rsidR="009259C8" w:rsidRDefault="009259C8" w:rsidP="009259C8">
      <w:pPr>
        <w:pStyle w:val="EntradandiceAuto"/>
      </w:pPr>
      <w:r>
        <w:t>Sala Segunda. Auto 95/2008, de 14 de abril de 2008. Archiva por incumplimiento sobrevenido del requisito de postulación el recurso de amparo 5550-2003, en procedimiento de habeas corpus.</w:t>
      </w:r>
      <w:r>
        <w:tab/>
      </w:r>
      <w:r>
        <w:tab/>
      </w:r>
      <w:r>
        <w:fldChar w:fldCharType="begin"/>
      </w:r>
      <w:r>
        <w:instrText xml:space="preserve"> PAGEREF AUTO_2008_95 \h </w:instrText>
      </w:r>
      <w:r>
        <w:fldChar w:fldCharType="separate"/>
      </w:r>
      <w:r w:rsidR="003D67AB">
        <w:rPr>
          <w:noProof/>
        </w:rPr>
        <w:t>1216</w:t>
      </w:r>
      <w:r>
        <w:fldChar w:fldCharType="end"/>
      </w:r>
    </w:p>
    <w:p w:rsidR="009259C8" w:rsidRDefault="009259C8" w:rsidP="009259C8"/>
    <w:p w:rsidR="009259C8" w:rsidRDefault="009259C8" w:rsidP="009259C8">
      <w:pPr>
        <w:pStyle w:val="EntradandiceAuto"/>
      </w:pPr>
      <w:r>
        <w:t>Sala Segunda. Auto 96/2008, de 14 de abril de 2008. Archiva por incumplimiento sobrevenido del requisito de postulación el recurso de amparo 5570-2003, en procedimiento de habeas corpus.</w:t>
      </w:r>
      <w:r>
        <w:tab/>
      </w:r>
      <w:r>
        <w:tab/>
      </w:r>
      <w:r>
        <w:fldChar w:fldCharType="begin"/>
      </w:r>
      <w:r>
        <w:instrText xml:space="preserve"> PAGEREF AUTO_2008_96 \h </w:instrText>
      </w:r>
      <w:r>
        <w:fldChar w:fldCharType="separate"/>
      </w:r>
      <w:r w:rsidR="003D67AB">
        <w:rPr>
          <w:noProof/>
        </w:rPr>
        <w:t>1221</w:t>
      </w:r>
      <w:r>
        <w:fldChar w:fldCharType="end"/>
      </w:r>
    </w:p>
    <w:p w:rsidR="009259C8" w:rsidRDefault="009259C8" w:rsidP="009259C8"/>
    <w:p w:rsidR="009259C8" w:rsidRDefault="009259C8" w:rsidP="009259C8">
      <w:pPr>
        <w:pStyle w:val="EntradandiceAuto"/>
      </w:pPr>
      <w:r>
        <w:t>Sala Segunda. Auto 97/2008, de 14 de abril de 2008. Archiva por incumplimiento sobrevenido del requisito de postulación el recurso de amparo 5572-2003, en procedimiento de habeas corpus.</w:t>
      </w:r>
      <w:r>
        <w:tab/>
      </w:r>
      <w:r>
        <w:tab/>
      </w:r>
      <w:r>
        <w:fldChar w:fldCharType="begin"/>
      </w:r>
      <w:r>
        <w:instrText xml:space="preserve"> PAGEREF AUTO_2008_97 \h </w:instrText>
      </w:r>
      <w:r>
        <w:fldChar w:fldCharType="separate"/>
      </w:r>
      <w:r w:rsidR="003D67AB">
        <w:rPr>
          <w:noProof/>
        </w:rPr>
        <w:t>1226</w:t>
      </w:r>
      <w:r>
        <w:fldChar w:fldCharType="end"/>
      </w:r>
    </w:p>
    <w:p w:rsidR="009259C8" w:rsidRDefault="009259C8" w:rsidP="009259C8"/>
    <w:p w:rsidR="009259C8" w:rsidRDefault="009259C8" w:rsidP="009259C8">
      <w:pPr>
        <w:pStyle w:val="EntradandiceAuto"/>
      </w:pPr>
      <w:r>
        <w:t>Sala Segunda. Auto 98/2008, de 14 de abril de 2008. Archiva por incumplimiento sobrevenido del requisito de postulación el recurso de amparo 5574-2003, en procedimiento de habeas corpus.</w:t>
      </w:r>
      <w:r>
        <w:tab/>
      </w:r>
      <w:r>
        <w:tab/>
      </w:r>
      <w:r>
        <w:fldChar w:fldCharType="begin"/>
      </w:r>
      <w:r>
        <w:instrText xml:space="preserve"> PAGEREF AUTO_2008_98 \h </w:instrText>
      </w:r>
      <w:r>
        <w:fldChar w:fldCharType="separate"/>
      </w:r>
      <w:r w:rsidR="003D67AB">
        <w:rPr>
          <w:noProof/>
        </w:rPr>
        <w:t>1231</w:t>
      </w:r>
      <w:r>
        <w:fldChar w:fldCharType="end"/>
      </w:r>
    </w:p>
    <w:p w:rsidR="009259C8" w:rsidRDefault="009259C8" w:rsidP="009259C8"/>
    <w:p w:rsidR="009259C8" w:rsidRDefault="009259C8" w:rsidP="009259C8">
      <w:pPr>
        <w:pStyle w:val="EntradandiceAuto"/>
      </w:pPr>
      <w:r>
        <w:lastRenderedPageBreak/>
        <w:t>Sala Segunda. Auto 99/2008, de 14 de abril de 2008. Archiva por incumplimiento sobrevenido del requisito de postulación el recurso de amparo 5576-2003, en procedimiento de habeas corpus.</w:t>
      </w:r>
      <w:r>
        <w:tab/>
      </w:r>
      <w:r>
        <w:tab/>
      </w:r>
      <w:r>
        <w:fldChar w:fldCharType="begin"/>
      </w:r>
      <w:r>
        <w:instrText xml:space="preserve"> PAGEREF AUTO_2008_99 \h </w:instrText>
      </w:r>
      <w:r>
        <w:fldChar w:fldCharType="separate"/>
      </w:r>
      <w:r w:rsidR="003D67AB">
        <w:rPr>
          <w:noProof/>
        </w:rPr>
        <w:t>1236</w:t>
      </w:r>
      <w:r>
        <w:fldChar w:fldCharType="end"/>
      </w:r>
    </w:p>
    <w:p w:rsidR="009259C8" w:rsidRDefault="009259C8" w:rsidP="009259C8"/>
    <w:p w:rsidR="009259C8" w:rsidRDefault="009259C8" w:rsidP="009259C8">
      <w:pPr>
        <w:pStyle w:val="EntradandiceAuto"/>
      </w:pPr>
      <w:r>
        <w:t>Sala Segunda. Auto 100/2008, de 14 de abril de 2008. Archiva por incumplimiento sobrevenido del requisito de postulación el recurso de amparo 5578-2003, en procedimiento de habeas corpus.</w:t>
      </w:r>
      <w:r>
        <w:tab/>
      </w:r>
      <w:r>
        <w:tab/>
      </w:r>
      <w:r>
        <w:fldChar w:fldCharType="begin"/>
      </w:r>
      <w:r>
        <w:instrText xml:space="preserve"> PAGEREF AUTO_2008_100 \h </w:instrText>
      </w:r>
      <w:r>
        <w:fldChar w:fldCharType="separate"/>
      </w:r>
      <w:r w:rsidR="003D67AB">
        <w:rPr>
          <w:noProof/>
        </w:rPr>
        <w:t>1241</w:t>
      </w:r>
      <w:r>
        <w:fldChar w:fldCharType="end"/>
      </w:r>
    </w:p>
    <w:p w:rsidR="009259C8" w:rsidRDefault="009259C8" w:rsidP="009259C8"/>
    <w:p w:rsidR="009259C8" w:rsidRDefault="009259C8" w:rsidP="009259C8">
      <w:pPr>
        <w:pStyle w:val="EntradandiceAuto"/>
      </w:pPr>
      <w:r>
        <w:t>Sala Segunda. Auto 101/2008, de 14 de abril de 2008. Archiva por incumplimiento sobrevenido del requisito de postulación el recurso de amparo 5619-2003, en procedimiento de habeas corpus.</w:t>
      </w:r>
      <w:r>
        <w:tab/>
      </w:r>
      <w:r>
        <w:tab/>
      </w:r>
      <w:r>
        <w:fldChar w:fldCharType="begin"/>
      </w:r>
      <w:r>
        <w:instrText xml:space="preserve"> PAGEREF AUTO_2008_101 \h </w:instrText>
      </w:r>
      <w:r>
        <w:fldChar w:fldCharType="separate"/>
      </w:r>
      <w:r w:rsidR="003D67AB">
        <w:rPr>
          <w:noProof/>
        </w:rPr>
        <w:t>1246</w:t>
      </w:r>
      <w:r>
        <w:fldChar w:fldCharType="end"/>
      </w:r>
    </w:p>
    <w:p w:rsidR="009259C8" w:rsidRDefault="009259C8" w:rsidP="009259C8"/>
    <w:p w:rsidR="009259C8" w:rsidRDefault="009259C8" w:rsidP="009259C8">
      <w:pPr>
        <w:pStyle w:val="EntradandiceAuto"/>
      </w:pPr>
      <w:r>
        <w:t>Sala Segunda. Auto 102/2008, de 14 de abril de 2008. Archiva por incumplimiento sobrevenido del requisito de postulación el recurso de amparo 5623-2003, en procedimiento de habeas corpus.</w:t>
      </w:r>
      <w:r>
        <w:tab/>
      </w:r>
      <w:r>
        <w:tab/>
      </w:r>
      <w:r>
        <w:fldChar w:fldCharType="begin"/>
      </w:r>
      <w:r>
        <w:instrText xml:space="preserve"> PAGEREF AUTO_2008_102 \h </w:instrText>
      </w:r>
      <w:r>
        <w:fldChar w:fldCharType="separate"/>
      </w:r>
      <w:r w:rsidR="003D67AB">
        <w:rPr>
          <w:noProof/>
        </w:rPr>
        <w:t>1251</w:t>
      </w:r>
      <w:r>
        <w:fldChar w:fldCharType="end"/>
      </w:r>
    </w:p>
    <w:p w:rsidR="009259C8" w:rsidRDefault="009259C8" w:rsidP="009259C8"/>
    <w:p w:rsidR="009259C8" w:rsidRDefault="009259C8" w:rsidP="009259C8">
      <w:pPr>
        <w:pStyle w:val="EntradandiceAuto"/>
      </w:pPr>
      <w:r>
        <w:t>Sala Segunda. Auto 103/2008, de 14 de abril de 2008. Archiva por incumplimiento sobrevenido del requisito de postulación el recurso de amparo 5625-2003, en procedimiento de habeas corpus.</w:t>
      </w:r>
      <w:r>
        <w:tab/>
      </w:r>
      <w:r>
        <w:tab/>
      </w:r>
      <w:r>
        <w:fldChar w:fldCharType="begin"/>
      </w:r>
      <w:r>
        <w:instrText xml:space="preserve"> PAGEREF AUTO_2008_103 \h </w:instrText>
      </w:r>
      <w:r>
        <w:fldChar w:fldCharType="separate"/>
      </w:r>
      <w:r w:rsidR="003D67AB">
        <w:rPr>
          <w:noProof/>
        </w:rPr>
        <w:t>1256</w:t>
      </w:r>
      <w:r>
        <w:fldChar w:fldCharType="end"/>
      </w:r>
    </w:p>
    <w:p w:rsidR="009259C8" w:rsidRDefault="009259C8" w:rsidP="009259C8"/>
    <w:p w:rsidR="009259C8" w:rsidRDefault="009259C8" w:rsidP="009259C8">
      <w:pPr>
        <w:pStyle w:val="EntradandiceAuto"/>
      </w:pPr>
      <w:r>
        <w:t>Sala Segunda. Auto 104/2008, de 14 de abril de 2008. Archiva por incumplimiento sobrevenido del requisito de postulación el recurso de amparo 5633-2003, en procedimiento de habeas corpus.</w:t>
      </w:r>
      <w:r>
        <w:tab/>
      </w:r>
      <w:r>
        <w:tab/>
      </w:r>
      <w:r>
        <w:fldChar w:fldCharType="begin"/>
      </w:r>
      <w:r>
        <w:instrText xml:space="preserve"> PAGEREF AUTO_2008_104 \h </w:instrText>
      </w:r>
      <w:r>
        <w:fldChar w:fldCharType="separate"/>
      </w:r>
      <w:r w:rsidR="003D67AB">
        <w:rPr>
          <w:noProof/>
        </w:rPr>
        <w:t>1261</w:t>
      </w:r>
      <w:r>
        <w:fldChar w:fldCharType="end"/>
      </w:r>
    </w:p>
    <w:p w:rsidR="009259C8" w:rsidRDefault="009259C8" w:rsidP="009259C8"/>
    <w:p w:rsidR="009259C8" w:rsidRDefault="009259C8" w:rsidP="009259C8">
      <w:pPr>
        <w:pStyle w:val="EntradandiceAuto"/>
      </w:pPr>
      <w:r>
        <w:t>Sala Segunda. Auto 105/2008, de 14 de abril de 2008. Archiva por incumplimiento sobrevenido del requisito de postulación el recurso de amparo 5637-2003, en procedimiento de habeas corpus.</w:t>
      </w:r>
      <w:r>
        <w:tab/>
      </w:r>
      <w:r>
        <w:tab/>
      </w:r>
      <w:r>
        <w:fldChar w:fldCharType="begin"/>
      </w:r>
      <w:r>
        <w:instrText xml:space="preserve"> PAGEREF AUTO_2008_105 \h </w:instrText>
      </w:r>
      <w:r>
        <w:fldChar w:fldCharType="separate"/>
      </w:r>
      <w:r w:rsidR="003D67AB">
        <w:rPr>
          <w:noProof/>
        </w:rPr>
        <w:t>1266</w:t>
      </w:r>
      <w:r>
        <w:fldChar w:fldCharType="end"/>
      </w:r>
    </w:p>
    <w:p w:rsidR="009259C8" w:rsidRDefault="009259C8" w:rsidP="009259C8"/>
    <w:p w:rsidR="009259C8" w:rsidRDefault="009259C8" w:rsidP="009259C8">
      <w:pPr>
        <w:pStyle w:val="EntradandiceAuto"/>
      </w:pPr>
      <w:r>
        <w:t>Sala Segunda. Auto 106/2008, de 14 de abril de 2008. Archiva por incumplimiento sobrevenido del requisito de postulación el recurso de amparo 5639-2003, en procedimiento de habeas corpus.</w:t>
      </w:r>
      <w:r>
        <w:tab/>
      </w:r>
      <w:r>
        <w:tab/>
      </w:r>
      <w:r>
        <w:fldChar w:fldCharType="begin"/>
      </w:r>
      <w:r>
        <w:instrText xml:space="preserve"> PAGEREF AUTO_2008_106 \h </w:instrText>
      </w:r>
      <w:r>
        <w:fldChar w:fldCharType="separate"/>
      </w:r>
      <w:r w:rsidR="003D67AB">
        <w:rPr>
          <w:noProof/>
        </w:rPr>
        <w:t>1271</w:t>
      </w:r>
      <w:r>
        <w:fldChar w:fldCharType="end"/>
      </w:r>
    </w:p>
    <w:p w:rsidR="009259C8" w:rsidRDefault="009259C8" w:rsidP="009259C8"/>
    <w:p w:rsidR="009259C8" w:rsidRDefault="009259C8" w:rsidP="009259C8">
      <w:pPr>
        <w:pStyle w:val="EntradandiceAuto"/>
      </w:pPr>
      <w:r>
        <w:t>Sala Segunda. Auto 107/2008, de 14 de abril de 2008. Archiva por incumplimiento sobrevenido del requisito de postulación el recurso de amparo 5691-2003, en procedimiento de habeas corpus.</w:t>
      </w:r>
      <w:r>
        <w:tab/>
      </w:r>
      <w:r>
        <w:tab/>
      </w:r>
      <w:r>
        <w:fldChar w:fldCharType="begin"/>
      </w:r>
      <w:r>
        <w:instrText xml:space="preserve"> PAGEREF AUTO_2008_107 \h </w:instrText>
      </w:r>
      <w:r>
        <w:fldChar w:fldCharType="separate"/>
      </w:r>
      <w:r w:rsidR="003D67AB">
        <w:rPr>
          <w:noProof/>
        </w:rPr>
        <w:t>1276</w:t>
      </w:r>
      <w:r>
        <w:fldChar w:fldCharType="end"/>
      </w:r>
    </w:p>
    <w:p w:rsidR="009259C8" w:rsidRDefault="009259C8" w:rsidP="009259C8"/>
    <w:p w:rsidR="009259C8" w:rsidRDefault="009259C8" w:rsidP="009259C8">
      <w:pPr>
        <w:pStyle w:val="EntradandiceAuto"/>
      </w:pPr>
      <w:r>
        <w:t>Sala Segunda. Auto 108/2008, de 14 de abril de 2008. Archiva por incumplimiento sobrevenido del requisito de postulación el recurso de amparo 5695-2003, en procedimiento de habeas corpus.</w:t>
      </w:r>
      <w:r>
        <w:tab/>
      </w:r>
      <w:r>
        <w:tab/>
      </w:r>
      <w:r>
        <w:fldChar w:fldCharType="begin"/>
      </w:r>
      <w:r>
        <w:instrText xml:space="preserve"> PAGEREF AUTO_2008_108 \h </w:instrText>
      </w:r>
      <w:r>
        <w:fldChar w:fldCharType="separate"/>
      </w:r>
      <w:r w:rsidR="003D67AB">
        <w:rPr>
          <w:noProof/>
        </w:rPr>
        <w:t>1281</w:t>
      </w:r>
      <w:r>
        <w:fldChar w:fldCharType="end"/>
      </w:r>
    </w:p>
    <w:p w:rsidR="009259C8" w:rsidRDefault="009259C8" w:rsidP="009259C8"/>
    <w:p w:rsidR="009259C8" w:rsidRDefault="009259C8" w:rsidP="009259C8">
      <w:pPr>
        <w:pStyle w:val="EntradandiceAuto"/>
      </w:pPr>
      <w:r>
        <w:lastRenderedPageBreak/>
        <w:t>Sala Segunda. Auto 109/2008, de 14 de abril de 2008. Acuerda la suspensión en el recurso de amparo 6939-2005, promovido por don Amadeo Azorín Guillermo en causa por delito  de falsedad en documento oficial.</w:t>
      </w:r>
      <w:r>
        <w:tab/>
      </w:r>
      <w:r>
        <w:tab/>
      </w:r>
      <w:r>
        <w:fldChar w:fldCharType="begin"/>
      </w:r>
      <w:r>
        <w:instrText xml:space="preserve"> PAGEREF AUTO_2008_109 \h </w:instrText>
      </w:r>
      <w:r>
        <w:fldChar w:fldCharType="separate"/>
      </w:r>
      <w:r w:rsidR="003D67AB">
        <w:rPr>
          <w:noProof/>
        </w:rPr>
        <w:t>1286</w:t>
      </w:r>
      <w:r>
        <w:fldChar w:fldCharType="end"/>
      </w:r>
    </w:p>
    <w:p w:rsidR="009259C8" w:rsidRDefault="009259C8" w:rsidP="009259C8"/>
    <w:p w:rsidR="009259C8" w:rsidRDefault="009259C8" w:rsidP="009259C8">
      <w:pPr>
        <w:pStyle w:val="EntradandiceAuto"/>
      </w:pPr>
      <w:r>
        <w:t>Sala Primera. Auto 110/2008, de 14 de abril de 2008. Extinción del incidente de suspensión en el recurso de amparo 7083-2005, promovido por Valentin Patrice en causa  por delito de robo con violencia.</w:t>
      </w:r>
      <w:r>
        <w:tab/>
      </w:r>
      <w:r>
        <w:tab/>
      </w:r>
      <w:r>
        <w:fldChar w:fldCharType="begin"/>
      </w:r>
      <w:r>
        <w:instrText xml:space="preserve"> PAGEREF AUTO_2008_110 \h </w:instrText>
      </w:r>
      <w:r>
        <w:fldChar w:fldCharType="separate"/>
      </w:r>
      <w:r w:rsidR="003D67AB">
        <w:rPr>
          <w:noProof/>
        </w:rPr>
        <w:t>1290</w:t>
      </w:r>
      <w:r>
        <w:fldChar w:fldCharType="end"/>
      </w:r>
    </w:p>
    <w:p w:rsidR="009259C8" w:rsidRDefault="009259C8" w:rsidP="009259C8"/>
    <w:p w:rsidR="009259C8" w:rsidRDefault="009259C8" w:rsidP="009259C8">
      <w:pPr>
        <w:pStyle w:val="EntradandiceAuto"/>
      </w:pPr>
      <w:r>
        <w:t>Sala Segunda. Auto 111/2008, de 14 de abril de 2008. Acuerda la suspensión parcial en el recurso de amparo 8056-2005, promovido por don Manuel Martos Leal en causa por delito de violencia doméstica.</w:t>
      </w:r>
      <w:r>
        <w:tab/>
      </w:r>
      <w:r>
        <w:tab/>
      </w:r>
      <w:r>
        <w:fldChar w:fldCharType="begin"/>
      </w:r>
      <w:r>
        <w:instrText xml:space="preserve"> PAGEREF AUTO_2008_111 \h </w:instrText>
      </w:r>
      <w:r>
        <w:fldChar w:fldCharType="separate"/>
      </w:r>
      <w:r w:rsidR="003D67AB">
        <w:rPr>
          <w:noProof/>
        </w:rPr>
        <w:t>1293</w:t>
      </w:r>
      <w:r>
        <w:fldChar w:fldCharType="end"/>
      </w:r>
    </w:p>
    <w:p w:rsidR="009259C8" w:rsidRDefault="009259C8" w:rsidP="009259C8"/>
    <w:p w:rsidR="009259C8" w:rsidRDefault="009259C8" w:rsidP="009259C8">
      <w:pPr>
        <w:pStyle w:val="EntradandiceAuto"/>
      </w:pPr>
      <w:r>
        <w:t>Sección Cuarta. Auto 112/2008, de 14 de abril de 2008. Inadmite a trámite el recurso de amparo 5911-2006, promovido por doña Eumelia de la Cruz Morales y otro en contencioso sobre reconocimiento de trienios.</w:t>
      </w:r>
      <w:r>
        <w:tab/>
      </w:r>
      <w:r>
        <w:tab/>
      </w:r>
      <w:r>
        <w:fldChar w:fldCharType="begin"/>
      </w:r>
      <w:r>
        <w:instrText xml:space="preserve"> PAGEREF AUTO_2008_112 \h </w:instrText>
      </w:r>
      <w:r>
        <w:fldChar w:fldCharType="separate"/>
      </w:r>
      <w:r w:rsidR="003D67AB">
        <w:rPr>
          <w:noProof/>
        </w:rPr>
        <w:t>1297</w:t>
      </w:r>
      <w:r>
        <w:fldChar w:fldCharType="end"/>
      </w:r>
    </w:p>
    <w:p w:rsidR="009259C8" w:rsidRDefault="009259C8" w:rsidP="009259C8"/>
    <w:p w:rsidR="009259C8" w:rsidRDefault="009259C8" w:rsidP="009259C8">
      <w:pPr>
        <w:pStyle w:val="EntradandiceAuto"/>
      </w:pPr>
      <w:r>
        <w:t>Sección Primera. Auto 113/2008, de 23 de abril de 2008. Acepta una abstención en el recurso de amparo 3934-2005, promovido por Pelayo Mutua de seguros y reaseguros a prima fija.</w:t>
      </w:r>
      <w:r>
        <w:tab/>
      </w:r>
      <w:r>
        <w:tab/>
      </w:r>
      <w:r>
        <w:fldChar w:fldCharType="begin"/>
      </w:r>
      <w:r>
        <w:instrText xml:space="preserve"> PAGEREF AUTO_2008_113 \h </w:instrText>
      </w:r>
      <w:r>
        <w:fldChar w:fldCharType="separate"/>
      </w:r>
      <w:r w:rsidR="003D67AB">
        <w:rPr>
          <w:noProof/>
        </w:rPr>
        <w:t>1304</w:t>
      </w:r>
      <w:r>
        <w:fldChar w:fldCharType="end"/>
      </w:r>
    </w:p>
    <w:p w:rsidR="009259C8" w:rsidRDefault="009259C8" w:rsidP="009259C8"/>
    <w:p w:rsidR="009259C8" w:rsidRDefault="009259C8" w:rsidP="009259C8">
      <w:pPr>
        <w:pStyle w:val="EntradandiceAuto"/>
      </w:pPr>
      <w:r>
        <w:t>Sala Primera. Auto 114/2008, de 28 de abril de 2008. Acepta una abstención en el recurso de amparo 3013-2004, promovido por Pelayo Mutua de seguros y reaseguros a prima fija.</w:t>
      </w:r>
      <w:r>
        <w:tab/>
      </w:r>
      <w:r>
        <w:tab/>
      </w:r>
      <w:r>
        <w:fldChar w:fldCharType="begin"/>
      </w:r>
      <w:r>
        <w:instrText xml:space="preserve"> PAGEREF AUTO_2008_114 \h </w:instrText>
      </w:r>
      <w:r>
        <w:fldChar w:fldCharType="separate"/>
      </w:r>
      <w:r w:rsidR="003D67AB">
        <w:rPr>
          <w:noProof/>
        </w:rPr>
        <w:t>1306</w:t>
      </w:r>
      <w:r>
        <w:fldChar w:fldCharType="end"/>
      </w:r>
    </w:p>
    <w:p w:rsidR="009259C8" w:rsidRDefault="009259C8" w:rsidP="009259C8"/>
    <w:p w:rsidR="009259C8" w:rsidRDefault="009259C8" w:rsidP="009259C8">
      <w:pPr>
        <w:pStyle w:val="EntradandiceAuto"/>
      </w:pPr>
      <w:r>
        <w:t>Sección Cuarta. Auto 115/2008, de 28 de abril de 2008. Inadmite a trámite el recurso de amparo 3797-2004, promovido por don Manuel de la Concha López-Isla en causa por delito de falsedad en documento público.</w:t>
      </w:r>
      <w:r>
        <w:tab/>
      </w:r>
      <w:r>
        <w:tab/>
      </w:r>
      <w:r>
        <w:fldChar w:fldCharType="begin"/>
      </w:r>
      <w:r>
        <w:instrText xml:space="preserve"> PAGEREF AUTO_2008_115 \h </w:instrText>
      </w:r>
      <w:r>
        <w:fldChar w:fldCharType="separate"/>
      </w:r>
      <w:r w:rsidR="003D67AB">
        <w:rPr>
          <w:noProof/>
        </w:rPr>
        <w:t>1308</w:t>
      </w:r>
      <w:r>
        <w:fldChar w:fldCharType="end"/>
      </w:r>
    </w:p>
    <w:p w:rsidR="009259C8" w:rsidRDefault="009259C8" w:rsidP="009259C8"/>
    <w:p w:rsidR="009259C8" w:rsidRDefault="009259C8" w:rsidP="009259C8">
      <w:pPr>
        <w:pStyle w:val="EntradandiceAuto"/>
      </w:pPr>
      <w:r>
        <w:t>Sala Segunda. Auto 116/2008, de 28 de abril de 2008. Deniega la suspensión en el recurso de amparo 6988-2004, promovido por don Rafael Vera Fernández-Huidobro en causa por delito de malversación de caudales públicos.</w:t>
      </w:r>
      <w:r>
        <w:tab/>
      </w:r>
      <w:r>
        <w:tab/>
      </w:r>
      <w:r>
        <w:fldChar w:fldCharType="begin"/>
      </w:r>
      <w:r>
        <w:instrText xml:space="preserve"> PAGEREF AUTO_2008_116 \h </w:instrText>
      </w:r>
      <w:r>
        <w:fldChar w:fldCharType="separate"/>
      </w:r>
      <w:r w:rsidR="003D67AB">
        <w:rPr>
          <w:noProof/>
        </w:rPr>
        <w:t>1319</w:t>
      </w:r>
      <w:r>
        <w:fldChar w:fldCharType="end"/>
      </w:r>
    </w:p>
    <w:p w:rsidR="009259C8" w:rsidRDefault="009259C8" w:rsidP="009259C8"/>
    <w:p w:rsidR="009259C8" w:rsidRDefault="009259C8" w:rsidP="009259C8">
      <w:pPr>
        <w:pStyle w:val="EntradandiceAuto"/>
      </w:pPr>
      <w:r>
        <w:t>Sección Cuarta. Auto 117/2008, de 28 de abril de 2008. Inadmite a trámite el recurso de amparo 862-2006, promovido por Obrascón Huarte Laín, S.A., en contencioso sobre bonificación tributaria por las obras del Teatro Real.</w:t>
      </w:r>
      <w:r>
        <w:tab/>
      </w:r>
      <w:r>
        <w:tab/>
      </w:r>
      <w:r>
        <w:fldChar w:fldCharType="begin"/>
      </w:r>
      <w:r>
        <w:instrText xml:space="preserve"> PAGEREF AUTO_2008_117 \h </w:instrText>
      </w:r>
      <w:r>
        <w:fldChar w:fldCharType="separate"/>
      </w:r>
      <w:r w:rsidR="003D67AB">
        <w:rPr>
          <w:noProof/>
        </w:rPr>
        <w:t>1322</w:t>
      </w:r>
      <w:r>
        <w:fldChar w:fldCharType="end"/>
      </w:r>
    </w:p>
    <w:p w:rsidR="009259C8" w:rsidRDefault="009259C8" w:rsidP="009259C8"/>
    <w:p w:rsidR="009259C8" w:rsidRDefault="009259C8" w:rsidP="009259C8">
      <w:pPr>
        <w:pStyle w:val="EntradandiceAuto"/>
      </w:pPr>
      <w:r>
        <w:t>Sala Primera. Auto 118/2008, de 28 de abril de 2008. Deniega la suspensión en el recurso de amparo 3376-2007, promovido por don Javier Gaya González en pleito sobre indemnización por daños y perjuicios.</w:t>
      </w:r>
      <w:r>
        <w:tab/>
      </w:r>
      <w:r>
        <w:tab/>
      </w:r>
      <w:r>
        <w:fldChar w:fldCharType="begin"/>
      </w:r>
      <w:r>
        <w:instrText xml:space="preserve"> PAGEREF AUTO_2008_118 \h </w:instrText>
      </w:r>
      <w:r>
        <w:fldChar w:fldCharType="separate"/>
      </w:r>
      <w:r w:rsidR="003D67AB">
        <w:rPr>
          <w:noProof/>
        </w:rPr>
        <w:t>1331</w:t>
      </w:r>
      <w:r>
        <w:fldChar w:fldCharType="end"/>
      </w:r>
    </w:p>
    <w:p w:rsidR="009259C8" w:rsidRDefault="009259C8">
      <w:pPr>
        <w:spacing w:after="160" w:line="259" w:lineRule="auto"/>
      </w:pPr>
      <w:r>
        <w:br w:type="page"/>
      </w:r>
    </w:p>
    <w:p w:rsidR="009259C8" w:rsidRDefault="009259C8" w:rsidP="0052098F"/>
    <w:p w:rsidR="009259C8" w:rsidRDefault="009259C8" w:rsidP="0052098F"/>
    <w:p w:rsidR="0052098F" w:rsidRDefault="0052098F" w:rsidP="0052098F"/>
    <w:p w:rsidR="0052098F" w:rsidRDefault="0052098F" w:rsidP="0052098F"/>
    <w:p w:rsidR="0052098F" w:rsidRDefault="0052098F" w:rsidP="0052098F"/>
    <w:p w:rsidR="0052098F" w:rsidRDefault="0052098F" w:rsidP="0052098F"/>
    <w:p w:rsidR="0052098F" w:rsidRDefault="0052098F" w:rsidP="0052098F"/>
    <w:p w:rsidR="0052098F" w:rsidRDefault="0052098F" w:rsidP="0052098F"/>
    <w:p w:rsidR="0052098F" w:rsidRDefault="0052098F" w:rsidP="0052098F">
      <w:pPr>
        <w:pStyle w:val="CabeceraApartado"/>
      </w:pPr>
      <w:r>
        <w:t>SENTENCIAS</w:t>
      </w:r>
    </w:p>
    <w:p w:rsidR="0052098F" w:rsidRDefault="0052098F">
      <w:pPr>
        <w:spacing w:after="160" w:line="259" w:lineRule="auto"/>
        <w:rPr>
          <w:rFonts w:ascii="Times New Roman" w:eastAsia="Times New Roman" w:hAnsi="Times New Roman" w:cs="Times New Roman"/>
          <w:sz w:val="48"/>
          <w:szCs w:val="24"/>
          <w:lang w:eastAsia="es-ES"/>
        </w:rPr>
      </w:pPr>
      <w:r>
        <w:br w:type="page"/>
      </w:r>
    </w:p>
    <w:p w:rsidR="0052098F" w:rsidRDefault="0052098F" w:rsidP="0052098F">
      <w:pPr>
        <w:pStyle w:val="TtuloResolucin"/>
      </w:pPr>
      <w:bookmarkStart w:id="4" w:name="SENTENCIA_2008_1"/>
      <w:r>
        <w:lastRenderedPageBreak/>
        <w:t>SENTENCIA 1/2008, de 14 de enero de 2008</w:t>
      </w:r>
    </w:p>
    <w:bookmarkEnd w:id="4"/>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ECLI:ES:TC:2008:1</w:t>
      </w:r>
    </w:p>
    <w:p w:rsidR="0052098F" w:rsidRDefault="0052098F" w:rsidP="0052098F">
      <w:pPr>
        <w:pStyle w:val="SntesisDescriptiva"/>
      </w:pPr>
    </w:p>
    <w:p w:rsidR="0052098F" w:rsidRDefault="0052098F" w:rsidP="0052098F">
      <w:pPr>
        <w:pStyle w:val="SntesisDescriptiva"/>
      </w:pPr>
      <w:r>
        <w:t>Recurso de amparo 7475-2004. Promovido por don Antonio Estudis Escursell y otra frente a la Sentencia de la Sala de lo Contencioso-Administrativo de la Audiencia Nacional que desestimó su demanda sobre liquidación tributaria.</w:t>
      </w:r>
    </w:p>
    <w:p w:rsidR="0052098F" w:rsidRDefault="0052098F" w:rsidP="0052098F">
      <w:pPr>
        <w:pStyle w:val="SntesisDescriptiva"/>
      </w:pPr>
    </w:p>
    <w:p w:rsidR="0052098F" w:rsidRDefault="0052098F" w:rsidP="0052098F">
      <w:pPr>
        <w:pStyle w:val="SntesisAnaltica"/>
      </w:pPr>
      <w:r>
        <w:t>Alegada vulneración del derecho a la tutela judicial efectiva: falta de agotamiento porque se preparó recurso de casación contencioso-administrativo al mismo tiempo que el recurso de amparo.</w:t>
      </w:r>
    </w:p>
    <w:p w:rsidR="0052098F" w:rsidRDefault="0052098F" w:rsidP="0052098F">
      <w:pPr>
        <w:pStyle w:val="SntesisAnaltica"/>
      </w:pPr>
    </w:p>
    <w:p w:rsidR="0052098F" w:rsidRDefault="0052098F" w:rsidP="0052098F">
      <w:pPr>
        <w:pStyle w:val="Extracto"/>
      </w:pPr>
      <w:r>
        <w:t>1.</w:t>
      </w:r>
      <w:r>
        <w:tab/>
        <w:t>El que los recurrentes no formularan el incidente de nulidad de actuaciones y optaran por simultanear el recurso de casación con el recurso de amparo determina que éste último deba ser inadmitido por falta de agotamiento de la vía judicial previa [FJ 2].</w:t>
      </w:r>
    </w:p>
    <w:p w:rsidR="0052098F" w:rsidRDefault="0052098F" w:rsidP="0052098F">
      <w:pPr>
        <w:pStyle w:val="Extracto"/>
      </w:pPr>
    </w:p>
    <w:p w:rsidR="0052098F" w:rsidRDefault="0052098F" w:rsidP="0052098F">
      <w:pPr>
        <w:pStyle w:val="Extracto"/>
      </w:pPr>
      <w:r>
        <w:t>2.</w:t>
      </w:r>
      <w:r>
        <w:tab/>
        <w:t>Doctrina sobre la subsidiariedad del recurso de amparo (SSTC 39/2003, 156/2006) [FJ 2].</w:t>
      </w:r>
    </w:p>
    <w:p w:rsidR="0052098F" w:rsidRDefault="0052098F" w:rsidP="0052098F">
      <w:pPr>
        <w:pStyle w:val="Extracto"/>
      </w:pPr>
    </w:p>
    <w:p w:rsidR="0052098F" w:rsidRDefault="0052098F" w:rsidP="0052098F">
      <w:pPr>
        <w:pStyle w:val="Extracto"/>
      </w:pPr>
      <w:r>
        <w:t>3.</w:t>
      </w:r>
      <w:r>
        <w:tab/>
        <w:t>Los defectos insubsanables de que pueda estar afectada la demanda de amparo no resultan subsanados porque ésta haya sido inicialmente admitida a trámite, pudiendo abordarse por este Tribunal de oficio el examen de los presupuestos de viabilidad de la demanda en fase de Sentencia y llegar, en su caso, a la declaración de inadmisión del recurso o del motivo del recurso afectado por dichos defectos (SSTC 29/2004, 353/2006)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doña Elisa Pérez Vera,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7475-2004, promovido por don Antonio Estudis Escursell y doña María Dolores Ferrer Ferreros, representados por el Procurador de los Tribunales don Jesús Verdasco Triguero y asistidos por el Abogado don José Luis Ruiz-Flores Lalmolda, contra la Sentencia de 4 de noviembre de 2004 de la Sección Segunda de la Sala de </w:t>
      </w:r>
      <w:r>
        <w:lastRenderedPageBreak/>
        <w:t>lo Contencioso-Administrativo de la Audiencia Nacional. Ha intervenido el Ministerio Fiscal. Ha sido parte el Abogado del Estado en la representación que ostenta. Ha sido Ponente el Mgistrado don Pascual Sala Sánchez,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13 de diciembre de 2004 el Procurador de los Tribunales don Jesús Verdasco Triguero, en nombre y representación de don Antonio Estudis Escursell y doña María Dolores Ferrer Ferreros, interpuso recurso de amparo contra la resolución judicial que se cita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tiene su origen el presente recurso y relevantes para su resolución son, sucintamente expuestos, los siguientes: </w:t>
      </w:r>
    </w:p>
    <w:p w:rsidR="0052098F" w:rsidRDefault="0052098F" w:rsidP="0052098F">
      <w:pPr>
        <w:pStyle w:val="TextoNormal"/>
      </w:pPr>
      <w:r>
        <w:t xml:space="preserve">a) Los recurrentes y otros accionistas de la sociedad Cargas Blancas Inorgánicas, S.A. (CBI), vendieron el 22 de marzo de 1989 a la entidad Andalucía, Construcciones y Edificaciones, S.A. (Ancedisa), sus derechos de suscripción preferente de acciones en determinada ampliación de capital de la primera de dichas sociedades. La entidad Ancedisa procedió a su vez, con intervención de otra sociedad, Giritix, S.A., a revender el 28 de abril de 1989 tales derechos a Yesos Ibéricos, S.A. </w:t>
      </w:r>
    </w:p>
    <w:p w:rsidR="0052098F" w:rsidRDefault="0052098F" w:rsidP="0052098F">
      <w:pPr>
        <w:pStyle w:val="TextoNormal"/>
      </w:pPr>
      <w:r>
        <w:t xml:space="preserve">b) La Inspección de los Tributos incoó el 19 de diciembre de 1995 tres actas de disconformidad en relación con las repercusiones tributarias de tales operaciones mercantiles en el IRPF correspondiente a los ejercicios de 1989, 1990 y 1991 de don Antonio Estudis Escursell y doña María Dolores Ferrer Ferreros. Por Acuerdos de 21 de junio de 1996 fueron confirmadas las propuestas de liquidación contenidas en dichas actas. En tales acuerdos se consideró que la venta de derechos de suscripción del 22 de marzo de 1989 fue una operación simulada y que la única venta de los mismos habría sido la efectuada el 28 de abril de 1989, ya bajo la vigencia del Real Decreto-ley 1/1989, de 22 de marzo, regulador del tratamiento tributario de la transmisión de tales derechos. </w:t>
      </w:r>
    </w:p>
    <w:p w:rsidR="0052098F" w:rsidRDefault="0052098F" w:rsidP="0052098F">
      <w:pPr>
        <w:pStyle w:val="TextoNormal"/>
      </w:pPr>
      <w:r>
        <w:t xml:space="preserve">c) Los recurrentes formularon reclamación económico-administrativa frente a los citados acuerdos, que fue parcialmente estimada por Resolución del Tribunal Económico- Administrativo Regional de Cataluña de 21 de abril de 1999. Los demandantes de amparo formularon contra dicha resolución recurso de alzada, que fue desestimado por Resolución del Tribunal Económico-Administrativo Central de 16 de noviembre de 2001. </w:t>
      </w:r>
    </w:p>
    <w:p w:rsidR="0052098F" w:rsidRDefault="0052098F" w:rsidP="0052098F">
      <w:pPr>
        <w:pStyle w:val="TextoNormal"/>
      </w:pPr>
      <w:r>
        <w:t xml:space="preserve">d) Contra la citada resolución formularon los demandantes de amparo recurso contencioso- administrativo, que fue desestimado por Sentencia de la Sala de lo Contencioso- Administrativo, Sección Segunda, de la Audiencia Nacional de 4 de noviembre de 2004, que declaró conforme a Derecho la resolución recurrida. </w:t>
      </w:r>
    </w:p>
    <w:p w:rsidR="0052098F" w:rsidRDefault="0052098F" w:rsidP="0052098F">
      <w:pPr>
        <w:pStyle w:val="TextoNormal"/>
      </w:pPr>
      <w:r>
        <w:t xml:space="preserve">e) La Sentencia de 4 de noviembre de 2004 fue notificada el 17 de noviembre a los recurrentes, con indicación de que era una resolución firme y que contra ella no cabía recurso ordinario alguno. No obstante la parte recurrente presentó el 23 de noviembre de 2004 escrito de preparación de recurso de casación ante la Sección Segunda de la Sala de lo Contencioso-Administrativo de la Audiencia Nacional. Simultáneamente, el 13 de diciembre de 2004, fue presentado recurso de amparo en el Registro General del Tribunal Constitucional. </w:t>
      </w:r>
    </w:p>
    <w:p w:rsidR="0052098F" w:rsidRDefault="0052098F" w:rsidP="0052098F">
      <w:pPr>
        <w:pStyle w:val="TextoNormal"/>
      </w:pPr>
      <w:r>
        <w:t xml:space="preserve">f) El Auto de 3 de diciembre de 2004 de la Audiencia Nacional, notificado el 15 de diciembre de 2004, acordó no tener por preparado el recurso de casación por ser la cuantía del pleito inferior a lo previsto en el art. 86.2 b) LJCA. </w:t>
      </w:r>
    </w:p>
    <w:p w:rsidR="0052098F" w:rsidRDefault="0052098F" w:rsidP="0052098F">
      <w:pPr>
        <w:pStyle w:val="TextoNormal"/>
      </w:pPr>
      <w:r>
        <w:lastRenderedPageBreak/>
        <w:t>g) El 17 de diciembre de 2004 formularon los demandantes de amparo recurso de súplica por la improcedente inadmisión del recurso de casación, que fue desestimado por Auto de 27 de diciembre de 2004. Contra el citado Auto formularon recurso de queja ante la Sala de lo Contencioso-Administrativo del Tribunal Supremo el 27 de enero de 2005 que fue, a su vez, desestimado por Auto de 23 de junio de 2005 de la Sección Primera de la Sala de lo Contencioso-Administrativo del Tribunal Supremo.</w:t>
      </w:r>
    </w:p>
    <w:p w:rsidR="0052098F" w:rsidRDefault="0052098F" w:rsidP="0052098F">
      <w:pPr>
        <w:pStyle w:val="TextoNormal"/>
      </w:pPr>
    </w:p>
    <w:p w:rsidR="0052098F" w:rsidRDefault="0052098F" w:rsidP="0052098F">
      <w:pPr>
        <w:pStyle w:val="TextoNormal"/>
      </w:pPr>
      <w:r w:rsidRPr="0052098F">
        <w:rPr>
          <w:rStyle w:val="NumeroAFNegritaCaracter"/>
        </w:rPr>
        <w:t>3</w:t>
      </w:r>
      <w:r>
        <w:t>. Los recurrentes fundamentan su demanda de amparo en la vulneración de sus derechos fundamentales a la tutela judicial efectiva sin indefensión (artículo 24.1 y 2 CE), por incongruencia extra petita, defectos de procedimiento y por carencia de motivación de la resolución impugnada. Según se aduce en la demanda de amparo la Sentencia habría introducido la calificación de negocios jurídicos indirectos cuando el debate procesal giraba en torno a la consideración de negocios simulados, con una motivación insuficiente, arbitraria e irracional, lo que causó indefensión a los recurrentes en amparo. El cambio de calificación del negocio por la Sentencia impugnada habría vulnerado, asimismo, los principios de contradicción y defensa por alteración del debate procesal sin previa audiencia a las partes. Se aduce, asimismo, la vulneración del derecho a la igualdad en aplicación de la Ley, así como la de los principios de equidad y justicia material, aportando como elemento de contraste la Sentencia de 22 de abril de 2004 de la misma Sala y Sección de la Audiencia Nacional que la Sentencia impugnada, donde en un tema sustancialmente idéntico la Sala apreció de oficio la prescripción de la sanción tributaria. Además se aduce que la Sentencia de 17 de noviembre de 2004 de la Sala de lo Contencioso-Administrativo, Sección Cuarta, del Tribunal Superior de Justicia de Cataluña falló en favor de la tesis sostenida por uno de los recurrentes en amparo respecto de la misma cuestión litigiosa, declarando que se trataba de un supuesto de economía de opción.</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20 de noviembre de 2006 la Sala Segunda de este Tribunal acordó la admisión a trámite de la demanda y, a tenor de lo dispuesto en el art. 51 LOTC, requerir a la Sección Segunda de la Sala de lo Contencioso-Administrativo de la Audiencia Nacional para que en el plazo de diez días remitiera testimonio del recurso contencioso- administrativo núm. 32-2002, interesándose al tiempo que se emplazara a quienes fueron parte en el procedimiento, a excepción de los recurrentes en amparo, para que en el plazo de diez días pudieran comparecer en este proceso constitucional.</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13 de febrero de 2007 la Sala Segunda de este Tribunal tuvo por personado y parte al Abogado del Estado en la representación que ostenta. Asimismo se acordó dar vista de las actuaciones a las partes personadas y al Ministerio público por término de veinte días, dentro de los cuales podrían presentar las alegaciones que estimasen pertinentes, conforme a lo establecido en el art. 52.1 LOTC.</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Mediante escrito que tuvo entrada en el Registro General de este Tribunal el día 27 de febrero de 2007 presentó alegaciones el Abogado del Estado interesando la denegación del amparo solicitado. Respecto a la aducida incongruencia extra petita en que supuestamente habría incurrido la Sentencia impugnada el Abogado del Estado alega la falta de agotamiento de la vía judicial previa, con incumplimiento de lo previsto en el art. 41.1 a) LOTC, puesto que tanto la incongruencia como la supuesta infracción del procedimiento aducida en la demanda de amparo son remediables por la vía del incidente de nulidad de actuaciones, </w:t>
      </w:r>
      <w:r>
        <w:lastRenderedPageBreak/>
        <w:t>que no fue formulado por los recurrentes. A mayor abundamiento alega el Abogado del Estado que la incongruencia extra petita no se produjo, porque, comparando las resoluciones del Tribunal Económico-Administrativo Regional y del Tribunal Económico- Administrativo Central con la Sentencia impugnada, se constata que tanto su base fáctica como la jurídica es la misma, siendo la única diferencia de carácter doctrinal. La Sentencia impugnada habría eludido el empleo de la categoría dogmática de negocio jurídico simulado que tantas dudas causa en su proyección tributaria, pero sin dejar de atender a los argumentos impugnatorios del recurrente. En cuanto a la irracionalidad y arbitrariedad de la Sentencia y a la carencia de motivación son negadas por el Abogado del Estado, que alega que la Sentencia no ofrece especial oscuridad en su motivación, ya que incluye dentro del incremento patrimonial, a efectos tributarios, el precio de venta de los derechos de suscripción preferente, que es lo que discuten los recurrentes. Asimismo interesa el Abogado del Estado la desestimación de la queja sobre la vulneración del principio de igualdad en aplicación de la Ley, ya que la apreciación de oficio de la prescripción en materia tributaria que realizó la Sentencia aportada como elemento de contraste está basada en una circunstanciada consideración de los plazos y de las actuaciones realizadas tanto por el recurrente como por la Administración, con lo que no constituye un término válido de comparación a efectos del realizar el enjuiciamiento solicitado. Sin olvidar, además, que la diversa composición personal de la Sala cuyas resoluciones se tratan de comparar determina la aplicación de la doctrina del Tribunal respecto a la diversidad de Secciones o de Salas, puesto que es la esencia de la diversidad de personas lo que explica la diversidad de soluciones o resultados. Además, como los recurrentes declaran conocer la Sentencia que aportan como elemento de contraste desde su emisión, bien podrían estos haber aportado copia de la Sentencia en la misma vía judicial invocando el derecho fundamental a la igualdad en aplicación de la Ley.</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día 12 de marzo de 2007 presentó sus alegaciones el Ministerio Fiscal, interesando la inadmisión del recurso de amparo y, subsidiariamente, su desestimación. Alega el Ministerio público que los recurrentes simultanearon la interposición del recurso de amparo con la preparación del recurso de casación, a pesar de que en la Sentencia impugnada se advertía que, dada la cuantía del recurso, no era susceptible de casación. Esta estrategia procesal de la parte prolongó indebidamente la vía judicial, sin plantear el incidente de nulidad de actuaciones que, a juicio del Ministerio Fiscal, hubiera sido procedente para revisar las quejas de incongruencia extra petita y defectos de procedimiento. Por ello interesa el Ministerio público la inadmisión del recurso de amparo, porque la interposición del mismo el 13 de diciembre de 2004 no respetó el carácter subsidiario del recurso de amparo sin que pueda, por tanto, estimarse cumplido el requisito del agotamiento de la vía judicial previa, porque, de acuerdo con la doctrina constitucional, para ello es preciso que los órganos judiciales tengan la oportunidad de pronunciarse sobre las vulneraciones de derechos fundamentales antes de acudir en petición de amparo ante este Tribunal (SSTC 18/2000, de 31 de enero; 32/1994, de 31 de enero; 147/1994, de 12 de mayo; 196/1995, de 19 de diciembre; y 63/1996, de 16 de abril). Sólo entonces podrá entenderse agotada la vía judicial previa (STC 73/1999, de 26 de abril, FJ 2). De acuerdo con las alegaciones del Ministerio Fiscal nos encontramos en un caso en el que o bien se puede apreciar prolongada artificialmente la vía judicial previa por la preparación de un recurso de casación que no cabía y los siguientes recursos de súplica y queja contra su inadmisión, o bien se aprecia, que el remedio procesal oportuno para conocer de la aducida incongruencia extra petita no se utilizó (el incidente de nulidad de actuaciones previsto en el art. 241 LOPJ). En cualquier caso estamos ante un recurso de amparo que incumple el requisito previsto en el art. 44.1 a) LOTC, por lo que el </w:t>
      </w:r>
      <w:r>
        <w:lastRenderedPageBreak/>
        <w:t xml:space="preserve">Ministerio Fiscal interesa su inadmisión al concurrir la causa de inadmisión establecida en el art. 50.1 a) LOTC. </w:t>
      </w:r>
    </w:p>
    <w:p w:rsidR="0052098F" w:rsidRDefault="0052098F" w:rsidP="0052098F">
      <w:pPr>
        <w:pStyle w:val="TextoNormal"/>
      </w:pPr>
      <w:r>
        <w:t>Subsidiariamente, para el caso de que el Tribunal no considerase incumplido el requisito de falta de agotamiento de la vía judicial previa, el Ministerio Fiscal interesa la denegación del amparo solicitado. Respecto a la primera queja aducida, la incongruencia extra petita, alega el Ministerio Fiscal el óbice procesal de falta de agotamiento de la vía judicial previa, que determinaría la inadmisión de la queja [art. 44.1 a) LOTC en relación con el art. 50.1 a) LOTC], porque los recurrentes no formularon incidente de nulidad de actuaciones ni, además, alegaron la citada incongruencia ni la indefensión que la misma les producía en la jurisdicción contencioso-administrativa. La falta del trámite previsto en el art. 65.2 LJCA no fue alegada en ningún momento procesal previo a la interposición del recurso de amparo, cuando podía haber sido alegada promoviendo el incidente de nulidad de actuaciones. Además, a mayor abundamiento, el Ministerio público considera que la aducida incongruencia no tiene relevancia constitucional ni produjo indefensión porque el debate procesal se mantuvo dentro de las pretensiones de las partes. Cuando la Sala aceptó que no hubo simulación y que las operaciones mercantiles realizadas se basaban en contratos auténticos y verdaderos, válidos y con plenos efectos jurídicos, apreció que habían constituido, globalmente consideradas, una operativa conjunta no contemplable en sede tributaria desde la perspectiva de una disección contractual, sino desde la perspectiva del hecho imponible buscado a través de sucesivos contratos u operaciones societarias realizadas. Desde la operativa empleada (de negocio indirecto) se revela, de acuerdo con la Sentencia, que se generó un hecho imponible susceptible de tributación por IRPF como incremento de patrimonio. Respecto a la segunda queja aducida por los recurrentes, es decir, la insuficiente motivación arbitraria e irracional de la Sentencia impugnada, que supuestamente lesionó el derecho fundamental reconocido en el art. 24.1 CE, el Ministerio Fiscal alega asimismo que carece de relevancia constitucional, porque el fundamento de derecho cuarto de la Sentencia contiene una exteriorización completa de los motivos que llevan al órgano judicial a adoptar la decisión que toma, sin viso alguno de arbitrariedad o irracionalidad lógica o jurídica, y permite conocer los criterios jurídicos esenciales fundamentadores de la decisión jurisdiccional en torno a todos los aspectos y perspectivas que las partes formularon. Por último,alega el Ministerio Fiscal que la tercera queja aducida, relativa a la lesión del derecho fundamental a la igualdad en la aplicación de la Ley (art. 14 CE) debe, asimismo, desestimarse, porque no se cumplen los requisitos que exige la doctrina constitucional para entender vulnerado este derecho fundamental (STC 339/2006, de 11 de diciembre, FJ 4). Aunque la Sentencia de 22 de abril de 2004, aportada como término de comparación, es del mismo órgano judicial que la impugnada, de la Sección Segunda de la Sala de lo Contencioso-Administrativo de la Audiencia Nacional, y concurren los requisitos de alteridad e identidad sustancial de hechos, no puede entenderse la citada Sentencia como un término válido de comparación por los siguientes motivos: en primer lugar, porque no se ha acreditado la firmeza de la Sentencia aportada como tertium comparationis, siendo recurrible en casación debido a la cuantía del pleito, ni cuál sea la línea consolidada seguida por el órgano judicial, porque aunque hay más resoluciones sobre este tema no se han aportado con el recurso de amparo. El análisis de esas otras resoluciones lleva al Ministerio Fiscal a concluir que la Sentencia impugnada no es una Sentencia aislada, sino que se enmarca en la línea de un grupo de resoluciones anteriores, que es seguida además por un pronunciamiento posterior, como es la Sentencia de 16 de junio de 2005 del mismo órgano judicial. Por lo expuesto interesa el Ministerio público la desestimación también de esta queja para el caso de que el Tribunal no declare la inadmisión del recurso de amparo.</w:t>
      </w:r>
    </w:p>
    <w:p w:rsidR="0052098F" w:rsidRDefault="0052098F" w:rsidP="0052098F">
      <w:pPr>
        <w:pStyle w:val="TextoNormal"/>
      </w:pPr>
    </w:p>
    <w:p w:rsidR="0052098F" w:rsidRDefault="0052098F" w:rsidP="0052098F">
      <w:pPr>
        <w:pStyle w:val="TextoNormal"/>
      </w:pPr>
      <w:r w:rsidRPr="0052098F">
        <w:rPr>
          <w:rStyle w:val="NumeroAFNegritaCaracter"/>
        </w:rPr>
        <w:t>8</w:t>
      </w:r>
      <w:r>
        <w:t>. Por diligencia de ordenación de 3 de abril de 2007 se hizo constar que no había presentado escrito de alegaciones el Procurador don Jesús Verdasco Triguero, quedando el recurso de amparo pendiente para deliberación.</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10 de enero de 2008 se señaló para deliberación y votación de la presente Sentencia el día 14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recurso de amparo tiene por objeto determinar si la Sentencia de 4 de noviembre de 2004, de la Sección Segunda de la Sala de lo Contencioso-Administrativo de la Audiencia Nacional, lesionó los derechos fundamentales de los recurrentes a la tutela judicial efectiva sin indefensión (art. 24.1 CE) por incurrir en incongruencia extra petita con alteración del debate procesal sin cumplir la Sala con el trámite previsto en el art.  65.2 de la Ley de la jurisdicción contencioso-administrativa (LJCA), por carecer de motivación suficiente que resulta, según se aduce en la demanda de amparo, arbitraria e irracional, y a la igualdad en la aplicación de la Ley (art. 14 CE), porque la Sala no apreció de oficio la prescripción de la sanción tributaria a diferencia de la Sentencia de 22 de abril de 2004 del mismo órgano judicial dictada en un caso sustancialmente idéntico.</w:t>
      </w:r>
    </w:p>
    <w:p w:rsidR="0052098F" w:rsidRDefault="0052098F" w:rsidP="0052098F">
      <w:pPr>
        <w:pStyle w:val="TextoNormal"/>
      </w:pPr>
      <w:r>
        <w:t>El Abogado del Estado interesa la denegación del amparo solicitado. La supuesta incongruencia extra petita aducida en la demanda de amparo carece, de acuerdo con lo alegado por el Abogado del Estado, de relevancia constitucional y debe ser inadmitida porque los recurrentes no agotaron la vía judicial previa al no interponer el incidente de nulidad de actuaciones del art. 241 de la Ley Orgánica del Poder Judicial (LOPJ), lo que determina la inadmisión de la queja [art. 50.1 a) en relación con el art.  44.1 a) LOTC]. Tampoco se aprecia la insuficiencia de motivación aducida, porque la Sentencia explicita los motivos por los que califica el negocio jurídico como indirecto, sin que sea posible, además, apreciar la vulneración del derecho fundamental de los recurrentes a la igualdad en aplicación de la Ley (art. 14 CE), ya que la apreciación de oficio de la prescripción en materia tributaria que realizó la Sentencia aportada como elemento de contraste está basada en una circunstanciada consideración de los plazos y de las actuaciones realizadas tanto por el recurrente como por la Administración, con lo que la Sentencia aportada no constituye un término válido de comparación a efectos de realizar el enjuiciamiento solicitado.</w:t>
      </w:r>
    </w:p>
    <w:p w:rsidR="0052098F" w:rsidRDefault="0052098F" w:rsidP="0052098F">
      <w:pPr>
        <w:pStyle w:val="TextoNormal"/>
      </w:pPr>
      <w:r>
        <w:t>El Ministerio Fiscal interesa la inadmisión del recurso de amparo por falta de un requisito procesal insubsanable, como es el agotamiento de la vía judicial previa, ya que el recurso de amparo fue formulado estando pendiente la admisión del recurso de casación. La estrategia procesal de la parte recurrente, que prefirió preparar un recurso de casación, cuando la Sentencia no era susceptible de recurso de casación, en vez de formular el incidente de nulidad de actuaciones por la supuesta incongruencia extra petita de la Sentencia, y además simultaneó la presentación de escrito de preparación del recurso de casación con este recurso de amparo, debe conducir a la inadmisión de la demanda de dicho recurso. Subsidiariamente interesa el Ministerio público la desestimación de todas las quejas de la demanda de amparo por carencia de relevancia constitucional, además de falta de agotamiento de la vía judicial previa respecto de la aducida incogruencia extra petita porque no formuló el incidente de nulidad de actuaciones.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2</w:t>
      </w:r>
      <w:r>
        <w:t>. Antes de entrar en el enjuiciamiento de las quejas aducidas por los recurrentes debemos comprobar si concurre el óbice procesal alegado por el Ministerio Fiscal de falta de agotamiento de la vía judicial previa, porque si así fuese no procedería entrar a conocer del fondo de las quejas aducidas. Debemos recordar que, conforme a la doctrina constitucional consolidada, no representa impedimento para el análisis de tal objeción de procedibilidad el hecho de que la demanda de amparo fuese admitida a trámite en su día, ya que, según tenemos declarado, los defectos insubsanables de que pueda estar afectada la demanda no resultan subsanados porque haya sido inicialmente admitida a trámite, pudiendo abordarse por este Tribunal de oficio el examen de los presupuestos de viabilidad de la demanda de amparo en fase de Sentencia y llegar, en su caso, a la declaración de inadmisión del recurso o del motivo del recurso afectado por dichos defectos (SSTC 29/2004, de 4 de marzo, FJ 2; 85/2004, de 10 de mayo, FJ 2; 160/2005, de 20 de junio, FJ 2; 337/2006, de 11 de diciembre, FJ único; 350/2006, 11 de diciembre, FJ 2; 353/2006, 18 de diciembre, FJ 2).</w:t>
      </w:r>
    </w:p>
    <w:p w:rsidR="0052098F" w:rsidRDefault="0052098F" w:rsidP="0052098F">
      <w:pPr>
        <w:pStyle w:val="TextoNormal"/>
      </w:pPr>
      <w:r>
        <w:t>Para el correcto enjuiciamiento del óbice procesal planteado por el Ministerio Fiscal debemos reproducir de forma sumaria el iter procedimental seguido por los recurrentes. En el caso de autos la Sentencia impugnada, de 4 de noviembre de 2004, fue notificada a los recurrentes el 17 de noviembre, indicando que era una resolución firme y que contra ella no cabía recurso ordinario alguno. Aun así la parte recurrente presentó el 23 de noviembre de 2004 escrito de preparación de recurso de casación ante la Sección Segunda de la Sala de lo Contencioso-Administrativo de la Audiencia Nacional, donde no se adujo incongruencia extra petita de la Sentencia aunque sí se aludió genéricamente a la lesión del derecho fundamental reconocido en el art. 24.1 CE.  Además de presentar el escrito de preparación del recurso de casación, el 13 de diciembre de 2004 fue registrado el recurso de amparo objeto de este proceso constitucional, sin respetar su carácter subsidiario y formulándolo cuando aun no se había resuelto sobre el mencionado escrito de preparación. El Auto de 3 de diciembre de 2004 de la Audiencia Nacional, que acordó no tener por preparado el recurso de casación por ser la cuantía del pleito inferior a lo previsto en el art. 86.2 b) LJCA, fue notificado el 15 de diciembre de 2004 en diligencia donde se comunicaba que contra el mismo se podía interponer recurso de súplica. El 17 de diciembre de 2004, formuló la parte recurrente recurso de súplica por la inadmisión del recurso de casación, que fue desestimado por Auto de 27 de diciembre de 2004 y notificado a esta parte procesal el 19 de enero de 2005, donde se le indicaba que contra el mismo podía interponer recurso de queja. Este último fue formulado ante la Sala de lo Contencioso-Administrativo del Tribunal Supremo el 27 de enero de 2005 y fue desestimado, a su vez, por Auto de 23 de junio de 2005 de la Sección Primera de la Sala de lo Contencioso-Administrativo del Tribunal Supremo.</w:t>
      </w:r>
    </w:p>
    <w:p w:rsidR="0052098F" w:rsidRDefault="0052098F" w:rsidP="0052098F">
      <w:pPr>
        <w:pStyle w:val="TextoNormal"/>
      </w:pPr>
      <w:r>
        <w:t>El iter procedimental descrito permite constatar que el recurso de amparo fue formulado prematuramente, mientras se mantenía abierta la vía judicial ordinaria y sin respetar, por tanto, el carácter subsidiario del recurso de amparo respecto de los recursos utilizables en la vía ordinaria, que es donde debe, en primer lugar, aducirse la vulneración de derechos fundamentales. Y ello porque, de acuerdo con el art. 53.2 CE, corresponde a los órganos del Poder Judicial la tutela general de los derechos y libertades reconocidos constitucionalmente, y sólo cuando se hayan agotado los recursos procedentes en la vía ordinaria se podrá formular el recurso de amparo ante este Tribunal.  Esta exigencia, según tenemos declarado, no es una formalidad vacía de contenido, sino que constituye un elemento esencial para respetar la subsidiariedad del recurso de amparo y, en definitiva, para producir la correcta articulación entre este Tribunal y los órganos del Poder Judicial (SSTC 39/2003, de 27 de febrero, FJ 3, y 156/2006, de 22 de mayo, FJ 1, entre otras muchas).</w:t>
      </w:r>
    </w:p>
    <w:p w:rsidR="0052098F" w:rsidRDefault="0052098F" w:rsidP="0052098F">
      <w:pPr>
        <w:pStyle w:val="TextoNormal"/>
      </w:pPr>
      <w:r>
        <w:lastRenderedPageBreak/>
        <w:t>Por tanto la estrategia procesal de los recurrentes, que no formularon el incidente de nulidad de actuaciones y optaron por simultanear el recurso de casación con el recurso de amparo, determina que el presente recurso deba ser inadmitido por falta de agotamiento de la vía judicial previa [art. 50.1 a), en relación con el art. 44.1 a) LOTC].</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Inadmitir el recurso de amparo formulado por don Antonio Estudis Escursell y doña María Dolores Ferrer Ferreros.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catorce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 w:name="SENTENCIA_2008_2"/>
      <w:r>
        <w:lastRenderedPageBreak/>
        <w:t>SENTENCIA 2/2008, de 14 de enero de 2008</w:t>
      </w:r>
    </w:p>
    <w:bookmarkEnd w:id="5"/>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ECLI:ES:TC:2008:2</w:t>
      </w:r>
    </w:p>
    <w:p w:rsidR="0052098F" w:rsidRDefault="0052098F" w:rsidP="0052098F">
      <w:pPr>
        <w:pStyle w:val="SntesisDescriptiva"/>
      </w:pPr>
    </w:p>
    <w:p w:rsidR="0052098F" w:rsidRDefault="0052098F" w:rsidP="0052098F">
      <w:pPr>
        <w:pStyle w:val="SntesisDescriptiva"/>
      </w:pPr>
      <w:r>
        <w:t>Recurso de amparo 624-2005. Promovido por don Juan Manuel Martín Espinosa respecto a la Sentencia y al Auto de nulidad de un Juzgado de lo Social de Murcia que fallaron un litigio por despido.</w:t>
      </w:r>
    </w:p>
    <w:p w:rsidR="0052098F" w:rsidRDefault="0052098F" w:rsidP="0052098F">
      <w:pPr>
        <w:pStyle w:val="SntesisDescriptiva"/>
      </w:pPr>
    </w:p>
    <w:p w:rsidR="0052098F" w:rsidRDefault="0052098F" w:rsidP="0052098F">
      <w:pPr>
        <w:pStyle w:val="SntesisAnaltica"/>
      </w:pPr>
      <w:r>
        <w:t>Vulneración del derecho a la tutela judicial sin indefensión: emplazamiento edictal sin agotar los medios de comunicación efectiva con uno de los demandados, quien no actuó con negligencia.</w:t>
      </w:r>
    </w:p>
    <w:p w:rsidR="0052098F" w:rsidRDefault="0052098F" w:rsidP="0052098F">
      <w:pPr>
        <w:pStyle w:val="SntesisAnaltica"/>
      </w:pPr>
    </w:p>
    <w:p w:rsidR="0052098F" w:rsidRDefault="0052098F" w:rsidP="0052098F">
      <w:pPr>
        <w:pStyle w:val="Extracto"/>
      </w:pPr>
      <w:r>
        <w:t>1.</w:t>
      </w:r>
      <w:r>
        <w:tab/>
        <w:t>Existe vulneración del derecho a la tutela judicial sin indefensión en un procedimiento de despido seguido inaudita parte del que se deriva un perjuicio efectivo para los legítimos intereses del demandante, resultando imposible inferir que tuviera conocimiento extraprocesal de las actuaciones y obrando en las mismas documentos que hacían referencia a su domicilio, sin que se produjera intento alguno de citación en esa dirección [FJ 3].</w:t>
      </w:r>
    </w:p>
    <w:p w:rsidR="0052098F" w:rsidRDefault="0052098F" w:rsidP="0052098F">
      <w:pPr>
        <w:pStyle w:val="Extracto"/>
      </w:pPr>
    </w:p>
    <w:p w:rsidR="0052098F" w:rsidRDefault="0052098F" w:rsidP="0052098F">
      <w:pPr>
        <w:pStyle w:val="Extracto"/>
      </w:pPr>
      <w:r>
        <w:t>2.</w:t>
      </w:r>
      <w:r>
        <w:tab/>
        <w:t>A falta de una efectiva y real comunicación a través de los medios normales a su alcance, no puede admitirse que el órgano judicial pudiera haber llegado a la convicción razonable de que no era posible la citación personal del demandado [FJ 3].</w:t>
      </w:r>
    </w:p>
    <w:p w:rsidR="0052098F" w:rsidRDefault="0052098F" w:rsidP="0052098F">
      <w:pPr>
        <w:pStyle w:val="Extracto"/>
      </w:pPr>
    </w:p>
    <w:p w:rsidR="0052098F" w:rsidRDefault="0052098F" w:rsidP="0052098F">
      <w:pPr>
        <w:pStyle w:val="Extracto"/>
      </w:pPr>
      <w:r>
        <w:t>3.</w:t>
      </w:r>
      <w:r>
        <w:tab/>
        <w:t>La inexistencia de base alguna para considerar que el recurrente en amparo conociera del procedimiento, ni que realizase cualquier otra actuación con la voluntad de impedir o dificultad la recepción de notificaciones impide enervar la tacha de indefensión [FJ 4].</w:t>
      </w:r>
    </w:p>
    <w:p w:rsidR="0052098F" w:rsidRDefault="0052098F" w:rsidP="0052098F">
      <w:pPr>
        <w:pStyle w:val="Extracto"/>
      </w:pPr>
    </w:p>
    <w:p w:rsidR="0052098F" w:rsidRDefault="0052098F" w:rsidP="0052098F">
      <w:pPr>
        <w:pStyle w:val="Extracto"/>
      </w:pPr>
      <w:r>
        <w:t>4.</w:t>
      </w:r>
      <w:r>
        <w:tab/>
        <w:t>Los efectos dañosos resultantes de una actuación incorrecta de los órganos judiciales carecen de relevancia desde la perspectiva del amparo constitucional cuando el error sea asimismo achacable a la negligencia de la parte [FJ 2].</w:t>
      </w:r>
    </w:p>
    <w:p w:rsidR="0052098F" w:rsidRDefault="0052098F" w:rsidP="0052098F">
      <w:pPr>
        <w:pStyle w:val="Extracto"/>
      </w:pPr>
    </w:p>
    <w:p w:rsidR="0052098F" w:rsidRDefault="0052098F" w:rsidP="0052098F">
      <w:pPr>
        <w:pStyle w:val="Extracto"/>
      </w:pPr>
      <w:r>
        <w:t>5.</w:t>
      </w:r>
      <w:r>
        <w:tab/>
        <w:t>Existe un especial deber de diligencia que pesa sobre el comerciante o empresario que cesa en su actividad profesional de facilitar cauces de comunicación a los efectos de permitir su localización por quienes hasta entonces hubieran mantenido con él negocios o actos relacionados con su giro o tráfico (SSTC 12/2000, 6/2003) [FJ 2].</w:t>
      </w:r>
    </w:p>
    <w:p w:rsidR="0052098F" w:rsidRDefault="0052098F" w:rsidP="0052098F">
      <w:pPr>
        <w:pStyle w:val="Extracto"/>
      </w:pPr>
    </w:p>
    <w:p w:rsidR="0052098F" w:rsidRDefault="0052098F" w:rsidP="0052098F">
      <w:pPr>
        <w:pStyle w:val="Extracto"/>
      </w:pPr>
      <w:r>
        <w:t>6.</w:t>
      </w:r>
      <w:r>
        <w:tab/>
        <w:t>Aplica doctrina sobre indefensión por realización defectuosa de los actos de comunicación procesal y, en particular, sobre la diligencia de emplazamiento (STC 293/2005) [FJ 2].</w:t>
      </w:r>
    </w:p>
    <w:p w:rsidR="0052098F" w:rsidRDefault="0052098F" w:rsidP="0052098F">
      <w:pPr>
        <w:pStyle w:val="Extracto"/>
      </w:pPr>
    </w:p>
    <w:p w:rsidR="0052098F" w:rsidRDefault="0052098F" w:rsidP="0052098F">
      <w:pPr>
        <w:pStyle w:val="Extracto"/>
      </w:pPr>
      <w:r>
        <w:t>7.</w:t>
      </w:r>
      <w:r>
        <w:tab/>
        <w:t>Procese la anulación de las actuaciones, retrotrayéndolas al momento en el que el recurrente debió ser debidamente emplazado para comparecer en juicio [FJ 5].</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doña Elisa Pérez Vera,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624-2005, interpuesto por don Juan Manuel Martín Espinosa, representado por la Procuradora de los Tribunales doña María de los Ángeles Sánchez Fernández y asistido por el Abogado don Jesús José Suárez Balmaseda, contra el Auto del Juzgado de lo Social núm. 3 de Murcia, de 2 de diciembre de 2004, dictado en autos de despido núm. 173-2004, ejecución núm. 163-2004, por considerar que vulnera el derecho a la tutela judicial efectiva sin indefensión (art. 24.1 CE). Ha intervenido el Ministerio Fiscal. Ha sido Ponente el Magistrado don Ramón Rodríguez Arribas,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6 de mayo de 2005 la Procuradora de los Tribunales doña María de los Ángeles Sánchez Fernández, actuando en nombre y representación de don Juan Manuel Martín Espinosa, interpuso recurso de amparo contra la resolución citada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de los que trae causa la demanda de amparo son, en síntesis, los siguientes: </w:t>
      </w:r>
    </w:p>
    <w:p w:rsidR="0052098F" w:rsidRDefault="0052098F" w:rsidP="0052098F">
      <w:pPr>
        <w:pStyle w:val="TextoNormal"/>
      </w:pPr>
      <w:r>
        <w:t xml:space="preserve">a) En el Juzgado de lo Social núm. 3 de Murcia se sigue ejecución núm. 163-2004, dimanante del proceso de despido iniciado a instancia de un trabajador contra Ferrallas Carthago, S.L., don Juan Manuel Martín Espinosa y el Fondo de Garantía Salarial (Fogasa), que terminó con Sentencia estimatoria de 24 de mayo de 2004. </w:t>
      </w:r>
    </w:p>
    <w:p w:rsidR="0052098F" w:rsidRDefault="0052098F" w:rsidP="0052098F">
      <w:pPr>
        <w:pStyle w:val="TextoNormal"/>
      </w:pPr>
      <w:r>
        <w:t xml:space="preserve">La citación del Sr. Martín Espinosa al acto del juicio —lo mismo que la comunicación de otras actuaciones posteriores, señaladamente la realizada para la prueba de confesión judicial propuesta por el trabajador demandante— se efectuó en el domicilio indicado en la demanda, en la calle Santa Teresa, núm.19, 2º c) de Murcia, tanto por correo certificado como por agente judicial, resultando todos los intentos infructuosos. La diligencia negativa del agente judicial, de fecha 21 de abril de 2004, detallaba que se intentó la notificación hasta en tres ocasiones, sin encontrarse a nadie en la vivienda. </w:t>
      </w:r>
    </w:p>
    <w:p w:rsidR="0052098F" w:rsidRDefault="0052098F" w:rsidP="0052098F">
      <w:pPr>
        <w:pStyle w:val="TextoNormal"/>
      </w:pPr>
      <w:r>
        <w:t xml:space="preserve">Esto así, el día previsto para la celebración del acto del juicio —26 de abril de 2004— el juzgador acordó su suspensión, con nuevo señalamiento, toda vez que no había podido ser citado el ahora recurrente en amparo y que el actor decía no conocer otro domicilio, acordándose simultáneamente la citación por edictos, lo que se efectuó el día 12 de mayo de 2004. El acto del juicio se celebró en la nueva fecha señalada —el siguiente 24 de mayo— en ausencia del demandado, dictándose la Sentencia mencionada, de 24 de mayo de 2004, </w:t>
      </w:r>
      <w:r>
        <w:lastRenderedPageBreak/>
        <w:t xml:space="preserve">en la que se declara la improcedencia del despido con base en la documentación aportada por el actor y a tenor de lo dispuesto en el art. 91.2 LPL, según el cual si el llamado a confesar no comparece sin justa causa a la primera citación podrá ser tenido por confeso en la Sentencia. El pronunciamiento fue notificado al recurrente en amparo por edictos. </w:t>
      </w:r>
    </w:p>
    <w:p w:rsidR="0052098F" w:rsidRDefault="0052098F" w:rsidP="0052098F">
      <w:pPr>
        <w:pStyle w:val="TextoNormal"/>
      </w:pPr>
      <w:r>
        <w:t xml:space="preserve">b) Por Auto de 26 de julio de 2004 se acordó despachar la ejecución, resolución que fue publicada por edictos el día 1 de octubre de 2004, y que, asimismo, fue notificada por correo certificado, en fecha de 16 de septiembre de 2004, a quien firmó como José María Martín Caravaca, lo que tuvo lugar en una dirección que no aparece en las actuaciones, pues no se especifica en el certificado de correos que obra al folio 99. No obstante consta al folio 75 un escrito dirigido al Juzgado de lo Social núm. 3 de Murcia por doña Agustina Caravaca Nicolás en el que afirmaba haber recibido en su domicilio de la calle Julián Romea 1, bajo, de El Puntal (Murcia), aquel día 16 de septiembre de 2004, notificación de la demanda de ejecución contra don Juan Manuel Martín Espinosa, de quien decía y acreditaba estar separada legalmente desde septiembre del año 2002, afirmando que no mantenía con él relación alguna y que desconocía sus señas actuales. </w:t>
      </w:r>
    </w:p>
    <w:p w:rsidR="0052098F" w:rsidRDefault="0052098F" w:rsidP="0052098F">
      <w:pPr>
        <w:pStyle w:val="TextoNormal"/>
      </w:pPr>
      <w:r>
        <w:t xml:space="preserve">El Sr. Martín Espinosa se personó ante el Juzgado de lo Social núm. 3 de Murcia el día 7 de octubre de 2004, solicitando copia de los autos, e interpuso incidente de nulidad de actuaciones el siguiente día 11. Denunciaba haber sufrido indefensión, argumentando que al actor le constaba otro domicilio, el antes mencionado de la calle Julián Romea, 1, bajo, de El Puntal (Murcia), domicilio que, por lo demás, obraba en autos al aparecer en las nóminas aportadas por la parte demandante, y en el que, de haber sido citado, podría haber tenido noticia del procedimiento al vivir en él sus hijos. Así ocurrió, precisamente, en ejecución de Sentencia como probaría —afirmaba— que la notificación del Auto de 26 de julio de 2004 en ese domicilio permitió su conocimiento de las actuaciones, al ser informado por un hijo de la recepción de aquella resolución que despachaba la ejecución. </w:t>
      </w:r>
    </w:p>
    <w:p w:rsidR="0052098F" w:rsidRDefault="0052098F" w:rsidP="0052098F">
      <w:pPr>
        <w:pStyle w:val="TextoNormal"/>
      </w:pPr>
      <w:r>
        <w:t>c) El Auto recurrido en amparo, de 2 de diciembre de 2004, reconoce que en la documental obrante en autos, aportada por el actor en el acto del juicio, figuraba el mencionado domicilio de El Puntal (Murcia). Sin embargo mantiene que no se produjo quebrantamiento de ninguna norma, pues a la fecha de celebración del juicio no le constaba al juzgador el domicilio controvertido, de manera que, en su caso, la circunstancia le sería imputable al trabajador demandante y no al órgano judicial, sin que fuera procedente por ello la nulidad de lo actuado sino, eventualmente, una reclamación contra la parte actora por ocultación intencionada del domicilio en el que podrían haberse practicado los actos de comunicación procesal.</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El recurrente en amparo denuncia que la resolución impugnada ha vulnerado su derecho a la tutela judicial efectiva sin indefensión (art. 24.1 CE), citando diversas vertientes del referido derecho fundamental y, asimismo, el art. 6.1 del Convenio europeo de derechos humanos. Reitera a tal fin las alegaciones que realizó en el incidente de nulidad de actuaciones, estimando en esencia que debió haber sido parte activa en el proceso para poder hacer uso de sus derechos y garantías procesales, cosa que se hubiera producido de haber sido citado en el otro domicilio que el trabajador demandante conocía, el que se encuentra en la calle Julián Romea, 1, en El Puntal (Murcia), que figuraba en los recibos de salarios aportados en autos. </w:t>
      </w:r>
    </w:p>
    <w:p w:rsidR="0052098F" w:rsidRDefault="0052098F" w:rsidP="0052098F">
      <w:pPr>
        <w:pStyle w:val="TextoNormal"/>
      </w:pPr>
      <w:r>
        <w:t>En consecuencia solicita que se declare haberse vulnerado en el caso el art. 24.1 CE, y se acuerde la nulidad del Auto recurrido, de 2 de diciembre de 2004, con retroacción de las actuaciones para que la citación al acto del juicio se realice de forma respetuosa con el derecho fundamental lesionado.</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Por providencia de 27 de noviembre de 2006 la Sala Segunda de este Tribunal acordó admitir a trámite el recurso de amparo y, a tenor de lo dispuesto en el art. 51 LOTC, habiéndose remitido con anterioridad testimonio de las actuaciones, requerir atentamente al Juzgado de lo Social núm. 3 de Murcia para que emplazara a quienes fueron parte en el procedimiento, con excepción del recurrente en amparo, para que en el plazo de diez días pudiesen comparecer en este proceso constitucional. </w:t>
      </w:r>
    </w:p>
    <w:p w:rsidR="0052098F" w:rsidRDefault="0052098F" w:rsidP="0052098F">
      <w:pPr>
        <w:pStyle w:val="TextoNormal"/>
      </w:pPr>
      <w:r>
        <w:t xml:space="preserve">Constando la realización de los emplazamientos, y transcurrido el plazo correspondiente, la diligencia de ordenación de 22 de marzo de 2007, a tenor de lo dispuesto en el art. 52 de la Ley Orgánica de este Tribunal, concedió un plazo de veinte días a la parte recurrente y al Ministerio Fiscal para que presentaran las alegaciones que estimasen pertinentes. </w:t>
      </w:r>
    </w:p>
    <w:p w:rsidR="0052098F" w:rsidRDefault="0052098F" w:rsidP="0052098F">
      <w:pPr>
        <w:pStyle w:val="TextoNormal"/>
      </w:pPr>
      <w:r>
        <w:t xml:space="preserve">6. El recurrente en amparo evacuó ese trámite el día 30 de marzo de 2007, ratificándose íntegramente en las alegaciones contenidas en su demanda. </w:t>
      </w:r>
    </w:p>
    <w:p w:rsidR="0052098F" w:rsidRDefault="0052098F" w:rsidP="0052098F">
      <w:pPr>
        <w:pStyle w:val="TextoNormal"/>
      </w:pPr>
      <w:r>
        <w:t xml:space="preserve">7. El Ministerio Fiscal, por su parte, presentó su escrito de alegaciones el día 26 de abril de 2007, interesando el otorgamiento del amparo. A su juicio, a pesar de la profusión de motivos de amparo, la queja debe ser reconducida en exclusiva a la vulneración del art. 24.1 CE por defectos en los actos de comunicación procesal. Afirma que el órgano judicial, cuando acordó la citación por edictos, no tenía conocimiento de ningún otro domicilio del ahora demandante, al haberle manifestado el actor que desconocía otras señas, pero que lo cierto es que, ni indagó en los Registros, ni hizo esfuerzo añadido alguno a través de los medios normales a su alcance para tratar de averiguar otros domicilios que hubieran permitido la citación personal. Por lo demás, cuando en el incidente de nulidad de actuaciones el recurrente en amparo puso de manifiesto su desconocimiento del proceso, que atribuyó a la conducta consciente del actor, el juzgador, tras constatar que el sustrato fáctico en el que aquél cimentaba sus protestas de indefensión aparecía acreditado en autos, no procedió a remediar la lesión, desestimando su pretensión y remitiéndole a una denuncia por fraude procesal. Afirmó, en definitiva, que la actuación judicial se había acomodado a las previsiones de la Ley de enjuiciamiento civil, aunque reconociera que se había abstenido de cualquier actividad de averiguación de oficio. De ese modo, hizo descansar en el trabajador demandante en el proceso la infracción denunciada, que, sin embargo el órgano judicial se abstuvo de remediar, lo que no puede considerarse respetuoso con el derecho a la tutela judicial efectiva (art. 24.1 CE). </w:t>
      </w:r>
    </w:p>
    <w:p w:rsidR="0052098F" w:rsidRDefault="0052098F" w:rsidP="0052098F">
      <w:pPr>
        <w:pStyle w:val="TextoNormal"/>
      </w:pPr>
      <w:r>
        <w:t>8. Por providencia de 10 de enero de 2008, se señaló para deliberación y votación el día 14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Conforme se ha dejado expuesto en los antecedentes la demanda de amparo se dirige contra el Auto de 2 de diciembre de 2004 del Juzgado de lo Social núm. 3 de Murcia, por considerar que vulnera el derecho fundamental a la tutela judicial efectiva sin indefensión (art. 24.1 CE). Pese a que la confusa demanda denuncia la vulneración del art.  24.1 CE en diversas vertientes, algunas de ellas por completo ajenas a la auténtica dimensión constitucional de lo acontecido en el proceso, contiene igualmente la queja que en verdad posee contenido constitucional, a saber: que se causó indefensión porque el procedimiento se siguió inaudita parte hasta que se produjo, en fase de ejecución, la primera comunicación procesal en un domicilio que constaba en autos y en el que, según se afirma, hubiera sido efectiva la citación al acto del juicio de haberse producido.</w:t>
      </w:r>
    </w:p>
    <w:p w:rsidR="0052098F" w:rsidRDefault="0052098F" w:rsidP="0052098F">
      <w:pPr>
        <w:pStyle w:val="TextoNormal"/>
      </w:pPr>
      <w:r>
        <w:lastRenderedPageBreak/>
        <w:t>El Ministerio Fiscal interesa el otorgamiento del amparo al haber acudido el órgano judicial a la notificación edictal sin realizar práctica alguna de averiguación de otro domicilio y sin subsanar la indefensión una vez que se puso de manifiesto por el recurrente en el incidente de nulidad de actuaciones que dio lugar al Auto de 2 de diciembre de 2004.</w:t>
      </w:r>
    </w:p>
    <w:p w:rsidR="0052098F" w:rsidRDefault="0052098F" w:rsidP="0052098F">
      <w:pPr>
        <w:pStyle w:val="TextoNormal"/>
      </w:pPr>
    </w:p>
    <w:p w:rsidR="0052098F" w:rsidRDefault="0052098F" w:rsidP="0052098F">
      <w:pPr>
        <w:pStyle w:val="TextoNormal"/>
      </w:pPr>
      <w:r w:rsidRPr="0052098F">
        <w:rPr>
          <w:rStyle w:val="NumeroAFNegritaCaracter"/>
        </w:rPr>
        <w:t>2</w:t>
      </w:r>
      <w:r>
        <w:t>. Son numerosos los casos en los que este Tribunal ha tenido ocasión de pronunciarse sobre quejas de indefensión producidas por la defectuosa realización de los actos de comunicación procesal y, en particular, sobre la diligencia de emplazamiento, viniendo a consolidar una detallada doctrina al respecto. Una síntesis de los rasgos principales que definen el canon del control constitucional en esta materia se recoge en la STC 293/2005, de 21 de noviembre, FJ 2, en los siguientes términos:</w:t>
      </w:r>
    </w:p>
    <w:p w:rsidR="0052098F" w:rsidRDefault="0052098F" w:rsidP="0052098F">
      <w:pPr>
        <w:pStyle w:val="TextoNormal"/>
      </w:pPr>
      <w:r>
        <w:t>“En síntesis, 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0052098F" w:rsidRDefault="0052098F" w:rsidP="0052098F">
      <w:pPr>
        <w:pStyle w:val="TextoNormal"/>
      </w:pPr>
      <w:r>
        <w:t xml:space="preserve">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w:t>
      </w:r>
      <w:r>
        <w:lastRenderedPageBreak/>
        <w:t>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la reciente STC 40/2005, de 28 de febrero, FJ 2)”.</w:t>
      </w:r>
    </w:p>
    <w:p w:rsidR="0052098F" w:rsidRDefault="0052098F" w:rsidP="0052098F">
      <w:pPr>
        <w:pStyle w:val="TextoNormal"/>
      </w:pPr>
      <w:r>
        <w:t>En relación con el último elemento que recoge la doctrina transcrita, referido a los datos contenidos en las actuaciones, este Tribunal ha otorgado el amparo, por ejemplo,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particular, y por lo que interesa al presente caso, en otro domicilio del demandado que constaba en autos (SSTC 81/1996, de 20 de mayo; 82/1996, de 20 de mayo; 29/1997, de 24 de febrero; 254/2000, de 30 de octubre; 268/2000, de 13 de noviembre, entre otras).</w:t>
      </w:r>
    </w:p>
    <w:p w:rsidR="0052098F" w:rsidRDefault="0052098F" w:rsidP="0052098F">
      <w:pPr>
        <w:pStyle w:val="TextoNormal"/>
      </w:pPr>
      <w:r>
        <w:t>Asimismo, por la relevancia que tendrá en la resolución de este recurso, en los supuestos en los que se produce la concurrencia, por una parte, de irregularidades en la práctica del emplazamiento por la oficina judicial y, por otra, de actos de falta de diligencia de quien formula la denuncia de indefensión, hemos establecido que “si bien es cierto que los errores de los órganos judiciales no deben repercutir negativamente en la esfera del ciudadano, también lo es que a éste le es exigible una mínima diligencia, de forma que los posibles efectos dañosos resultantes de una actuación incorrecta de aquéllos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bien porque se ha situado al margen del litigio por razón de una actitud pasiva con el objetivo de obtener una ventaja de esa marginación, o bien cuando se acredite que tenía un conocimiento extraprocesal de la existencia del proceso al que no fue llamado personalmente (SSTC 268/2000, de 13 de noviembre, FJ 4; 113/2001, de 7 de mayo, FJ 6; 1/2002, de 14 de enero, FJ 2; 191/2003, de 27 de octubre, FJ 3; y 225/2004, de 29 de noviembre, FJ 2)” (STC 161/2006, de 22 de mayo).</w:t>
      </w:r>
    </w:p>
    <w:p w:rsidR="0052098F" w:rsidRDefault="0052098F" w:rsidP="0052098F">
      <w:pPr>
        <w:pStyle w:val="TextoNormal"/>
      </w:pPr>
      <w:r>
        <w:t>Finalmente, para concluir este recordatorio doctrinal de los factores con incidencia directa en el supuesto enjuiciado, habrá que reiterar el especial deber de diligencia que pesa sobre el comerciante o empresario que cesa en su actividad profesional de facilitar cauces de comunicación a los efectos de permitir su localización por quienes hasta entonces hubieran mantenido con él negocios o actos relacionados con su giro o tráfico (por todas, SSTC 12/2000, de 17 de enero, y 6/2003, de 20 de enero).</w:t>
      </w:r>
    </w:p>
    <w:p w:rsidR="0052098F" w:rsidRDefault="0052098F" w:rsidP="0052098F">
      <w:pPr>
        <w:pStyle w:val="TextoNormal"/>
      </w:pPr>
    </w:p>
    <w:p w:rsidR="0052098F" w:rsidRDefault="0052098F" w:rsidP="0052098F">
      <w:pPr>
        <w:pStyle w:val="TextoNormal"/>
      </w:pPr>
      <w:r w:rsidRPr="0052098F">
        <w:rPr>
          <w:rStyle w:val="NumeroAFNegritaCaracter"/>
        </w:rPr>
        <w:t>3</w:t>
      </w:r>
      <w:r>
        <w:t>. La aplicación de ese conjunto de criterios doctrinales a las circunstancias del caso conduce a la estimación de la demanda de amparo.</w:t>
      </w:r>
    </w:p>
    <w:p w:rsidR="0052098F" w:rsidRDefault="0052098F" w:rsidP="0052098F">
      <w:pPr>
        <w:pStyle w:val="TextoNormal"/>
      </w:pPr>
      <w:r>
        <w:t xml:space="preserve">En primer lugar, se advierte la existencia de un procedimiento seguido inaudita parte del que derivó un perjuicio efectivo para los legítimos intereses del demandante de amparo, que no pudo hacer valer sus posiciones frente a la pretensión de improcedencia del despido, siendo incluso tenido por confeso en la Sentencia (art. 91.2 de la Ley de procedimiento </w:t>
      </w:r>
      <w:r>
        <w:lastRenderedPageBreak/>
        <w:t>laboral: LPL). En segundo lugar, no existe dato alguno del que inferir que tuviera conocimiento extraprocesal de las actuaciones antes de que, como afirma, en septiembre de 2004 un hijo le informara del Auto de 26 de julio de 2004 que despachaba la ejecución, resolución que efectivamente consta en las actuaciones como notificada a aquél el día 16 de septiembre de 2004 y que aparentemente fue entregada en la calle Julián Romea, 1, en El Puntal (Murcia), según se indicaba en un escrito dirigido al Juzgado por doña Agustina Caravaca Nicolás, separada legalmente del demandante de amparo, y según afirma el propio recurrente, señalando que es la dirección en la que vive su hijo y en la que recibió aquella notificación de la que seguidamente le dio cuenta. En tercer lugar, como reconoce el propio órgano judicial, obraban en las actuaciones documentos que hacían referencia al mencionado domicilio, sito en la calle Julián Romea 1, en El Puntal (Murcia), sin que se produjera intento alguno de citación del Sr. Martín Espinosa en esa dirección para el acto del juicio.</w:t>
      </w:r>
    </w:p>
    <w:p w:rsidR="0052098F" w:rsidRDefault="0052098F" w:rsidP="0052098F">
      <w:pPr>
        <w:pStyle w:val="TextoNormal"/>
      </w:pPr>
      <w:r>
        <w:t>Pues bien, como se ha apuntado, el fundamento último de la validez constitucional de la forma de emplazamiento edictal consiste en que se hayan utilizado previamente por el órgano judicial las modalidades aptas por los medios normales a su alcance para asegurar la comunicación personal. Y es lo cierto, según ha quedado descrito, que en el presente caso no realizó el juzgador ninguna averiguación y que, en particular, no adoptó ninguna medida paliativa a partir del momento en el que obraban en las actuaciones datos domiciliarios alternativos, ni siquiera cuando así lo hizo valer el recurrente en amparo al solicitar la nulidad de todo lo actuado, por indefensión. En consecuencia, a falta de una efectiva y real comunicación a través de los medios normales a su alcance, no puede admitirse que el órgano judicial pudiera haber llegado a la convicción razonable de que no era posible la citación personal del demandado (STC 162/2004, de 4 de octubre, FJ 5, por todas).</w:t>
      </w:r>
    </w:p>
    <w:p w:rsidR="0052098F" w:rsidRDefault="0052098F" w:rsidP="0052098F">
      <w:pPr>
        <w:pStyle w:val="TextoNormal"/>
      </w:pPr>
    </w:p>
    <w:p w:rsidR="0052098F" w:rsidRDefault="0052098F" w:rsidP="0052098F">
      <w:pPr>
        <w:pStyle w:val="TextoNormal"/>
      </w:pPr>
      <w:r w:rsidRPr="0052098F">
        <w:rPr>
          <w:rStyle w:val="NumeroAFNegritaCaracter"/>
        </w:rPr>
        <w:t>4</w:t>
      </w:r>
      <w:r>
        <w:t>. Frente a lo anterior no cabe oponer que la indefensión denunciada fuera consecuencia de la propia actitud mantenida por el recurrente en relación con el proceso, haciendo decaer con base en ello la responsabilidad del órgano judicial en su incomparecencia al acto del juicio y en los consiguientes efectos derivados sobre su derecho de defensa. Ni siquiera se llegará a otra conclusión atendiendo en ese juicio de diligencia procesal al criterio doctrinal antes recogido, consistente en que, habiendo sido el recurrente empresario del trabajador demandante en el proceso —dato que éste afirmaba y que el Sr. Martín Espinosa no ha objetado—, quedaba sujeto al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 (SSTC 12/2000, de 17 de enero, y 6/2003, de 20 de enero, por todas).</w:t>
      </w:r>
    </w:p>
    <w:p w:rsidR="0052098F" w:rsidRDefault="0052098F" w:rsidP="0052098F">
      <w:pPr>
        <w:pStyle w:val="TextoNormal"/>
      </w:pPr>
      <w:r>
        <w:t xml:space="preserve">En efecto, si no cabe hablar de ese elemento invalidante de la tacha de indefensión por concurrir negligencia de la parte es porque no se da en esta ocasión ninguna de las excepciones que permiten, según nuestra jurisprudencia, rechazar la vulneración denunciada en los casos en los que confluyen, de una parte, irregularidades en la práctica del emplazamiento cometidas por la oficina judicial y, de otra, actos de falta de diligencia de quien formula la denuncia de indefensión. Esas excepciones son, según se dijo más atrás, que el denunciante se hubiera situado al margen del litigio por razón de una actitud pasiva con el objetivo de obtener una ventaja de esa marginación, o que se hubiera acreditado un conocimiento extraprocesal de la existencia del proceso al que no fue llamado personalmente. Y en el presente caso no han quedado probados, ni este conocimiento extraprocesal —que excluye la indefensión sencillamente porque hay conocimiento y porque, por consiguiente, </w:t>
      </w:r>
      <w:r>
        <w:lastRenderedPageBreak/>
        <w:t>no existe imposibilidad de defensa—, ni tampoco aquel fin de obtener ventaja con una estrategia dirigida a evitar la recepción de la citación, circunstancia que caracteriza intencionalmente la falta de diligencia, al punto de concretarla en un ánimo de dificultar o impedir la localización para beneficiarse posteriormente de ello —acto intencional que perfila esa excepción, como es obvio, también cuando los denunciantes de indefensión sean un comerciante o un empresario, y que en este caso no ha quedado acreditado.</w:t>
      </w:r>
    </w:p>
    <w:p w:rsidR="0052098F" w:rsidRDefault="0052098F" w:rsidP="0052098F">
      <w:pPr>
        <w:pStyle w:val="TextoNormal"/>
      </w:pPr>
      <w:r>
        <w:t>No existe, por lo tanto, base alguna para considerar que el recurrente en amparo conociera del procedimiento, ni que realizase cualquier otra actuación con la voluntad de impedir o dificultar la recepción de las notificaciones, colocándose en situación de rebeldía. Y, en consecuencia, la no verificación de esas circunstancias impide que surtan su efecto enervante de la tacha de indefensión, mostrándose en toda su entidad el efecto lesivo de la falta de diligencia al practicar el emplazamiento, pues no se realizó ningún intento de comunicación personal en otros domicilios ni se reparó la indefensión cuando fue denunciada y argumentada por el recurrente en amparo en el incidente de nulidad de actuaciones. En definitiva, la queja encuentra sólido respaldo en la infracción del especial deber de diligencia que pesa sobre los órganos judiciales a la hora de velar por la correcta realización de los actos de comunicación para la adecuada y regular constitución de la relación jurídico-procesal, lo que conduce al pronunciamiento previsto en el art. 53 a) LOTC.</w:t>
      </w:r>
    </w:p>
    <w:p w:rsidR="0052098F" w:rsidRDefault="0052098F" w:rsidP="0052098F">
      <w:pPr>
        <w:pStyle w:val="TextoNormal"/>
      </w:pPr>
    </w:p>
    <w:p w:rsidR="0052098F" w:rsidRDefault="0052098F" w:rsidP="0052098F">
      <w:pPr>
        <w:pStyle w:val="TextoNormal"/>
      </w:pPr>
      <w:r w:rsidRPr="0052098F">
        <w:rPr>
          <w:rStyle w:val="NumeroAFNegritaCaracter"/>
        </w:rPr>
        <w:t>5</w:t>
      </w:r>
      <w:r>
        <w:t>. De acuerdo con lo instado por el recurrente y por el Ministerio Fiscal, y para remediar con total efectividad la lesión producida, procede acordar la nulidad del Auto dictado el 2 de diciembre de 2004 por el Juzgado de lo Social núm. 3 de Murcia y, además, en lo que afecta al propio recurrente, anular las actuaciones, retrotrayéndolas al momento en el que debió ser debidamente emplazado para comparecer en juicio.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Juan Manuel Martín Espinosa y, en consecuencia:</w:t>
      </w:r>
    </w:p>
    <w:p w:rsidR="0052098F" w:rsidRDefault="0052098F" w:rsidP="0052098F">
      <w:pPr>
        <w:pStyle w:val="TextoNormal"/>
      </w:pPr>
      <w:r>
        <w:t>1º Declarar que se ha vulnerado su derecho fundamental a la tutela judicial efectiva (art.  24.1 CE).</w:t>
      </w:r>
    </w:p>
    <w:p w:rsidR="0052098F" w:rsidRDefault="0052098F" w:rsidP="0052098F">
      <w:pPr>
        <w:pStyle w:val="TextoNormal"/>
      </w:pPr>
      <w:r>
        <w:t>2º Restablecerlo en la integridad de su derecho y, a tal fin, anular el Auto de 2 de diciembre de 2004 del Juzgado de lo Social núm. 3 de Murcia, así como también, en lo que se refiere al recurrente, anular las actuaciones practicadas a partir del momento del emplazamiento, retrotrayendo las actuaciones, siempre en lo que afecta al recurrente, al momento señalado, a fin de que pueda continuar el curso del proceso con respeto del derecho fundamental reconocido.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Madrid, a catorce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6" w:name="SENTENCIA_2008_3"/>
      <w:r>
        <w:lastRenderedPageBreak/>
        <w:t>SENTENCIA 3/2008, de 21 de enero de 2008</w:t>
      </w:r>
    </w:p>
    <w:bookmarkEnd w:id="6"/>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ECLI:ES:TC:2008:3</w:t>
      </w:r>
    </w:p>
    <w:p w:rsidR="0052098F" w:rsidRDefault="0052098F" w:rsidP="0052098F">
      <w:pPr>
        <w:pStyle w:val="SntesisDescriptiva"/>
      </w:pPr>
    </w:p>
    <w:p w:rsidR="0052098F" w:rsidRDefault="0052098F" w:rsidP="0052098F">
      <w:pPr>
        <w:pStyle w:val="SntesisDescriptiva"/>
      </w:pPr>
      <w:r>
        <w:t>Recurso de amparo 158-2004. Promovido por doña Juana María Lozano López frente a la Sentencia de la Sala de lo Contencioso-Administrativo del Tribunal Superior de Justicia de Extremadura que, en apelación, inadmitió su demanda contra la Consejería de Educación de la Junta de Extremadura sobre servicios prestados.</w:t>
      </w:r>
    </w:p>
    <w:p w:rsidR="0052098F" w:rsidRDefault="0052098F" w:rsidP="0052098F">
      <w:pPr>
        <w:pStyle w:val="SntesisDescriptiva"/>
      </w:pPr>
    </w:p>
    <w:p w:rsidR="0052098F" w:rsidRDefault="0052098F" w:rsidP="0052098F">
      <w:pPr>
        <w:pStyle w:val="SntesisAnaltica"/>
      </w:pPr>
      <w:r>
        <w:t>Vulneración del derecho a la tutela judicial efectiva (acceso a la justicia): acto administrativo declarado firme y consentido por no haber impugnado judicialmente en su día una denegación presunta de la solicitud inicial (SSTC 6/1986 y 39/2006).</w:t>
      </w:r>
    </w:p>
    <w:p w:rsidR="0052098F" w:rsidRDefault="0052098F" w:rsidP="0052098F">
      <w:pPr>
        <w:pStyle w:val="SntesisAnaltica"/>
      </w:pPr>
    </w:p>
    <w:p w:rsidR="0052098F" w:rsidRDefault="0052098F" w:rsidP="0052098F">
      <w:pPr>
        <w:pStyle w:val="Extracto"/>
      </w:pPr>
      <w:r>
        <w:t>1.</w:t>
      </w:r>
      <w:r>
        <w:tab/>
        <w:t>Imponer la obligación de reaccionar en vía judicial contra la desestimación presunta por silencio administrativo de una reclamación, so pena de convertir esa inactividad en su consentimiento con el acto presunto, supone una interpretación irrazonable que viola el derecho a la tutela judicial efectiva sin indefensión, en su vertiente de acceso a la jurisdicción [FJ 4].</w:t>
      </w:r>
    </w:p>
    <w:p w:rsidR="0052098F" w:rsidRDefault="0052098F" w:rsidP="0052098F">
      <w:pPr>
        <w:pStyle w:val="Extracto"/>
      </w:pPr>
    </w:p>
    <w:p w:rsidR="0052098F" w:rsidRDefault="0052098F" w:rsidP="0052098F">
      <w:pPr>
        <w:pStyle w:val="Extracto"/>
      </w:pPr>
      <w:r>
        <w:t>2.</w:t>
      </w:r>
      <w:r>
        <w:tab/>
        <w:t>Doctrina sobre el control constitucional de las resoluciones judiciales que declaran la extemporaneidad de recursos contenciosos-administrativos interpuestos contra la desestimación por silencio administrativo de solicitudes o reclamaciones de los interesados (SSTC 6/1986, 39/2006) [FFJJ 3,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158-2004, promovido por doña Juana María Lozano López, representada por la Procuradora de los Tribunales doña Isabel Cañedo Vega y asistida por el Abogado don José Benítez-Donoso Lozano, contra la Sentencia de 25 de noviembre de 2003 dictada por la Sala de lo Contencioso-Administrativo del Tribunal Superior de Justicia de Extremadura en el recurso de apelación núm. 148-2003. Ha comparecido el Letrado de la Junta de Extremadura. Ha intervenido el Ministerio Fiscal. Ha sido Ponente el Magistrado don Roberto García-Calvo y Montiel,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9 de enero de 2004, la Procuradora de los Tribunales doña Isabel Cañedo Vega en nombre y representación de doña Juana María Lozano López, interpuso recurso de amparo constitucional contra la Sentencia citada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que fundamentan la demanda de amparo son resumidamente los siguientes: </w:t>
      </w:r>
    </w:p>
    <w:p w:rsidR="0052098F" w:rsidRDefault="0052098F" w:rsidP="0052098F">
      <w:pPr>
        <w:pStyle w:val="TextoNormal"/>
      </w:pPr>
      <w:r>
        <w:t xml:space="preserve">a) La demandante de amparo, mediante escrito de fecha 20 de febrero de 2001, presentó reclamación ante la Dirección General de Educación de la Consejería de Educación de la Junta de Extremadura solicitando el abono de las cantidades que le habrían correspondido de haber sido contratada, como entiende que legalmente debió haberlo sido, durante el periodo comprendido entre el 10 de octubre de 2000 y el 21 de enero de 2001, así como el reconocimiento de dicho periodo como tiempo de servicios prestados. </w:t>
      </w:r>
    </w:p>
    <w:p w:rsidR="0052098F" w:rsidRDefault="0052098F" w:rsidP="0052098F">
      <w:pPr>
        <w:pStyle w:val="TextoNormal"/>
      </w:pPr>
      <w:r>
        <w:t xml:space="preserve">b) Ante el silencio de la Administración, el 24 de abril de 2002, la recurrente presentó nuevo escrito reiterando su anterior solicitud. Contra la desestimación por silencio administrativo de esta segunda solicitud, la recurrente, con fecha de 25 de enero de 2003, interpuso recurso contencioso-administrativo, que fue admitido para su tramitación por el procedimiento abreviado bajo el número 14-2003. El 6 de mayo de 2003, el Juzgado de lo Contencioso-Administrativo núm. 1 de Badajoz dictó Sentencia estimando el recurso contencioso interpuesto. </w:t>
      </w:r>
    </w:p>
    <w:p w:rsidR="0052098F" w:rsidRDefault="0052098F" w:rsidP="0052098F">
      <w:pPr>
        <w:pStyle w:val="TextoNormal"/>
      </w:pPr>
      <w:r>
        <w:t xml:space="preserve">d) Contra esta Sentencia la Administración autonómica demandada interpuso recurso de apelación ante la Sala de lo Contencioso-Administrativo del Tribunal Superior de Justicia de Extremadura, alegando, como primer motivo de oposición, la extemporaneidad del recurso contencioso interpuesto en su día por la recurrente, hoy demandante de amparo, por considerar que a la fecha de interposición del recurso contencioso, el 25 de enero de 2003, había transcurrido el plazo de seis meses previsto en el art. 13.3 del Real Decreto 429/1993, de 26 de marzo, por el que se aprueba el Reglamento de los procedimientos de las Administraciones públicas en materia de responsabilidad patrimonial, contados desde que se inició el procedimiento con la primera reclamación presentada el 20 de febrero de 2001, y también el siguiente plazo de seis meses que prevé el art. 46 LJCA para interponer el oportuno recurso contencioso-administrativo contra la desestimación por silencio de la citada solicitud de reclamación. </w:t>
      </w:r>
    </w:p>
    <w:p w:rsidR="0052098F" w:rsidRDefault="0052098F" w:rsidP="0052098F">
      <w:pPr>
        <w:pStyle w:val="TextoNormal"/>
      </w:pPr>
      <w:r>
        <w:t>e) Con fecha 23 de noviembre de 2003, la Sala de lo Contencioso-Administrativo del Tribunal Superior de Justicia de Extremadura dictó Sentencia estimando el recurso de apelación interpuesto por considerar, según era el planteamiento de la Administración apelante, que, frente a la desestimación por silencio administrativo de su primera solicitud de 20 de febrero de 2001, la recurrente “pudo interponer recurso contencioso-administrativo en el plazo de seis meses, de acuerdo con el art. 46 de la Ley 29/1998, optando por esperar a la resolución expresa de la Administración”. En consecuencia, “al haber dejado pasar el primer plazo de seis meses legislativamente establecido contra la tácita denegación, no es admisible que se permita una reiteración [de la solicitud], por lo que el recurso contencioso-administrativo debe declarase inadmisible de acuerdo con el art. 69 e) de la Ley 29/1998, ya que la demanda se presentó el 25 de enero de 2003”.</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3</w:t>
      </w:r>
      <w:r>
        <w:t>. En su demanda de amparo, la recurrente denuncia que la Sentencia impugnada traduce una interpretación judicial irrazonable y desproporcionada del régimen del silencio administrativo negativo que no tiene ningún amparo legal y que resulta incompatible con el derecho a la tutela judicial efectiva, en su vertiente de derecho de acceso a la jurisdicción (art. 24.1 CE). Para demostrarlo, después de recordar la doctrina constitucional dictada en otros supuestos semejantes y de subrayar que el silencio negativo no equivale nunca a una resolución expresa, la recurrente razona que el hecho de que no hubiera interpuesto recurso contencioso contra la falta de respuesta administrativa a su primera solicitud no permite concluir en la existencia de un acto presunto consentido y firme que impida al interesado reiterar su primitiva solicitud y reaccionar judicialmente contra la nueva desestimación por silencio de esa segunda solicitud, so pena, en ese caso, de privilegiar injustificadamente la propia inactividad de la Administración y el incumplimiento de la obligación legal que tiene de resolver de forma expresa todas las solicitudes de los administrados.</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13 de julio de 2004, la Sección Segunda de la Sala Primera de este Tribunal acordó admitir a trámite la demanda de amparo y, de conformidad con lo dispuesto en el art. 51 LOTC, requerir a la Sala de lo Contencioso-Administrativo del Tribunal Superior de Justicia de Extremadura, al Juzgado de lo Contencioso-Administrativo de Badajoz y a la Consejería de Educación, Ciencia y Tecnología de la Junta de Extremadura para que respectivamente remitieran testimonio de las actuaciones correspondientes al recurso de apelación núm. 148-2003, recurso Contencioso-Administrativo núm. 14-2003 y expediente administrativo origen del citado procedimiento, interesando al propio tiempo que se emplazase a quienes hubieran sido parte en el citado procedimiento, con excepción de la parte recurrente en amparo, para que en el plazo de diez días pudieran comparecen en este proceso constitucional de amparo. Lo que efectivamente hizo el Abogado del Estado mediante escrito registrado en este Tribunal el 9 de enero de 2007, interesando se le tuviera por personado en el presente recurso de amparo.</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Sala de 20 de septiembre de 2004 se acordó tener por recibidos los testimonios reclamados, tener por personado y parte en el procedimiento al Letrado de la Junta de Extremadura, en la representación que ostenta, y, con arreglo a lo dispuesto en el art. 52.1 LOTC, conceder a todas las partes personadas y al Ministerio Fiscal plazo común por veinte días para que, con vista de las actuaciones recibidas, formulasen alegaciones.</w:t>
      </w:r>
    </w:p>
    <w:p w:rsidR="0052098F" w:rsidRDefault="0052098F" w:rsidP="0052098F">
      <w:pPr>
        <w:pStyle w:val="TextoNormal"/>
      </w:pPr>
    </w:p>
    <w:p w:rsidR="0052098F" w:rsidRDefault="0052098F" w:rsidP="0052098F">
      <w:pPr>
        <w:pStyle w:val="TextoNormal"/>
      </w:pPr>
      <w:r w:rsidRPr="0052098F">
        <w:rPr>
          <w:rStyle w:val="NumeroAFNegritaCaracter"/>
        </w:rPr>
        <w:t>6</w:t>
      </w:r>
      <w:r>
        <w:t>. Mediante escrito registrado en este Tribunal el 8 de octubre de 2004 el Fiscal presentó su escrito de alegaciones interesando la estimación del amparo solicitado. Tras subrayar que el asunto considerado coincide en lo sustancial con los resueltos por las SSTC 188/2003, de 27 de octubre, y 220/2003, de 15 de diciembre, y recordar lo principal de la doctrina constitucional que sancionan, el Fiscal concluye que la Sentencia impugnada traduce una interpretación irrazonable del art. 46 LJCA que lesiona el derecho de acceso a la jurisdicción que garantiza el art. 24.1 CE, pues la Ley no obliga al ciudadano a recurrir forzosamente un acto presunto y sí, en cambio, a la Administración a dictar resolución expresa.</w:t>
      </w:r>
    </w:p>
    <w:p w:rsidR="0052098F" w:rsidRDefault="0052098F" w:rsidP="0052098F">
      <w:pPr>
        <w:pStyle w:val="TextoNormal"/>
      </w:pPr>
    </w:p>
    <w:p w:rsidR="0052098F" w:rsidRDefault="0052098F" w:rsidP="0052098F">
      <w:pPr>
        <w:pStyle w:val="TextoNormal"/>
      </w:pPr>
      <w:r w:rsidRPr="0052098F">
        <w:rPr>
          <w:rStyle w:val="NumeroAFNegritaCaracter"/>
        </w:rPr>
        <w:t>7</w:t>
      </w:r>
      <w:r>
        <w:t>. El 21 de octubre de 2004, la recurrente presentó sus alegaciones insistiendo, con apoyo en la STC 220/2003, de 15 de diciembre, en los mismos motivos ya argumentados en su escrito de demanda.</w:t>
      </w:r>
    </w:p>
    <w:p w:rsidR="0052098F" w:rsidRDefault="0052098F" w:rsidP="0052098F">
      <w:pPr>
        <w:pStyle w:val="TextoNormal"/>
      </w:pPr>
    </w:p>
    <w:p w:rsidR="0052098F" w:rsidRDefault="0052098F" w:rsidP="0052098F">
      <w:pPr>
        <w:pStyle w:val="TextoNormal"/>
      </w:pPr>
      <w:r w:rsidRPr="0052098F">
        <w:rPr>
          <w:rStyle w:val="NumeroAFNegritaCaracter"/>
        </w:rPr>
        <w:t>8</w:t>
      </w:r>
      <w:r>
        <w:t>. El 4 de noviembre de 2004, el Letrado de la Junta de Extremadura presentó sus alegaciones interesando la desestimación del recurso de amparo. A juicio del Letrado autonómico la cuestión a dilucidar refiere un problema de simple legalidad ordinaria sin transcendencia constitucional y, por tanto, ajeno al recurso de amparo. En todo caso, considera que la resolución judicial recurrida no es una decisión desproporcionada dadas las circunstancias del caso enjuiciado, que hablan en particular de la interposición del recurso contencioso no sólo más allá del plazo procesal que contempla el art. 46 LJCA, sino también una vez prescrito el derecho de la recurrente a reclamar la indemnización solicitada.</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17 de enero de 2008, se señaló para deliberación y votación de la presente Sentencia el día 21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demandante de amparo impugna la Sentencia de la Sala de lo Contencioso-Administrativo del Tribunal Superior de Justicia de Extremadura, de 23 de noviembre de 2003, que declaró inadmisible, por extemporáneo, su recurso contencioso-administrativo, al considerar que se trata de una decisión judicial que traduce una interpretación irrazonable y desproporcionada del régimen del silencio administrativo negativo que resulta incompatible con el derecho a la tutela judicial efectiva, en su vertiente de derecho de acceso a la jurisdicción (art. 24.1 CE).</w:t>
      </w:r>
    </w:p>
    <w:p w:rsidR="0052098F" w:rsidRDefault="0052098F" w:rsidP="0052098F">
      <w:pPr>
        <w:pStyle w:val="TextoNormal"/>
      </w:pPr>
      <w:r>
        <w:t>Por parecidos motivos, el Fiscal se pronuncia igualmente a favor del otorgamiento amparo solicitado. Por su parte, el Letrado de la Junta de Extremadura niega que en el presente asunto exista cuestión con relevancia constitucional y, en todo caso, rechaza que la Sentencia recurrida sea, teniendo en cuenta las circunstancias concurrentes, una decisión judicial desproporcionada y, en consecuencia, contraria al derecho a la tutela judicial efectiva del art. 24.1 CE.</w:t>
      </w:r>
    </w:p>
    <w:p w:rsidR="0052098F" w:rsidRDefault="0052098F" w:rsidP="0052098F">
      <w:pPr>
        <w:pStyle w:val="TextoNormal"/>
      </w:pPr>
    </w:p>
    <w:p w:rsidR="0052098F" w:rsidRDefault="0052098F" w:rsidP="0052098F">
      <w:pPr>
        <w:pStyle w:val="TextoNormal"/>
      </w:pPr>
      <w:r w:rsidRPr="0052098F">
        <w:rPr>
          <w:rStyle w:val="NumeroAFNegritaCaracter"/>
        </w:rPr>
        <w:t>2</w:t>
      </w:r>
      <w:r>
        <w:t>. Como con mayor detalle se ha expuesto en los antecedentes de esta resolución, la recurrente en amparo presentó su reclamación el 20 de febrero de 2001 y, ante el silencio de la Administración, la reiteró nuevamente el 24 de abril de 2002, esto es, algo más de un año y dos meses después de presentada la primera solicitud. Contra la desestimación por silencio de esta segunda solicitud, la recurrente interpuso, con fecha 25 de enero de 2003, recurso contencioso-administrativo, que fue estimado por Sentencia del Juzgado de lo Contencioso-Administrativo núm. 1 de Badajoz, de 6 de mayo de 2003. Recurrida en apelación por la Administración demandada, la Sala de lo Contencioso-Administrativo del Tribunal Superior de Justicia de Extremadura dictó Sentencia estimando el recurso, al considerar, como era el criterio de la Administración apelante, que la recurrente, conforme previene el art. 46 de la Ley de la jurisdicción contencioso-administrativa (LJCA), debió interponer recurso contencioso-administrativo en el plazo de seis meses a contar desde la desestimación por silencio de su primera solicitud, sin que el hecho de que la recurrente reiterara su reclamación una vez transcurrido ya dicho plazo permita reabrir el plazo legal para impugnar en vía judicial la nueva desestimación por silencio administrativo de la segunda solicitud.</w:t>
      </w:r>
    </w:p>
    <w:p w:rsidR="0052098F" w:rsidRDefault="0052098F" w:rsidP="0052098F">
      <w:pPr>
        <w:pStyle w:val="TextoNormal"/>
      </w:pPr>
      <w:r>
        <w:lastRenderedPageBreak/>
        <w:t>Con arreglo a estos antecedentes, la cuestión a dilucidar consiste, pues, en determinar si el criterio que defiende la Sentencia cuestionada en amparo, que obliga a reaccionar jurisdiccionalmente frente a la desestimación presunta por silencio negativo, so riesgo en otro caso de prestar el consentimiento al acto presunto, es, en efecto, como sostienen la demandante de amparo y el Fiscal, una interpretación contraria a la efectividad del derecho fundamental que garantiza el art. 24.1 CE.</w:t>
      </w:r>
    </w:p>
    <w:p w:rsidR="0052098F" w:rsidRDefault="0052098F" w:rsidP="0052098F">
      <w:pPr>
        <w:pStyle w:val="TextoNormal"/>
      </w:pPr>
    </w:p>
    <w:p w:rsidR="0052098F" w:rsidRDefault="0052098F" w:rsidP="0052098F">
      <w:pPr>
        <w:pStyle w:val="TextoNormal"/>
      </w:pPr>
      <w:r w:rsidRPr="0052098F">
        <w:rPr>
          <w:rStyle w:val="NumeroAFNegritaCaracter"/>
        </w:rPr>
        <w:t>3</w:t>
      </w:r>
      <w:r>
        <w:t>. En relación con el control constitucional de las resoluciones judiciales que declaran la extemporaneidad de recursos contencioso-administrativos interpuestos contra la desestimación por silencio administrativo de solicitudes o reclamaciones de los interesados, existe ya una consolidada doctrina de este Tribunal, que arranca de la STC 6/1986, de 21 de enero, y que confirman y resumen, entre otras, las SSTC 188/2003, de 27 de octubre, y 220/2003, de 15 de diciembre, citada por la recurrente en amparo y por el Fiscal, y las más recientes SSTC 14/2006, de 16 de enero, 39/2006, de 13 de febrero, 186/2006, de 19 de junio, 27/2007, de 12 de febrero, y 64/2007, de 27 de marzo.</w:t>
      </w:r>
    </w:p>
    <w:p w:rsidR="0052098F" w:rsidRDefault="0052098F" w:rsidP="0052098F">
      <w:pPr>
        <w:pStyle w:val="TextoNormal"/>
      </w:pPr>
      <w:r>
        <w:t>Conforme a esta jurisprudencia constitucional, que comienza por subrayar que el silencio administrativo negativo es simplemente una ficción legal que responde a la finalidad de que el administrado pueda acceder a la vía judicial superando los efectos de inactividad de la Administración, hemos declarado que, frente a las desestimaciones por silencio, el ciudadano no puede estar obligado a recurrir siempre y en todo caso, so pretexto de convertir su inactividad en consentimiento del acto presunto, imponiéndole un deber de diligencia que sin embargo no le es exigible a la Administración en el cumplimiento de su deber legal de dictar resolución expresa en todos los procedimientos. Bajo estas premisas, hemos concluido que deducir de ese comportamiento pasivo del interesado su consentimiento con el contenido de un acto administrativo presunto, en realidad nunca producido, negando al propio tiempo la posibilidad de reactivar el plazo de impugnación mediante la reiteración de la solicitud desatendida por la Administración, supone una interpretación que no puede calificarse de razonable —y menos aún, con arreglo al principio pro actione, de más favorable a la efectividad del derecho fundamental del art. 24.1 CE—, al primar injustificadamente la inactividad de la Administración, colocándola en mejor situación que si hubiera cumplido con su deber de dictar y notificar la correspondiente resolución expresa.</w:t>
      </w:r>
    </w:p>
    <w:p w:rsidR="0052098F" w:rsidRDefault="0052098F" w:rsidP="0052098F">
      <w:pPr>
        <w:pStyle w:val="TextoNormal"/>
      </w:pPr>
    </w:p>
    <w:p w:rsidR="0052098F" w:rsidRDefault="0052098F" w:rsidP="0052098F">
      <w:pPr>
        <w:pStyle w:val="TextoNormal"/>
      </w:pPr>
      <w:r w:rsidRPr="0052098F">
        <w:rPr>
          <w:rStyle w:val="NumeroAFNegritaCaracter"/>
        </w:rPr>
        <w:t>4</w:t>
      </w:r>
      <w:r>
        <w:t>. La aplicación de esta doctrina constitucional al presente caso conduce derechamente al otorgamiento del amparo interesado, habida cuenta que la interpretación que defiende la Sentencia recurrida, imponiendo a la demandante la obligación de reaccionar en vía judicial contra la desestimación presunta por silencio administrativo negativo de su solicitud de 20 de febrero de 2001, so pena de convertir esa inactividad en su consentimiento con el acto presunto, supone una interpretación irrazonable que choca frontalmente, conforme acabamos de recordar y confirma, en un asunto sustancialmente idéntico, la STC 39/2006, de 13 de febrero, con la efectividad del derecho a la tutela judicial efectiva sin indefensión del art. 24.1 CE, en su vertiente de acceso a la jurisdicción.</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lastRenderedPageBreak/>
        <w:t>Ha decidido</w:t>
      </w:r>
    </w:p>
    <w:p w:rsidR="0052098F" w:rsidRDefault="0052098F" w:rsidP="0052098F">
      <w:pPr>
        <w:pStyle w:val="TextoNormalCentrado"/>
        <w:keepNext/>
      </w:pPr>
    </w:p>
    <w:p w:rsidR="0052098F" w:rsidRDefault="0052098F" w:rsidP="0052098F">
      <w:pPr>
        <w:pStyle w:val="TextoNormal"/>
      </w:pPr>
      <w:r>
        <w:t>Otorgar el amparo solicitado por doña Juana María Lozano López, y en consecuencia:</w:t>
      </w:r>
    </w:p>
    <w:p w:rsidR="0052098F" w:rsidRDefault="0052098F" w:rsidP="0052098F">
      <w:pPr>
        <w:pStyle w:val="TextoNormal"/>
      </w:pPr>
      <w:r>
        <w:t>1º Reconocer su derecho a la tutela judicial efectiva, en su vertiente de acceso a la jurisdicción (art. 24.1 CE).</w:t>
      </w:r>
    </w:p>
    <w:p w:rsidR="0052098F" w:rsidRDefault="0052098F" w:rsidP="0052098F">
      <w:pPr>
        <w:pStyle w:val="TextoNormal"/>
      </w:pPr>
      <w:r>
        <w:t>2º Declarar la nulidad de la Sentencia de la Sala de lo Contencioso-Administrativo del Tribunal Superior de Justicia de Extremadura, de fecha 25 de noviembre de 2003, dictada en el recurso de apelación núm. 148-2003.</w:t>
      </w:r>
    </w:p>
    <w:p w:rsidR="0052098F" w:rsidRDefault="0052098F" w:rsidP="0052098F">
      <w:pPr>
        <w:pStyle w:val="TextoNormal"/>
      </w:pPr>
      <w:r>
        <w:t>3º Retrotraer las actuaciones al momento procesal inmediatamente anterior a dictar Sentencia con el fin de que el mencionado Tribunal dicte otra respetuosa con el derecho fundamental reconocido.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7" w:name="SENTENCIA_2008_4"/>
      <w:r>
        <w:lastRenderedPageBreak/>
        <w:t>SENTENCIA 4/2008, de 21 de enero de 2008</w:t>
      </w:r>
    </w:p>
    <w:bookmarkEnd w:id="7"/>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ECLI:ES:TC:2008:4</w:t>
      </w:r>
    </w:p>
    <w:p w:rsidR="0052098F" w:rsidRDefault="0052098F" w:rsidP="0052098F">
      <w:pPr>
        <w:pStyle w:val="SntesisDescriptiva"/>
      </w:pPr>
    </w:p>
    <w:p w:rsidR="0052098F" w:rsidRDefault="0052098F" w:rsidP="0052098F">
      <w:pPr>
        <w:pStyle w:val="SntesisDescriptiva"/>
      </w:pPr>
      <w:r>
        <w:t>Recurso de amparo 6639-2004. Promovido por don Ricardo Antonio Rodríguez Díez respecto a los Autos de la Audiencia Provincial de Madrid que, en apelación, dejaron sin efecto una medida cautelar de anotación preventiva de demanda previa a litigio civil y denegaron la nulidad de actuaciones.</w:t>
      </w:r>
    </w:p>
    <w:p w:rsidR="0052098F" w:rsidRDefault="0052098F" w:rsidP="0052098F">
      <w:pPr>
        <w:pStyle w:val="SntesisDescriptiva"/>
      </w:pPr>
    </w:p>
    <w:p w:rsidR="0052098F" w:rsidRDefault="0052098F" w:rsidP="0052098F">
      <w:pPr>
        <w:pStyle w:val="SntesisAnaltica"/>
      </w:pPr>
      <w:r>
        <w:t>Vulneración del derecho a la tutela judicial efectiva: denegación de medida cautelar de anotación preventiva de demanda civil por error patente sobre el ofrecimiento de la caución.</w:t>
      </w:r>
    </w:p>
    <w:p w:rsidR="0052098F" w:rsidRDefault="0052098F" w:rsidP="0052098F">
      <w:pPr>
        <w:pStyle w:val="SntesisAnaltica"/>
      </w:pPr>
    </w:p>
    <w:p w:rsidR="0052098F" w:rsidRDefault="0052098F" w:rsidP="0052098F">
      <w:pPr>
        <w:pStyle w:val="Extracto"/>
      </w:pPr>
      <w:r>
        <w:t>1.</w:t>
      </w:r>
      <w:r>
        <w:tab/>
        <w:t>Se incurre en error patente con relevancia constitucional y se vulnera el derecho a la tutela judicial efectiva si se acuerda la improcedencia de una medida cautelar de notación preventiva de embargo con el único argumento de que no se había realizado el preceptivo ofrecimiento de caución, cuando dicho ofrecimiento sí tuvo lugar [FJ 3].</w:t>
      </w:r>
    </w:p>
    <w:p w:rsidR="0052098F" w:rsidRDefault="0052098F" w:rsidP="0052098F">
      <w:pPr>
        <w:pStyle w:val="Extracto"/>
      </w:pPr>
    </w:p>
    <w:p w:rsidR="0052098F" w:rsidRDefault="0052098F" w:rsidP="0052098F">
      <w:pPr>
        <w:pStyle w:val="Extracto"/>
      </w:pPr>
      <w:r>
        <w:t>2.</w:t>
      </w:r>
      <w:r>
        <w:tab/>
        <w:t>Para que un error tenga relevancia constitucional debe: a) ser atribuible al órgano judicial, no a la negligencia de la parte; b) poder apreciarse inmediatamente de forma incontrovertible a partir de las actuaciones judiciales y c) resultar determinante en la ratio decidendi, de forma que no pueda saberse cuál hubiera sido el criterio del órgano judicial de no haber incurrido en él (STC 221/2007) [FJ 3].</w:t>
      </w:r>
    </w:p>
    <w:p w:rsidR="0052098F" w:rsidRDefault="0052098F" w:rsidP="0052098F">
      <w:pPr>
        <w:pStyle w:val="Extracto"/>
      </w:pPr>
    </w:p>
    <w:p w:rsidR="0052098F" w:rsidRDefault="0052098F" w:rsidP="0052098F">
      <w:pPr>
        <w:pStyle w:val="Extracto"/>
      </w:pPr>
      <w:r>
        <w:t>3.</w:t>
      </w:r>
      <w:r>
        <w:tab/>
        <w:t>Cuando el incidente de nulidad de actuaciones, pese a ser interpuesto de modo que pudiera resultar dudoso, es admitido a trámite, analizado y resuelto con un pronunciamiento sobre el fondo, debe rechazarse que quepa ser considerado como un recurso manifiestamente improcedente (SSTC 246/2005, 132/2007)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lastRenderedPageBreak/>
        <w:t>SENTENCIA</w:t>
      </w:r>
    </w:p>
    <w:p w:rsidR="0052098F" w:rsidRDefault="0052098F" w:rsidP="0052098F">
      <w:pPr>
        <w:pStyle w:val="TextoNormalCentrado"/>
        <w:keepNext/>
      </w:pPr>
    </w:p>
    <w:p w:rsidR="0052098F" w:rsidRDefault="0052098F" w:rsidP="0052098F">
      <w:pPr>
        <w:pStyle w:val="TextoNormal"/>
      </w:pPr>
      <w:r>
        <w:t>En el recurso de amparo núm. 6639-2004, promovido por don Ricardo Antonio Rodríguez Díez, representado por el Procurador de los Tribunales don Raúl Martínez Ostenero y bajo la dirección del Letrado don Ángel Luis Agüero Martín, contra el Auto de la Sección Décima de la Audiencia Provincial de Madrid de 13 de octubre de 2004, por el que se desestima el incidente de nulidad de actuaciones interpuesto contra el Auto de 17 de junio de 2004, dictado en el rollo de apelación núm. 248-2004, por el que se estimó el recurso de apelación núm. 248-2004, dejando sin efecto una medida cautelar de anotación preventiva de demanda. Ha comparecido la entidad Tagon, S.L., representada por el Procurador de los Tribunales don Marcos Juan Calleja García y bajo la dirección del Letrado don José Álvarez Tarrasa. Ha intervenido el Ministerio Fiscal. Ha sido Ponente el Magistrado don Pablo Pérez Tremps,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10 de noviembre de 2004, el Procurador de los Tribunales don Raúl Martínez Ostenero, actuando en nombre y representación de don Ricardo Antonio Rodríguez Díez, y bajo la dirección del Letrado don Ángel Luis Agüero Martín, interpuso demanda de amparo contra las resoluciones judiciales citadas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El recurso tiene su origen en los siguientes antecedentes: </w:t>
      </w:r>
    </w:p>
    <w:p w:rsidR="0052098F" w:rsidRDefault="0052098F" w:rsidP="0052098F">
      <w:pPr>
        <w:pStyle w:val="TextoNormal"/>
      </w:pPr>
      <w:r>
        <w:t xml:space="preserve">a) El recurrente, por escrito de 7 de noviembre de 2003, formuló, con carácter previo a la interposición de demanda contra la entidad Tagon, S.L., solicitud de la adopción, inaudita parte, de la medida cautelar del art. 727.5 LEC, consistente en sendas anotaciones preventivas de demanda en los Registros Mercantil y de la Propiedad. En dicho escrito se hace constar expresamente que “con el fin de dar cumplimiento a la LEC, esta parte ofrece, a modo de caución (arts. 728 y 737 LEC), aval bancario expedido conforme a las prescripciones legales en cuantía de 3.000 euros para cubrir los daños y perjuicios a que hace referencia la normativa procesal al caso aplicable”. El escrito fue turnado al Juzgado de Primera Instancia núm. 8 de Madrid, dando lugar a los autos núm. 1308-2003 de medidas cautelares previas. Por Auto de 12 de diciembre de 2003 se acordó denegar en dicho momento la adopción de la medida cautelar inaudita parte, al no quedar acreditada la urgencia, por lo que citó a las partes para celebración de vista sobre la adopción de la medida cautelar. El 28 de noviembre de 2003 se celebró vista para la adopción de la medida cautelar, ratificándose el recurrente en su solicitud. Por su parte, la entidad Tagon, S.L., se opuso a la misma, afirmando, respecto de la caución ofrecida, que la suma de 3.000 euros era insuficiente. Oralmente se acordó en dicha vista rechazar la anotación preventiva en el Registro de la Propiedad y estimarla respecto del Registro Mercantil, fijando una caución de 6.000 euros. Esta decisión fue documentada por Auto de 28 de noviembre de 2003. </w:t>
      </w:r>
    </w:p>
    <w:p w:rsidR="0052098F" w:rsidRDefault="0052098F" w:rsidP="0052098F">
      <w:pPr>
        <w:pStyle w:val="TextoNormal"/>
      </w:pPr>
      <w:r>
        <w:t xml:space="preserve">b) La entidad Tagon, S.L., interpuso recurso de apelación, dando lugar al rollo núm. 248-2004, que fue tramitado por la Sección Décima de la Audiencia Provincial de Madrid. El recurso fue estimado por Auto de 17 de junio de 2004, argumentando que “resulta innecesario entrar en el examen de fondo de los motivos aducidos por el recurrente al apreciarse una falta de ofrecimiento de la caución … La omisión de este ofrecimiento constituye pues la falta de un presupuesto para su adopción siendo un claro indicio de la ausencia de la </w:t>
      </w:r>
      <w:r>
        <w:lastRenderedPageBreak/>
        <w:t xml:space="preserve">voluntad de cumplir con uno de los requisitos de las medidas cautelares que conduce necesariamente a la desestimación del recurso … Es por ello por lo que debieron ser rechazadas las medidas propuestas, sin necesidad de entrar en el examen de la concurrencia o no de los presupuestos necesarios para su adopción”. </w:t>
      </w:r>
    </w:p>
    <w:p w:rsidR="0052098F" w:rsidRDefault="0052098F" w:rsidP="0052098F">
      <w:pPr>
        <w:pStyle w:val="TextoNormal"/>
      </w:pPr>
      <w:r>
        <w:t>c) El recurrente formuló incidente de nulidad de actuaciones alegando que el Auto resolutorio de la apelación había incurrido en un defecto causante de indefensión, toda vez que se le privó de una resolución sobre el fondo con fundamento en la omisión de un presupuesto procesal —el ofrecimiento de caución— que sí se había realizado. Por providencia de 27 de julio de 2004 se admitió a trámite el incidente interpuesto, dándose traslado a la otra parte para alegaciones. Por Auto de 30 de septiembre de 2004 se desestimó el incidente, argumentando que si bien el Auto impugnado se “sustentó en la errónea creencia de que el apelante no ofreció la prestación de caución a que se refiere el art. 732.3 LEC … ello no determina necesariamente indefensión … por cuanto, aún admitiendo que dicho ofrecimiento tuvo lugar no por ello se le privó de formular cuantas alegaciones tuvo por conveniente sin que se haya producido como exige el art. 238 LOPJ defecto alguno de forma o incongruencia del fallo”.</w:t>
      </w:r>
    </w:p>
    <w:p w:rsidR="0052098F" w:rsidRDefault="0052098F" w:rsidP="0052098F">
      <w:pPr>
        <w:pStyle w:val="TextoNormal"/>
      </w:pPr>
    </w:p>
    <w:p w:rsidR="0052098F" w:rsidRDefault="0052098F" w:rsidP="0052098F">
      <w:pPr>
        <w:pStyle w:val="TextoNormal"/>
      </w:pPr>
      <w:r w:rsidRPr="0052098F">
        <w:rPr>
          <w:rStyle w:val="NumeroAFNegritaCaracter"/>
        </w:rPr>
        <w:t>3</w:t>
      </w:r>
      <w:r>
        <w:t>. El recurrente aduce en su demanda de amparo que se ha vulnerado su derecho a la tutela judicial efectiva (art. 24.1 CE), por haberse incurrido en error patente. Argumenta que en apelación, revocando la previa resolución de instancia, se ha denegado la medida cautelar de anotación preventiva solicitada con el único y exclusivo argumento de que no había existido el obligatorio ofrecimiento de caución cuando, como pone de manifiesto en el escrito de solicitud de dicha medida cautelar, se hizo expresamente dicho ofrecimiento, lo que también ha sido reconocido por el propio órgano judicial de apelación en el Auto resolutorio del incidente de nulidad.</w:t>
      </w:r>
    </w:p>
    <w:p w:rsidR="0052098F" w:rsidRDefault="0052098F" w:rsidP="0052098F">
      <w:pPr>
        <w:pStyle w:val="TextoNormal"/>
      </w:pPr>
    </w:p>
    <w:p w:rsidR="0052098F" w:rsidRDefault="0052098F" w:rsidP="0052098F">
      <w:pPr>
        <w:pStyle w:val="TextoNormal"/>
      </w:pPr>
      <w:r w:rsidRPr="0052098F">
        <w:rPr>
          <w:rStyle w:val="NumeroAFNegritaCaracter"/>
        </w:rPr>
        <w:t>4</w:t>
      </w:r>
      <w:r>
        <w:t>. La Sección Segunda de este Tribunal acordó, por providencia de 10 de enero de 2007, admitir a trámite la demanda de amparo y dirigir atenta comunicación a los órganos judiciales competentes para la remisión de copia testimoniada de las actuaciones y el emplazamiento a quienes hubieran sido parte en este procedimiento para comparecer en el mismo.</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Secretaría de Justicia de la Sala Primera de este Tribunal de 3 de septiembre de 2007 se tuvo por recibido el testimonio de las actuaciones, por personado al Procurador don Marcos Juan Calleja García, en nombre y representación de la entidad Tagon, S.L. y, a tenor del art. 52 LOTC, se acordó dar vista de las actuaciones al Ministerio Fiscal y a las partes personadas por plazo común de veinte días para que pudieran presentar las alegaciones que a su derecho convinieran.</w:t>
      </w:r>
    </w:p>
    <w:p w:rsidR="0052098F" w:rsidRDefault="0052098F" w:rsidP="0052098F">
      <w:pPr>
        <w:pStyle w:val="TextoNormal"/>
      </w:pPr>
    </w:p>
    <w:p w:rsidR="0052098F" w:rsidRDefault="0052098F" w:rsidP="0052098F">
      <w:pPr>
        <w:pStyle w:val="TextoNormal"/>
      </w:pPr>
      <w:r w:rsidRPr="0052098F">
        <w:rPr>
          <w:rStyle w:val="NumeroAFNegritaCaracter"/>
        </w:rPr>
        <w:t>6</w:t>
      </w:r>
      <w:r>
        <w:t>. La parte comparecida, en escrito registrado el 8 de octubre de 2007, presentó sus alegaciones solicitando la inadmisión del recurso de amparo por ser extemporánea su interposición, ya que el incidente de nulidad de actuaciones planteado era manifiestamente improcedente. A esos efectos, argumenta que el recurrente interpuso el incidente de nulidad alegando que por un error manifiesto se le había privado de una resolución sobre el fondo, lo cual no constituye ni un defecto de forma causante de indefensión ni una incongruencia del fallo, únicos supuestos para los que está legalmente previsto el incidente de nulidad de actuaciones.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7</w:t>
      </w:r>
      <w:r>
        <w:t>. El Ministerio Fiscal, en escrito registrado el 17 de octubre de 2007, interesó que se otorgara el amparo por vulneración del derecho a la tutela judicial efectiva (art. 24.1 CE) y se declarara la nulidad de la resolución impugnada con retroacción de actuaciones para que se dictara una nueva con respeto al derecho fundamental vulnerado. En primer lugar, el Ministerio Fiscal descarta que el incidente de nulidad de actuaciones planteado pueda ser considerado manifiestamente improcedente a los efectos de concluir la extemporaneidad del amparo, toda vez que, como pone de manifiesto la resolución recaída, el órgano judicial no lo inadmitió, sino que lo desestimó por motivos de fondo. Un vez señalado lo anterior, el Ministerio Fiscal argumenta que se cumplen la totalidad de los requisitos exigidos para dotar de relevancia constitucional al error alegado, ya que ha quedado acreditado en las actuaciones que el recurrente hizo el ofrecimiento de caución y el único motivo por el que finalmente la Audiencia Provincial, revocando la previa resolución de instancia, denegó la procedencia de la medida cautelar solicitada fue el que no había existido dicho ofrecimiento de caución.</w:t>
      </w:r>
    </w:p>
    <w:p w:rsidR="0052098F" w:rsidRDefault="0052098F" w:rsidP="0052098F">
      <w:pPr>
        <w:pStyle w:val="TextoNormal"/>
      </w:pPr>
    </w:p>
    <w:p w:rsidR="0052098F" w:rsidRDefault="0052098F" w:rsidP="0052098F">
      <w:pPr>
        <w:pStyle w:val="TextoNormal"/>
      </w:pPr>
      <w:r w:rsidRPr="0052098F">
        <w:rPr>
          <w:rStyle w:val="NumeroAFNegritaCaracter"/>
        </w:rPr>
        <w:t>8</w:t>
      </w:r>
      <w:r>
        <w:t>. El recurrente no ha formulado alegaciones.</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17 de enero de 2008 se señaló para la deliberación y votación de la presente Sentencia el día 21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objeto de este amparo es determinar si las resoluciones impugnadas han vulnerado el derecho a la tutela judicial efectiva (art. 24.1 CE) del recurrente, al haber incurrido en un error patente con relevancia constitucional por haberse acordado la improcedencia de una medida cautelar de anotación preventiva de embargo con el único argumento de que no se había realizado el preceptivo ofrecimiento de caución, cuando dicho ofrecimiento sí tuvo lugar.</w:t>
      </w:r>
    </w:p>
    <w:p w:rsidR="0052098F" w:rsidRDefault="0052098F" w:rsidP="0052098F">
      <w:pPr>
        <w:pStyle w:val="TextoNormal"/>
      </w:pPr>
    </w:p>
    <w:p w:rsidR="0052098F" w:rsidRDefault="0052098F" w:rsidP="0052098F">
      <w:pPr>
        <w:pStyle w:val="TextoNormal"/>
      </w:pPr>
      <w:r w:rsidRPr="0052098F">
        <w:rPr>
          <w:rStyle w:val="NumeroAFNegritaCaracter"/>
        </w:rPr>
        <w:t>2</w:t>
      </w:r>
      <w:r>
        <w:t>. Con carácter previo es necesario descartar que concurra la causa de inadmisión señalada por la parte comparecida, consistente en la extemporaneidad de la demanda por haberse acudido a un remedio procesal manifiestamente improcedente para la restauración del derecho fundamental invocado, como era el incidente de nulidad de actuaciones.</w:t>
      </w:r>
    </w:p>
    <w:p w:rsidR="0052098F" w:rsidRDefault="0052098F" w:rsidP="0052098F">
      <w:pPr>
        <w:pStyle w:val="TextoNormal"/>
      </w:pPr>
      <w:r>
        <w:t>Son reiterados los pronunciamientos de este Tribunal en que se señala que la interposición de un recurso manifiestamente improcedente no interrumpe el plazo de caducidad previsto en el art. 44.2 LOTC —de veinte días de acuerdo con la redacción vigente en el momento de formularse la presente demanda de amparo—, pero que la armonización del principio de seguridad jurídica con el derecho a la tutela judicial efectiva sin indefensión (art. 24.1 CE) exige una aplicación restrictiva del concepto de “recursos manifiestamente improcedentes”, considerando como tales sólo aquellos cuya improcedencia derive de forma evidente del propio texto legal, sin dudas interpretativas que sea necesario despejar por medio de criterios interpretativos no absolutamente discutibles o de alguna complejidad (por todas, STC 143/2007, de 18 de junio, FJ 2).</w:t>
      </w:r>
    </w:p>
    <w:p w:rsidR="0052098F" w:rsidRDefault="0052098F" w:rsidP="0052098F">
      <w:pPr>
        <w:pStyle w:val="TextoNormal"/>
      </w:pPr>
      <w:r>
        <w:t xml:space="preserve">Más en concreto, ha sido destacado que cuando el incidente de nulidad de actuaciones, pese a ser interpuesto de modo que pudiera resultar dudoso con su regulación legal, es admitido a trámite, analizado y resuelto por el órgano judicial con un pronunciamiento sobre </w:t>
      </w:r>
      <w:r>
        <w:lastRenderedPageBreak/>
        <w:t>el fondo de la pretensión, debe rechazarse que quepa ser considerado como un recurso manifiestamente improcedente a los efectos del cómputo del plazo previsto en el art. 44.2 LOTC (entre otras, SSTC 246/2005, de 10 de octubre, FJ 2, ó 132/2007, de 4 de junio, FJ 2). Esto es lo acaecido en el presente caso, en el que, como ya se ha expuesto en los antecedentes, el incidente de nulidad de actuaciones fue admitido a trámite por providencia de 27 de julio de 2004, analizado a la vista de las alegaciones de las distintas partes intervinientes y resuelto mediante un pronunciamiento sobre el fondo respecto del defecto de forma alegado, negando que se hubiera producido indefensión material por no haberse privado de la posibilidad de formular alegaciones. Por tanto, con arreglo a la doctrina expuesta y tal como también ha destacado el Ministerio Fiscal, la demanda de amparo no resulta extemporánea.</w:t>
      </w:r>
    </w:p>
    <w:p w:rsidR="0052098F" w:rsidRDefault="0052098F" w:rsidP="0052098F">
      <w:pPr>
        <w:pStyle w:val="TextoNormal"/>
      </w:pPr>
    </w:p>
    <w:p w:rsidR="0052098F" w:rsidRDefault="0052098F" w:rsidP="0052098F">
      <w:pPr>
        <w:pStyle w:val="TextoNormal"/>
      </w:pPr>
      <w:r w:rsidRPr="0052098F">
        <w:rPr>
          <w:rStyle w:val="NumeroAFNegritaCaracter"/>
        </w:rPr>
        <w:t>3</w:t>
      </w:r>
      <w:r>
        <w:t>. Entrando al fondo de la cuestión planteada, este Tribunal ha reiterado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221/2007, de 8 de octubre, FJ 3).</w:t>
      </w:r>
    </w:p>
    <w:p w:rsidR="0052098F" w:rsidRDefault="0052098F" w:rsidP="0052098F">
      <w:pPr>
        <w:pStyle w:val="TextoNormal"/>
      </w:pPr>
      <w:r>
        <w:t>En el presente caso, como ha quedado acreditado en las actuaciones y ha sido expuesto con más detalle en los antecedentes, se constata, en primer lugar, que el recurrente en el escrito solicitando la adopción de la medida cautelar señaló que “con el fin de dar cumplimiento a la [Ley de enjuiciamiento civil: LEC], esta parte ofrece, a modo de caución (arts. 728 y 737 LEC), aval bancario expedido conforme a las prescripciones legales en cuantía de 3.000 euros para cubrir los daños y perjuicios a que hace referencia la normativa procesal al caso aplicable”. En segundo lugar, también se constata que, acordada en la instancia la anotación preventiva en el Registro Mercantil, se estimó el recurso interpuesto por la demandada contra dicha medida cautelar, argumentando que “resulta innecesario entrar en el examen de fondo de los motivos aducidos por el recurrente al apreciarse una falta de ofrecimiento de la caución … La omisión de este ofrecimiento constituye pues la falta de un presupuesto para su adopción siendo un claro indicio de la ausencia de la voluntad de cumplir con uno de los requisitos de las medidas cautelares que conduce necesariamente a la desestimación del recurso”. Y, por último, que el órgano judicial de apelación en el Auto resolutorio del incidente de nulidades de actuaciones señaló que era cierto que la resolución judicial se “sustentó en la errónea creencia de que el apelante no ofreció la prestación de caución a que se refiere el art. 732.3 LEC”.</w:t>
      </w:r>
    </w:p>
    <w:p w:rsidR="0052098F" w:rsidRDefault="0052098F" w:rsidP="0052098F">
      <w:pPr>
        <w:pStyle w:val="TextoNormal"/>
      </w:pPr>
      <w:r>
        <w:t xml:space="preserve">Todo lo expuesto determina que deba otorgarse el amparo solicitado por vulneración del derecho a la tutela judicial efectiva (art. 24.1 CE) pues, como también ha señalado el Ministerio Fiscal, ha quedado acreditado que concurren todos los requisitos para dotar de relevancia constitucional al error denunciado. Por un lado, dicho error no ha sido inducido por el recurrente y es sólo imputable al órgano judicial de apelación; por otro, la concurrencia del error fáctico se evidencia de forma palmaria en las actuaciones, donde es indubitada la existencia del ofrecimiento de caución; y, por último, el razonamiento para revocar la medida cautelar que había sido acordada en la primera instancia toma como presupuesto único </w:t>
      </w:r>
      <w:r>
        <w:lastRenderedPageBreak/>
        <w:t>y determinante dicho error, de forma tal que, en su ausencia, no resulta posible apreciar cuál hubiera sido el criterio del órgano judicial.</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a don Ricardo Antonio Rodríguez Díez el amparo solicitado y, en consecuencia:</w:t>
      </w:r>
    </w:p>
    <w:p w:rsidR="0052098F" w:rsidRDefault="0052098F" w:rsidP="0052098F">
      <w:pPr>
        <w:pStyle w:val="TextoNormal"/>
      </w:pPr>
      <w:r>
        <w:t>1º Reconocer su derecho a la tutela judicial efectiva (art. 24.1 CE).</w:t>
      </w:r>
    </w:p>
    <w:p w:rsidR="0052098F" w:rsidRDefault="0052098F" w:rsidP="0052098F">
      <w:pPr>
        <w:pStyle w:val="TextoNormal"/>
      </w:pPr>
      <w:r>
        <w:t>2º Anular los Autos de la Sección Décima de la Audiencia Provincial de Madrid de 17 de junio y 13 de octubre de 2004, dictados en el rollo de apelación núm. 248-2004.</w:t>
      </w:r>
    </w:p>
    <w:p w:rsidR="0052098F" w:rsidRDefault="0052098F" w:rsidP="0052098F">
      <w:pPr>
        <w:pStyle w:val="TextoNormal"/>
      </w:pPr>
      <w:r>
        <w:t>3º Retrotraer las actuaciones al momento de dictarse el primero de los Autos anulados para que se dicte una nueva resolución judicial respetuosa con el derecho fundamental reconocido.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8" w:name="SENTENCIA_2008_5"/>
      <w:r>
        <w:lastRenderedPageBreak/>
        <w:t>SENTENCIA 5/2008, de 21 de enero de 2008</w:t>
      </w:r>
    </w:p>
    <w:bookmarkEnd w:id="8"/>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ECLI:ES:TC:2008:5</w:t>
      </w:r>
    </w:p>
    <w:p w:rsidR="0052098F" w:rsidRDefault="0052098F" w:rsidP="0052098F">
      <w:pPr>
        <w:pStyle w:val="SntesisDescriptiva"/>
      </w:pPr>
    </w:p>
    <w:p w:rsidR="0052098F" w:rsidRDefault="0052098F" w:rsidP="0052098F">
      <w:pPr>
        <w:pStyle w:val="SntesisDescriptiva"/>
      </w:pPr>
      <w:r>
        <w:t>Recurso de amparo 1314-2005. Promovido por don Ignacio Pujana Alberdi frente a los Autos del Juzgado Central de Vigilancia Penitenciaria que desestimaron su queja contra el centro penitenciario de Algeciras por sanciones disciplinarias en relación con una alegada huelga de higiene.</w:t>
      </w:r>
    </w:p>
    <w:p w:rsidR="0052098F" w:rsidRDefault="0052098F" w:rsidP="0052098F">
      <w:pPr>
        <w:pStyle w:val="SntesisDescriptiva"/>
      </w:pPr>
    </w:p>
    <w:p w:rsidR="0052098F" w:rsidRDefault="0052098F" w:rsidP="0052098F">
      <w:pPr>
        <w:pStyle w:val="SntesisAnaltica"/>
      </w:pPr>
      <w:r>
        <w:t>Supuesta vulneración del derecho de defensa en el procedimiento administrativo sancionador y vulneración del derecho a la tutela judicial efectiva: recurso de amparo mixto; solicitud de asistencia letrada atendida; resoluciones judiciales estereotipadas.</w:t>
      </w:r>
    </w:p>
    <w:p w:rsidR="0052098F" w:rsidRDefault="0052098F" w:rsidP="0052098F">
      <w:pPr>
        <w:pStyle w:val="SntesisAnaltica"/>
      </w:pPr>
    </w:p>
    <w:p w:rsidR="0052098F" w:rsidRDefault="0052098F" w:rsidP="0052098F">
      <w:pPr>
        <w:pStyle w:val="Extracto"/>
      </w:pPr>
      <w:r>
        <w:t>1.</w:t>
      </w:r>
      <w:r>
        <w:tab/>
        <w:t>Se viola la tutela judicial efectiva si las resoluciones impugnadas se refieren exclusivamente a que los hechos resultan acreditados, a su calificación jurídica y a la proporcionalidad de la sanción impuesta, sin que se encuentre alusión alguna a las irregularidades presuntamente cometidas en el procedimiento sancionador o la falta de respuesta de dichas alegaciones en el recurso de alzada [FJ 5].</w:t>
      </w:r>
    </w:p>
    <w:p w:rsidR="0052098F" w:rsidRDefault="0052098F" w:rsidP="0052098F">
      <w:pPr>
        <w:pStyle w:val="Extracto"/>
      </w:pPr>
    </w:p>
    <w:p w:rsidR="0052098F" w:rsidRDefault="0052098F" w:rsidP="0052098F">
      <w:pPr>
        <w:pStyle w:val="Extracto"/>
      </w:pPr>
      <w:r>
        <w:t>2.</w:t>
      </w:r>
      <w:r>
        <w:tab/>
        <w:t>Doctrina sobre el reconocimiento del derecho a la tutela judicial efectiva, en su dimensión de derecho a obtener una resolución judicial motivada y congruente en el ámbito del procedimiento sancionador penitenciario (STC 268/2006) [FJ 5].</w:t>
      </w:r>
    </w:p>
    <w:p w:rsidR="0052098F" w:rsidRDefault="0052098F" w:rsidP="0052098F">
      <w:pPr>
        <w:pStyle w:val="Extracto"/>
      </w:pPr>
    </w:p>
    <w:p w:rsidR="0052098F" w:rsidRDefault="0052098F" w:rsidP="0052098F">
      <w:pPr>
        <w:pStyle w:val="Extracto"/>
      </w:pPr>
      <w:r>
        <w:t>3.</w:t>
      </w:r>
      <w:r>
        <w:tab/>
        <w:t>No existe violación del derecho a la defensa si el expediente administrativo desmiente el presupuesto fáctico de una queja por pretendida falta de respuesta de la Administración penitenciaria a la solicitud de asesoramiento por Jurista criminólogo, ya que consta que la solicitud fue atendida [FJ 4].</w:t>
      </w:r>
    </w:p>
    <w:p w:rsidR="0052098F" w:rsidRDefault="0052098F" w:rsidP="0052098F">
      <w:pPr>
        <w:pStyle w:val="Extracto"/>
      </w:pPr>
    </w:p>
    <w:p w:rsidR="0052098F" w:rsidRDefault="0052098F" w:rsidP="0052098F">
      <w:pPr>
        <w:pStyle w:val="Extracto"/>
      </w:pPr>
      <w:r>
        <w:t>4.</w:t>
      </w:r>
      <w:r>
        <w:tab/>
        <w:t>El asesoramiento para la defensa del incurso en el expediente sancionador penitenciario puede ser realizado no sólo a través de Abogado, sino también valiéndose del consejo de un funcionario o por cualquier persona que designe el interno (SSTC 74/1985, 66/2007) [FJ 4].</w:t>
      </w:r>
    </w:p>
    <w:p w:rsidR="0052098F" w:rsidRDefault="0052098F" w:rsidP="0052098F">
      <w:pPr>
        <w:pStyle w:val="Extracto"/>
      </w:pPr>
    </w:p>
    <w:p w:rsidR="0052098F" w:rsidRDefault="0052098F" w:rsidP="0052098F">
      <w:pPr>
        <w:pStyle w:val="Extracto"/>
      </w:pPr>
      <w:r>
        <w:t>5.</w:t>
      </w:r>
      <w:r>
        <w:tab/>
        <w:t>Las garantías contenidas en el art. 24.2 CE son aplicables al procedimiento disciplinario penitenciario, encontrándose entre ellas el derecho a la defensa y a la asistencia letrada (SSTC 18/1981, 66/2007) [FJ 4].</w:t>
      </w:r>
    </w:p>
    <w:p w:rsidR="0052098F" w:rsidRDefault="0052098F" w:rsidP="0052098F">
      <w:pPr>
        <w:pStyle w:val="Extracto"/>
      </w:pPr>
    </w:p>
    <w:p w:rsidR="0052098F" w:rsidRDefault="0052098F" w:rsidP="0052098F">
      <w:pPr>
        <w:pStyle w:val="Extracto"/>
      </w:pPr>
      <w:r>
        <w:t>6.</w:t>
      </w:r>
      <w:r>
        <w:tab/>
        <w:t>La subsidiariedad del recurso de amparo no implica que el Tribunal sólo pueda pronunciarse sobre una cuestión de fondo una vez que lo haya hecho la jurisdicción ordinaria, y puesto que el juicio de constitucionalidad puede ser dispensado tanto por la jurisdicción ordinaria como por la constitucional, no existe razón para demorar el enjuiciamiento de un acto administrativo ya recurrido en amparo [FJ 3].</w:t>
      </w:r>
    </w:p>
    <w:p w:rsidR="0052098F" w:rsidRDefault="0052098F" w:rsidP="0052098F">
      <w:pPr>
        <w:pStyle w:val="Extracto"/>
      </w:pPr>
    </w:p>
    <w:p w:rsidR="0052098F" w:rsidRDefault="0052098F" w:rsidP="0052098F">
      <w:pPr>
        <w:pStyle w:val="Extracto"/>
      </w:pPr>
      <w:r>
        <w:lastRenderedPageBreak/>
        <w:t>7.</w:t>
      </w:r>
      <w:r>
        <w:tab/>
        <w:t>El art. 43.1 LOTC no establece que deba obtenerse una sentencia de fondo, sino que dispone que el remedio a la violación del derecho fundamental se busque, previamente, en la vía judicial procedente, quedando, si no se logra, abierta al demandante la protección en sede constitucional (STC 31/1984) [FJ 3].</w:t>
      </w:r>
    </w:p>
    <w:p w:rsidR="0052098F" w:rsidRDefault="0052098F" w:rsidP="0052098F">
      <w:pPr>
        <w:pStyle w:val="Extracto"/>
      </w:pPr>
    </w:p>
    <w:p w:rsidR="0052098F" w:rsidRDefault="0052098F" w:rsidP="0052098F">
      <w:pPr>
        <w:pStyle w:val="Extracto"/>
      </w:pPr>
      <w:r>
        <w:t>8.</w:t>
      </w:r>
      <w:r>
        <w:tab/>
        <w:t>La ampliación de las peticiones en el trámite de alegaciones no puede ser aceptada, ya que es en la demanda de amparo donde queda fijado el objeto procesal, definiendo y delimitando la pretensión (SSTC 235/1994, 195/2007) [FJ 2].</w:t>
      </w:r>
    </w:p>
    <w:p w:rsidR="0052098F" w:rsidRDefault="0052098F" w:rsidP="0052098F">
      <w:pPr>
        <w:pStyle w:val="Extracto"/>
      </w:pPr>
    </w:p>
    <w:p w:rsidR="0052098F" w:rsidRDefault="0052098F" w:rsidP="0052098F">
      <w:pPr>
        <w:pStyle w:val="Extracto"/>
      </w:pPr>
      <w:r>
        <w:t>9.</w:t>
      </w:r>
      <w:r>
        <w:tab/>
        <w:t>Existen cuestiones que han quedado imprejuzgadas en la vía judicial pero no pueden ser resueltas por el Tribunal, al versar sobre la interpretación y aplicación de la legalidad ordinaria [FJ 6].</w:t>
      </w:r>
    </w:p>
    <w:p w:rsidR="0052098F" w:rsidRDefault="0052098F" w:rsidP="0052098F">
      <w:pPr>
        <w:pStyle w:val="Extracto"/>
      </w:pPr>
    </w:p>
    <w:p w:rsidR="0052098F" w:rsidRDefault="0052098F" w:rsidP="0052098F">
      <w:pPr>
        <w:pStyle w:val="Extracto"/>
      </w:pPr>
      <w:r>
        <w:t>10.</w:t>
      </w:r>
      <w:r>
        <w:tab/>
        <w:t>Procede el reconocimiento al recurrente de su derecho, la anulación de los Autos impugnados y la retroacción de las actuaciones al momento procesal anterior al de dictarse el primero de ellos [FJ 6].</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1314-2005, promovido por don Ignacio Pujana Alberdi, representado por la Procuradora de los Tribunales doña María Isabel Salamanca Alvaro y asistido por la Abogada doña Maritza Iliana Núñez Osorio, contra el Auto del Juzgado Central de Vigilancia Penitenciaria de 2 de febrero de 2005, que desestimó el recurso de reforma interpuesto contra el Auto de 1 de septiembre de 2004, desestimatorio a su vez del recurso de alzada contra el Acuerdo de la Comisión Disciplinaria del Centro penitenciario de Algeciras (Cádiz) de 18 de marzo de 2004, adoptado en el expediente sancionador núm. 131-2004. Ha intervenido el Ministerio Fiscal. Ha sido parte el Abogado del Estado, en la representación que ostenta. Ha sido Ponente el Magistrado don Jorge Rodríguez-Zapata Pérez,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Mediante escrito que tuvo entrada en el Registro General de este Tribunal el día 25 de febrero de 2005, don Ignacio Pujana Alberdi, interno en el Centro penitenciario de Algeciras (Cádiz), manifestó su voluntad de interponer recurso de amparo contra las resoluciones que </w:t>
      </w:r>
      <w:r>
        <w:lastRenderedPageBreak/>
        <w:t>se citan en el encabezamiento. En el mismo escrito solicitaba el nombramiento de Abogado y Procurador del turno de oficio para formular la demanda de amparo, siendo designadas doña María Isabel Salamanca Alvaro como Procuradora y doña Maritza Iliana Núñez Osorio como Abogada. Tras las referidas designaciones, el 15 de junio de 2005 se presentó la demanda de amparo.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de la demanda de amparo relevantes para la resolución de este recurso, son los siguientes: </w:t>
      </w:r>
    </w:p>
    <w:p w:rsidR="0052098F" w:rsidRDefault="0052098F" w:rsidP="0052098F">
      <w:pPr>
        <w:pStyle w:val="TextoNormal"/>
      </w:pPr>
      <w:r>
        <w:t xml:space="preserve">a) El 18 de marzo de 2004 la Comisión Disciplinaria del Centro penitenciario de Algeciras (Cádiz) acordó imponer al demandante de amparo una sanción de siete fines de semana de aislamiento en celda, como responsable de una falta muy grave prevista en el art. 108 a) del Reglamento penitenciario aprobado por Real Decreto 1201/1981, de 8 de mayo, y otra de veinticinco días de privación de paseos y actos recreativos comunes, como responsable de una falta grave del art. 109 b) del citado Reglamento, como consecuencia de que los días 4, 6, 8 y 9 de noviembre de 2003, al igual que otros internos de la misma galería, arrojó orina y excrementos por debajo de la puerta de su celda, provocando un olor insoportable en el lugar, y desobedeciendo la orden de los funcionarios de que limpiara la galería, lo que finalmente hubieron de hacer otros internos ordenanzas. </w:t>
      </w:r>
    </w:p>
    <w:p w:rsidR="0052098F" w:rsidRDefault="0052098F" w:rsidP="0052098F">
      <w:pPr>
        <w:pStyle w:val="TextoNormal"/>
      </w:pPr>
      <w:r>
        <w:t xml:space="preserve">b) El demandante de amparo interpuso recurso de alzada ante el Juzgado Central de Vigilancia Penitencia contra el referido Acuerdo sancionador. En su recurso alegaba que había carecido de asesoramiento legal durante la tramitación del expediente y que no se le había permitido acceder al material probatorio de cargo. En relación con los hechos imputados aducía que si bien durante diez días consecutivos realizó una huelga de higiene consistente en ensuciar el pasillo de la galería, sin embargo había mantenido la limpieza de su celda; además, negaba haber recibido orden directa de ningún funcionario para que limpiase el pasillo. También alegó que los hechos consistentes en la huelga de higiene no podían encuadrarse en el art. 108 a) del Reglamento penitenciario, sino que, a lo sumo, eran constitutivos de una falta subsumible en el art. 109 e) o en el art. 110 c) del indicado Reglamento. Igualmente rechazaba la comisión de la segunda de las infracciones apreciadas por la Administración penitenciaria (art. 109 b del Reglamento) ya que no recibió ninguna orden directa de limpiar el pasillo y, en cualquier caso, ensuciarlo dolosamente traía como consecuencia lógica no limpiarlo, a lo que añade que no formaba parte de sus obligaciones la limpieza del pasillo de la galería. </w:t>
      </w:r>
    </w:p>
    <w:p w:rsidR="0052098F" w:rsidRDefault="0052098F" w:rsidP="0052098F">
      <w:pPr>
        <w:pStyle w:val="TextoNormal"/>
      </w:pPr>
      <w:r>
        <w:t xml:space="preserve">c) El recurso de alzada fue desestimado por el Juzgado Central de Vigilancia Penitencia mediante Auto de 1 de septiembre de 2004, cuyo razonamiento jurídico único expresa: </w:t>
      </w:r>
    </w:p>
    <w:p w:rsidR="0052098F" w:rsidRDefault="0052098F" w:rsidP="0052098F">
      <w:pPr>
        <w:pStyle w:val="TextoNormal"/>
      </w:pPr>
      <w:r>
        <w:t xml:space="preserve">“Está acreditado en las actuaciones la comisión de los hechos que dieron lugar a la sanción impuesta, correctamente calificad[os] como constitutivos de una falta del art. 108 A del Reglamento penitenciario aprobado por Real Decreto 1201/1981 de 8 de mayo, por lo que siendo la sanción impuesta proporcional a la entidad del hecho, procede confirmar el acuerdo impugnado”. </w:t>
      </w:r>
    </w:p>
    <w:p w:rsidR="0052098F" w:rsidRDefault="0052098F" w:rsidP="0052098F">
      <w:pPr>
        <w:pStyle w:val="TextoNormal"/>
      </w:pPr>
      <w:r>
        <w:t xml:space="preserve">d) El interno presentó recurso de reforma, en el que denunciaba seguir a la espera de recibir asesoramiento legal por un jurista del centro penitenciario. </w:t>
      </w:r>
    </w:p>
    <w:p w:rsidR="0052098F" w:rsidRDefault="0052098F" w:rsidP="0052098F">
      <w:pPr>
        <w:pStyle w:val="TextoNormal"/>
      </w:pPr>
      <w:r>
        <w:t xml:space="preserve">e) El recurso fue desestimado por Auto de 2 de febrero de 2005 en consideración a que: </w:t>
      </w:r>
    </w:p>
    <w:p w:rsidR="0052098F" w:rsidRDefault="0052098F" w:rsidP="0052098F">
      <w:pPr>
        <w:pStyle w:val="TextoNormal"/>
      </w:pPr>
      <w:r>
        <w:t>“Las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3</w:t>
      </w:r>
      <w:r>
        <w:t>. El demandante de amparo alega la vulneración de su derecho a la tutela judicial efectiva (art. 24.1 CE) como consecuencia de que el Auto de 2 de febrero de 2005 carece de fundamentación, no contestando ni a las quejas referidas al expediente sancionador ni a las propias cuestiones planteadas en el recurso de reforma contra el precedente Auto de 1 de septiembre de 2004; en particular, señala que siendo dos las sanciones administrativas impugnadas, el órgano judicial sólo alude a una de ellas. De otro lado, denuncia la vulneración del derecho a la defensa (art. 24.2 CE) al no haber recibido asesoramiento jurídico durante la tramitación del expediente sancionador, pese a haberlo solicitado reiteradamente con arreglo al art. 242.2 i) del Reglamento penitenciario.</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25 de mayo de 2007 la Sección Segunda de este Tribunal acordó la admisión a trámite de la demanda de amparo y, habiéndose recibido los testimonios recabados al Juzgado Central de Vigilancia Penitenciaria de la Audiencia Nacional y al Centro penitenciario de Algeciras, se acordó, de conformidad con el art. 52 LOTC, dar vista de las actuaciones al Ministerio Fiscal y al recurrente para que en el plazo de veinte días pudieran presentar las alegaciones que a su derecho convinieran; al mismo tiempo se acordó emplazar a la Abogacía del Estado para que dentro de dicho plazo pudiera personarse y formular alegaciones, con traslado a dicho efecto de copia de la demanda de amparo y demás documentación obrante en las actuaciones.</w:t>
      </w:r>
    </w:p>
    <w:p w:rsidR="0052098F" w:rsidRDefault="0052098F" w:rsidP="0052098F">
      <w:pPr>
        <w:pStyle w:val="TextoNormal"/>
      </w:pPr>
    </w:p>
    <w:p w:rsidR="0052098F" w:rsidRDefault="0052098F" w:rsidP="0052098F">
      <w:pPr>
        <w:pStyle w:val="TextoNormal"/>
      </w:pPr>
      <w:r w:rsidRPr="0052098F">
        <w:rPr>
          <w:rStyle w:val="NumeroAFNegritaCaracter"/>
        </w:rPr>
        <w:t>5</w:t>
      </w:r>
      <w:r>
        <w:t>. El Abogado del Estado presentó su escrito de alegaciones el 13 de junio de 2007, solicitando la desestimación del recurso de amparo por considerar que la asistencia jurídica se ofreció y prestó al recurrente, siendo cosa distinta el uso que del servicio hizo el interno, sin que nada haga suponer la existencia de indefensión. El demandante de amparo, añade el Abogado del Estado, formuló un bien razonado escrito de impugnación ante el Juzgado de Vigilancia Penitenciaria en el que vino a reconocer los hechos y su participación en los mismos, quedando cifrada su discrepancia en la tipificación jurídica de tales hechos, sobre los que el juzgador formula un razonamiento suficiente.</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El Ministerio Fiscal presentó sus alegaciones en escrito registrado el 26 de junio de 2007. Entiende que el Auto de 1 de septiembre de 2004 presenta graves deficiencias: en primer lugar, contiene una contradicción evidente en cuanto al Acuerdo sancionador, ya que frente a las dos faltas apreciadas sólo acaba confirmando una, sin mayor motivación y después de afirmar apodícticamente que están acreditados los hechos, que están correctamente calificados y que la sanción es proporcional; sin responder de forma mínima a las cuestiones planteadas en las alegaciones sobre los hechos, calificación y proporcionalidad, pero dejando inexistente, como pretendía el recurrente, la segunda falta calificada como del art. 109 b) del Real Decreto 1201/81, de 8 de mayo, lo que supondría una estimación parcial inmotivada. Adicionalmente, no se plantea, ni motiva, ni fundamenta, ni responde —ni expresa ni implícitamente— en relación con las alegaciones del recurso de alzada relativas a la lesión del derecho de defensa en el expediente sancionador. En segundo lugar, el interno recurre en reforma, volviendo a insistir en la vulneración del derecho a la defensa (art. 24.2 CE) y añadiendo que la negativa judicial al amparo de tal derecho supone una vulneración del derecho a la tutela judicial efectiva (art. 24.1 CE); a pesar de lo cual el Auto de 2 de febrero de 2005 vuelve a no pronunciarse ni sobre la vulneración inicialmente formulada relativa al derecho de defensa ni sobre la nueva vulneración propugnada, respondiendo con una fórmula estereotipada impresa. En consecuencia, el Fiscal solicita el otorgamiento del </w:t>
      </w:r>
      <w:r>
        <w:lastRenderedPageBreak/>
        <w:t>amparo, por vulneración del art. 24.1 CE, con la consiguiente anulación de los Autos judiciales impugnados, a fin de que, previa retroacción de las actuaciones, se dicte una nueva resolución judicial respetuosa con el derecho fundamental vulnerado.</w:t>
      </w:r>
    </w:p>
    <w:p w:rsidR="0052098F" w:rsidRDefault="0052098F" w:rsidP="0052098F">
      <w:pPr>
        <w:pStyle w:val="TextoNormal"/>
      </w:pPr>
    </w:p>
    <w:p w:rsidR="0052098F" w:rsidRDefault="0052098F" w:rsidP="0052098F">
      <w:pPr>
        <w:pStyle w:val="TextoNormal"/>
      </w:pPr>
      <w:r w:rsidRPr="0052098F">
        <w:rPr>
          <w:rStyle w:val="NumeroAFNegritaCaracter"/>
        </w:rPr>
        <w:t>7</w:t>
      </w:r>
      <w:r>
        <w:t>. La representación procesal del recurrente dio cumplimiento al trámite de alegaciones conferido, mediante escrito presentado el 28 de junio de 2007, en el que reiteró las efectuadas en el escrito de demanda, si bien que con alguna diferencia. Así, la ausencia de respuesta por el órgano judicial a las cuestiones planteadas, además de implicar la ya denunciada carencia de motivación, es calificada como constitutiva de una incongruencia omisiva (art. 24.1 CE). Por otra parte, se incorpora la queja de haber sufrido vulneración del derecho a la utilización de los medios de prueba pertinentes para la defensa (art. 24.2 CE) como consecuencia de que en la vía administrativa se denegó la práctica de las pruebas documental y testifical solicitadas, así como el acceso al expediente sancionador. Por lo demás se reitera la queja de vulneración del derecho de defensa, derivada de no haber tenido el oportuno asesoramiento jurídico (art. 24.2 CE).</w:t>
      </w:r>
    </w:p>
    <w:p w:rsidR="0052098F" w:rsidRDefault="0052098F" w:rsidP="0052098F">
      <w:pPr>
        <w:pStyle w:val="TextoNormal"/>
      </w:pPr>
    </w:p>
    <w:p w:rsidR="0052098F" w:rsidRDefault="0052098F" w:rsidP="0052098F">
      <w:pPr>
        <w:pStyle w:val="TextoNormal"/>
      </w:pPr>
      <w:r w:rsidRPr="0052098F">
        <w:rPr>
          <w:rStyle w:val="NumeroAFNegritaCaracter"/>
        </w:rPr>
        <w:t>8</w:t>
      </w:r>
      <w:r>
        <w:t>. Por providencia de 17 de enero de 2008 se señaló para la deliberación y votación de la presente Sentencia el día 21 del mismo mes y año, trámite que ha finalizado en el día de hoy.</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demanda de amparo, presentada por don Ignacio Pujana Alberdi, se dirige contra el Auto del Juzgado Central de Vigilancia Penitenciaria de la Audiencia Nacional de 2 de febrero de 2005, desestimatorio del recurso de reforma interpuesto contra el Auto de 1 de septiembre de 2004, que desestimó en alzada su queja contra el Acuerdo de 18 de marzo de 2004 de la Comisión Disciplinaria del Centro penitenciario de Algeciras (Cádiz), mediante el que se le impuso una sanción de siete fines de semana de aislamiento en celda, como responsable de una falta muy grave prevista en el art. 108 a) del Reglamento penitenciario aprobado por Real Decreto 1201/1981, de 8 de mayo (“instigar o participar en motines, plantes o desórdenes colectivos, así como las conductas individuales que atenten gravemente contra la seguridad, régimen y convivencia del Centro Penitenciario”) y otra de veinticinco días de privación de paseos y actos recreativos comunes, como responsable de una falta grave del art. 109 b) del citado Reglamento (“desobedecer las órdenes recibidas o resistirse a cumplirlas activa o pasivamente”).</w:t>
      </w:r>
    </w:p>
    <w:p w:rsidR="0052098F" w:rsidRDefault="0052098F" w:rsidP="0052098F">
      <w:pPr>
        <w:pStyle w:val="TextoNormal"/>
      </w:pPr>
      <w:r>
        <w:t>Conforme ha quedado expuesto en los antecedentes de esta resolución, se queja el demandante de la vulneración de su derecho fundamental a la defensa (art. 24.2 CE) como consecuencia de no haber recibido asesoramiento jurídico durante la tramitación del expediente sancionador, pese a haberlo solicitado reiteradamente con arreglo al art. 242.2 i) del Reglamento penitenciario. Igualmente denuncia que el Juzgado Central de Vigilancia Penitenciaria no sólo no reparó la aludida lesión, sino que los Autos dictados carecen de adecuada motivación, no contestando ni a las quejas referidas al expediente sancionador ni a las propias cuestiones planteadas en el recurso de reforma, vulnerándose por ello el derecho a la tutela judicial efectiva (art. 24.1 CE).</w:t>
      </w:r>
    </w:p>
    <w:p w:rsidR="0052098F" w:rsidRDefault="0052098F" w:rsidP="0052098F">
      <w:pPr>
        <w:pStyle w:val="TextoNormal"/>
      </w:pPr>
      <w:r>
        <w:t>A la petición de amparo se suma parcialmente el Ministerio Fiscal. Apreciando que las resoluciones judiciales impugnadas constituyen una fórmula estereotipada y que no exami</w:t>
      </w:r>
      <w:r>
        <w:lastRenderedPageBreak/>
        <w:t>nan realmente las cuestiones planteadas por el recurrente, solicita el otorgamiento del amparo por vulneración del art. 24.1 CE, con la consiguiente anulación de los Autos judiciales impugnados, a fin de que, previa retroacción de las actuaciones, se dicte una nueva resolución judicial respetuosa con el derecho fundamental vulnerado. Por esta razón, el Fiscal no se pronuncia sobre la queja referida a la lesión del derecho de defensa del recurrente (art. 24.2 CE) en la tramitación del expediente administrativo sancionador.</w:t>
      </w:r>
    </w:p>
    <w:p w:rsidR="0052098F" w:rsidRDefault="0052098F" w:rsidP="0052098F">
      <w:pPr>
        <w:pStyle w:val="TextoNormal"/>
      </w:pPr>
      <w:r>
        <w:t>El Abogado del Estado, por su parte, solicita la desestimación del recurso de amparo por considerar que la asistencia jurídica se ofreció y prestó, siendo cosa distinta el uso que del servicio hizo el interno, sin que nada haga suponer la existencia de indefensión puesto que formuló un bien razonado escrito ante el Juzgado Central de Vigilancia Penitenciaria en el que vino a reconocer los hechos y su participación en los mismos, quedando cifrada su discrepancia en la tipificación jurídica de tales hechos, sobre los que el juzgador formula un razonamiento suficiente.</w:t>
      </w:r>
    </w:p>
    <w:p w:rsidR="0052098F" w:rsidRDefault="0052098F" w:rsidP="0052098F">
      <w:pPr>
        <w:pStyle w:val="TextoNormal"/>
      </w:pPr>
    </w:p>
    <w:p w:rsidR="0052098F" w:rsidRDefault="0052098F" w:rsidP="0052098F">
      <w:pPr>
        <w:pStyle w:val="TextoNormal"/>
      </w:pPr>
      <w:r w:rsidRPr="0052098F">
        <w:rPr>
          <w:rStyle w:val="NumeroAFNegritaCaracter"/>
        </w:rPr>
        <w:t>2</w:t>
      </w:r>
      <w:r>
        <w:t>. Antes de entrar en el examen de las quejas articuladas por el demandante es necesario realizar alguna precisión en relación con la pretensión planteada. El recurrente, en el trámite de alegaciones regulado en el art. 52 LOTC, ha ampliado las peticiones contenidas en la demanda, extendiendo su queja también a la vulneración del derecho a la utilización de los medios de prueba pertinentes para la defensa (art. 24.2 CE), no contenida en el escrito rector del proceso. Pues bien, tal ampliación no puede ser aceptada en modo alguno porque, conforme a nuestra reiterada jurisprudencia, es en la demanda de amparo donde queda fijado el objeto procesal, definiendo y delimitando la pretensión, pues en ella ha de individualizarse la causa petendi, sin que sean viables las alteraciones introducidas con ulteriores alegaciones, cuya ratio es completar y, en su caso, reforzar la fundamentación del recurso, mas no ampliarlo o variarlo sustancialmente. En consecuencia, no cabe admitir en este proceso la nueva pretensión que el recurrente añade a la realizada en su demanda (entre otras muchas, SSTC 235/1994, de 20 de julio, FJ 1; y 195/2007, de 11 de septiembre, FJ 2).</w:t>
      </w:r>
    </w:p>
    <w:p w:rsidR="0052098F" w:rsidRDefault="0052098F" w:rsidP="0052098F">
      <w:pPr>
        <w:pStyle w:val="TextoNormal"/>
      </w:pPr>
    </w:p>
    <w:p w:rsidR="0052098F" w:rsidRDefault="0052098F" w:rsidP="0052098F">
      <w:pPr>
        <w:pStyle w:val="TextoNormal"/>
      </w:pPr>
      <w:r w:rsidRPr="0052098F">
        <w:rPr>
          <w:rStyle w:val="NumeroAFNegritaCaracter"/>
        </w:rPr>
        <w:t>3</w:t>
      </w:r>
      <w:r>
        <w:t>. Una segunda precisión es la de que estamos ante un recurso de amparo de naturaleza mixta, resultado de la acumulación de dos pretensiones impugnatorias en una misma demanda. Por el cauce del art. 43.1 LOTC se impugna la resolución administrativa sancionadora, a la que se imputa la vulneración del derecho de defensa (art. 24.2 CE) como consecuencia de haberse denegado al recurrente el asesoramiento legal solicitado durante la tramitación del expediente sancionador; se aduce que esta lesión no fue corregida por la jurisdicción ordinaria por lo que, agotada la vía judicial, se impetra el amparo frente a la resolución administrativa. A la vez, por el cauce del art. 44 LOTC se recurren los Autos dictados por el órgano judicial, a los que el demandante considera incursos en incongruencia omisiva generadora de la vulneración del derecho a la tutela judicial efectiva (art. 24.1 CE).</w:t>
      </w:r>
    </w:p>
    <w:p w:rsidR="0052098F" w:rsidRDefault="0052098F" w:rsidP="0052098F">
      <w:pPr>
        <w:pStyle w:val="TextoNormal"/>
      </w:pPr>
      <w:r>
        <w:t xml:space="preserve">Se plantea por tanto, una vez más, cuál sea el orden que deba seguirse en el enjuiciamiento de las vulneraciones alegadas, y si deben serlo todas ellas. Pese a la variedad de posiciones desde las que hemos abordado esta cuestión —de las que se hace eco la STC 196/2006, de 3 de julio (FJ 2), en el ámbito de las sanciones penitenciarias— puede sostenerse como criterio general que en los amparos mixtos la pretensión deducida por la vía del art. 43 LOTC es autónoma y su examen resulta, en principio, preeminente. En efecto, la lesión imputada a la actuación administrativa es autónoma respecto del proceso judicial que precede al recurso de amparo; de otro modo la previsión del art. 43 LOTC no pasaría de ser una especificación redundante del art. 44 LOTC, puesto que, ciertamente, toda lesión de un </w:t>
      </w:r>
      <w:r>
        <w:lastRenderedPageBreak/>
        <w:t>derecho constitucional susceptible de amparo atribuida a una actuación administrativa podría denunciarse por el cauce del art. 44 LOTC en la medida en que no hubiera obtenido reparación en la jurisdicción ordinaria. Por su parte, la preeminencia de la pretensión impugnatoria del art. 43 LOTC no se refiere sólo ni primordialmente al orden en el que normalmente deban ser examinadas las quejas formuladas en la demanda de amparo sino, sobre todo, a la incidencia que el pronunciamiento sobre la constitucionalidad de la actuación administrativa pueda tener sobre la queja encauzada por la vía del art. 44 LOTC, hasta el punto de poder hacer innecesario el examen de esta última o de dotar de efectos meramente declarativos al otorgamiento del amparo. Esta preeminencia tiene su fundamento en que la comisión de una lesión constitucional en el transcurso del proceso judicial no impide que el acto administrativo siga siendo el verdadero objeto del proceso de amparo que finalmente deviene en mixto.</w:t>
      </w:r>
    </w:p>
    <w:p w:rsidR="0052098F" w:rsidRDefault="0052098F" w:rsidP="0052098F">
      <w:pPr>
        <w:pStyle w:val="TextoNormal"/>
      </w:pPr>
      <w:r>
        <w:t>Según se ha expuesto, el Ministerio Fiscal solicita el otorgamiento del amparo por vulneración del art. 24.1 CE, con la consiguiente anulación de los Autos judiciales impugnados, a fin de que, previa retroacción de las actuaciones, se dicte una nueva resolución judicial respetuosa con el derecho fundamental vulnerado; y por esta razón, el Fiscal no se pronuncia sobre la queja referida a la lesión del derecho de defensa del recurrente en la tramitación del expediente administrativo sancionador.</w:t>
      </w:r>
    </w:p>
    <w:p w:rsidR="0052098F" w:rsidRDefault="0052098F" w:rsidP="0052098F">
      <w:pPr>
        <w:pStyle w:val="TextoNormal"/>
      </w:pPr>
      <w:r>
        <w:t>Sin embargo, la subsidiariedad del recurso de amparo, nota que de modo constante hemos resaltado, no implica que este Tribunal Constitucional sólo pueda pronunciarse sobre una cuestión de fondo una vez que lo haya hecho la jurisdicción ordinaria.  En la STC 31/1984, de 7 de marzo, tuvimos ocasión de señalar que “el art. 43.1 [LOTC] no establece que deba obtenerse una sentencia de fondo; lo que dispone es que el remedio a la violación del derecho fundamental se busque, previamente, en la vía judicial procedente, y si no se logra —por estimaciones procesales o por consideraciones de fondo— queda al demandante abierta la protección en sede constitucional” (FJ 6, in fine).</w:t>
      </w:r>
    </w:p>
    <w:p w:rsidR="0052098F" w:rsidRDefault="0052098F" w:rsidP="0052098F">
      <w:pPr>
        <w:pStyle w:val="TextoNormal"/>
      </w:pPr>
      <w:r>
        <w:t>Puesto que el juicio de constitucionalidad puede ser dispensado tanto por la jurisdicción ordinaria como por la constitucional, no existe razón para demorar el enjuiciamiento de un acto administrativo ya recurrido en amparo. Lo contrario haría de peor condición a quien además de haber padecido una vulneración de sus derechos originada por la Administración hubiera sufrido otra lesión añadida, causada por el órgano judicial, frente a quien sólo ha sufrido la primera, pues así como éste obtendría una reparación inmediata en sede de amparo, aquél vería retrotraída la causa a la jurisdicción ordinaria para que allí se repare la lesión sufrida al intentar corregir la lesión administrativa originaria. Lo cual tendría un efecto retardatorio para la tutela del derecho sustantivo en juego que hemos rechazado en numerosas ocasiones (así, SSTC 220/2005, de 12 de septiembre, FJ 2; 307/2006, de 23 de octubre, FJ 2; y 62/2007, de 27 de marzo, FJ 2).</w:t>
      </w:r>
    </w:p>
    <w:p w:rsidR="0052098F" w:rsidRDefault="0052098F" w:rsidP="0052098F">
      <w:pPr>
        <w:pStyle w:val="TextoNormal"/>
      </w:pPr>
    </w:p>
    <w:p w:rsidR="0052098F" w:rsidRDefault="0052098F" w:rsidP="0052098F">
      <w:pPr>
        <w:pStyle w:val="TextoNormal"/>
      </w:pPr>
      <w:r w:rsidRPr="0052098F">
        <w:rPr>
          <w:rStyle w:val="NumeroAFNegritaCaracter"/>
        </w:rPr>
        <w:t>4</w:t>
      </w:r>
      <w:r>
        <w:t>. En consonancia con lo que se acaba de expresar debemos comenzar con el examen de la queja articulada por la vía del art. 43.1 LOTC, referida a la vulneración del derecho de defensa (art. 24.2 CE) como consecuencia de haberse denegado al recurrente el asesoramiento legal solicitado durante la tramitación del expediente sancionador.</w:t>
      </w:r>
    </w:p>
    <w:p w:rsidR="0052098F" w:rsidRDefault="0052098F" w:rsidP="0052098F">
      <w:pPr>
        <w:pStyle w:val="TextoNormal"/>
      </w:pPr>
      <w:r>
        <w:t xml:space="preserve">Su enjuiciamiento debe ir precedido del recordatorio de que constituye reiterada doctrina de este Tribunal, desde la STC 18/1981, de 8 de junio, que las garantías contenidas en el art.  24.2 CE son aplicables no sólo al proceso penal, sino también, con las matizaciones derivadas de su propia naturaleza, a los procedimientos administrativos sancionadores y, en concreto, al procedimiento disciplinario penitenciario, ámbito en el hemos afirmado que estas garantías deben aplicarse con especial vigor, al considerar que la sanción supone una grave </w:t>
      </w:r>
      <w:r>
        <w:lastRenderedPageBreak/>
        <w:t>limitación de la ya restringida libertad inherente al cumplimiento de una pena, sin que la relación de sujeción especial del interno en un establecimiento penitenciario pueda implicar la privación de sus derechos fundamentales, en los términos previstos en el art. 25.2 CE. Y, precisando el alcance de las matizaciones debidas a que se trata de procedimientos sancionadores y no del proceso penal, hemos mantenido que, entre las garantías aplicables ex art. 24.2 CE en los procedimientos sancionadores en el ámbito penitenciario, se encuentran el derecho a la defensa y a la asistencia letrada (por todas, SSTC 81/2000, de 27 de marzo, FJ 2; 27/2001, de 29 de enero, FJ 8; 116/2002, de 20 de mayo, FJ 4; 236/2002, de 9 de diciembre, FJ 2; 9/2003, de 20 de enero, FJ 3; 91/2004, de 19 de mayo, FJ 3; y 66/2007, de 27 de marzo, FJ 3).</w:t>
      </w:r>
    </w:p>
    <w:p w:rsidR="0052098F" w:rsidRDefault="0052098F" w:rsidP="0052098F">
      <w:pPr>
        <w:pStyle w:val="TextoNormal"/>
      </w:pPr>
      <w:r>
        <w:t>Más concretamente, por lo que se refiere al derecho de defensa en el ámbito de los expedientes sancionadores penitenciarios, hemos afirmado que, en virtud de lo dispuesto en el art. 242.2 del Reglamento penitenciario, aprobado por Real Decreto 190/1996, de 9 de febrero, el asesoramiento para la defensa del incurso en el expediente puede ser realizada no solamente a través de Abogado (aunque su intervención no sea preceptiva), sino también valiéndose del consejo de un funcionario, normalmente el Jurista criminólogo del centro penitenciario, como constaba ya en los arts. 130.1 y 281.5 del Reglamento penitenciario de 1981 [SSTC 74/1985, de 18 de junio, FJ 3; 2/1987, de 21 de enero, FJ 6; 190/1987, de 1 de diciembre, FJ 3; 192/1987, de 2 de diciembre FJ 2 b); 161/1993, de 17 de mayo, FJ 4; 143/1995, de 3 de octubre, FJ 4; 128/1996, de 9 de julio, FJ 6; y 66/2007, de 27 de marzo, FJ 4]. Además, el propio Reglamento penitenciario permite que el asesoramiento para la defensa en un expediente disciplinario se lleve a cabo “por cualquier persona que designe” el interno. Esta misma doctrina subraya la relevancia de la posibilidad de asesorarse legalmente el interno como garantía para preparar adecuadamente su defensa en el procedimiento disciplinario frente a los cargos que le imputan, de suerte que la ausencia de respuesta por parte de la Administración penitenciaria a la solicitud de asesoramiento legal del interno se considera lesiva del derecho a la defensa garantizado por el art.  24.2 CE, como hemos tenido ocasión de declarar en diversas ocasiones (por todas, SSTC 161/1993, de 17 de mayo, FJ 4; 143/1995, de 3 de octubre, FJ 4; 181/1999, de 11 de octubre, FJ 4; 236/2002, de 9 de diciembre, FJ 4; y 66/2007, de 27 de marzo, FJ 4).</w:t>
      </w:r>
    </w:p>
    <w:p w:rsidR="0052098F" w:rsidRDefault="0052098F" w:rsidP="0052098F">
      <w:pPr>
        <w:pStyle w:val="TextoNormal"/>
      </w:pPr>
      <w:r>
        <w:t>Ahora bien, del examen de las actuaciones resulta que la queja del recurrente relativa a la pretendida falta de respuesta de la Administración penitenciaria a la solicitud de asesoramiento por Jurista criminólogo del Centro, carece de fundamento, por cuanto —en contra de lo afirmado en la demanda de amparo— el expediente administrativo desmiente el presupuesto fáctico de esta queja, ya que consta que la solicitud de asesoramiento legal durante la tramitación del expediente disciplinario fue atendida.  En efecto, en el pliego de cargos elaborado por el Instructor del expediente el 2 de febrero de 2004, de conformidad con lo previsto en el art. 242.2 del Reglamento penitenciario, se informa al interno de que durante la tramitación del expediente y para la redacción del pliego de descargos podrá asesorarse por Letrado, por funcionario o por cualquier persona que designe. Notificado dicho pliego de cargos al recurrente, éste solicitó asesoramiento por el Jurista criminólogo del centro penitenciario, constando que tal solicitud fue atendida, prestando el Jurista su asesoramiento al recurrente el 5 de febrero y el 9 de marzo de 2004, por lo que ninguna vulneración del derecho de defensa cabe apreciar y, en consecuencia, la queja debe rechazarse.</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Descartada la impugnación planteada por la vía del art. 43.1 LOTC, resulta necesario enjuiciar la queja encuadrada en el art. 44 LOTC, que se dirige contra los Autos del Juzgado Central de Vigilancia Penitenciaria, dictados primero en alzada y luego en reforma, por </w:t>
      </w:r>
      <w:r>
        <w:lastRenderedPageBreak/>
        <w:t>considerarlos incursos en incongruencia omisiva generadora de la vulneración del derecho a la tutela judicial efectiva (art. 24.1 CE).</w:t>
      </w:r>
    </w:p>
    <w:p w:rsidR="0052098F" w:rsidRDefault="0052098F" w:rsidP="0052098F">
      <w:pPr>
        <w:pStyle w:val="TextoNormal"/>
      </w:pPr>
      <w:r>
        <w:t>Su examen debe partir de la reiterada doctrina constitucional sobre el reconocimiento de este derecho fundamental, en su dimensión de derecho a obtener una resolución judicial motivada y congruente, en el concreto ámbito del procedimiento sancionador penitenciario, doctrina que se sintetiza en la STC 268/2006, de 11 de septiembre (FFJJ 2 y 3), y que en lo que ahora interesa implica que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También hemos reiterado que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w:t>
      </w:r>
    </w:p>
    <w:p w:rsidR="0052098F" w:rsidRDefault="0052098F" w:rsidP="0052098F">
      <w:pPr>
        <w:pStyle w:val="TextoNormal"/>
      </w:pPr>
      <w:r>
        <w:t>El examen de las actuaciones pone de manifiesto que el interno, en su recurso de alzada ante el Juez Central de Vigilancia Penitenciaria, denunciaba que había carecido de asesoramiento legal durante la tramitación del expediente sancionador y que no se le había permitido acceder al material probatorio de cargo. En relación con los hechos imputados aducía que si bien durante diez días consecutivos realizó una huelga de higiene consistente en ensuciar el pasillo de la galería, sin embargo había mantenido la limpieza de su celda; además, negaba haber recibido orden directa de ningún funcionario para que limpiase el pasillo. También alegó que los hechos consistentes en la huelga de higiene no podían subsumirse en el art. 108 a) del Reglamento penitenciario, sino que, a lo sumo, eran constitutivos de una falta subsumible en el art. 109 e) o en el art.  110 c) del indicado Reglamento. Igualmente rechazaba la comisión de la segunda de las infracciones apreciadas por la Administración penitenciaria (art.  109.b del Reglamento) ya que no recibió ninguna orden directa de limpiar el pasillo y, en cualquier caso, ensuciarlo dolosamente traía como consecuencia lógica no limpiarlo, a lo que se añade que no formaba parte de sus obligaciones la limpieza del pasillo de la galería.</w:t>
      </w:r>
    </w:p>
    <w:p w:rsidR="0052098F" w:rsidRDefault="0052098F" w:rsidP="0052098F">
      <w:pPr>
        <w:pStyle w:val="TextoNormal"/>
      </w:pPr>
      <w:r>
        <w:t>Frente a estas alegaciones, el Juzgado, por Auto de 30 de julio de 2004, desestima el recurso limitándose a afirmar que “[E]stá acreditado en las actuaciones la comisión de los hechos que dieron lugar a la sanción impuesta, correctamente calificad[os] como constitutivos de una falta del art. 108 A y 109 B del Reglamento Penitenciario aprobado por Real Decreto 1201/1981 de 8 de mayo, por lo que siendo la sanción impuesta proporcional a la entidad del hecho, procede confirmar el acuerdo impugnado”.</w:t>
      </w:r>
    </w:p>
    <w:p w:rsidR="0052098F" w:rsidRDefault="0052098F" w:rsidP="0052098F">
      <w:pPr>
        <w:pStyle w:val="TextoNormal"/>
      </w:pPr>
      <w:r>
        <w:t>Contra dicho Auto volvió a recurrir el interno en reforma, aduciendo la inexactitud de los datos y falsedades de la acusación que se le imputaba, al tiempo que denunciaba seguir a la espera de recibir asesoramiento legal de un jurista del centro penitenciario para poder defenderse en el expediente sancionador. El Juez Central de Vigilancia Penitenciaria dictó un Auto el 14 de octubre de 2004, desestimando el recurso, con el siguiente fundamento: “Las alegaciones contenidas en el escrito del recurrente no aportan hechos, razones o argu</w:t>
      </w:r>
      <w:r>
        <w:lastRenderedPageBreak/>
        <w:t>mentos distintos a los ya expuestos en el recurso de alzada sino que contienen una interpretación subjetiva y diferente de los hechos o la valoración jurídica que se hacen en el auto recurrido, por lo que procede su desestimación”.</w:t>
      </w:r>
    </w:p>
    <w:p w:rsidR="0052098F" w:rsidRDefault="0052098F" w:rsidP="0052098F">
      <w:pPr>
        <w:pStyle w:val="TextoNormal"/>
      </w:pPr>
      <w:r>
        <w:t>De lo expuesto se deriva que las resoluciones impugnadas se refieren exclusivamente a que los hechos resultan acreditados, a su calificación jurídica y a la proporcionalidad de la sanción impuesta, sin que, ni de forma implícita ni explícita, se encuentre alusión alguna a las irregularidades presuntamente cometidas en el procedimiento sancionador o a la falta de respuesta de dichas alegaciones en el recurso de alzada. Por consiguiente ha de darse la razón al recurrente en cuanto a que el Juzgado Central de Vigilancia Penitenciaria incurrió en denegación de tutela al no dar respuesta a sus pretensiones.</w:t>
      </w:r>
    </w:p>
    <w:p w:rsidR="0052098F" w:rsidRDefault="0052098F" w:rsidP="0052098F">
      <w:pPr>
        <w:pStyle w:val="TextoNormal"/>
      </w:pPr>
    </w:p>
    <w:p w:rsidR="0052098F" w:rsidRDefault="0052098F" w:rsidP="0052098F">
      <w:pPr>
        <w:pStyle w:val="TextoNormal"/>
      </w:pPr>
      <w:r w:rsidRPr="0052098F">
        <w:rPr>
          <w:rStyle w:val="NumeroAFNegritaCaracter"/>
        </w:rPr>
        <w:t>6</w:t>
      </w:r>
      <w:r>
        <w:t>. Llegados a este punto debemos fijar, con arreglo a lo dispuesto en el art. 55 LOTC, el alcance del amparo otorgado, atendiendo a la peculiaridad que concurre en los amparos de naturaleza mixta.</w:t>
      </w:r>
    </w:p>
    <w:p w:rsidR="0052098F" w:rsidRDefault="0052098F" w:rsidP="0052098F">
      <w:pPr>
        <w:pStyle w:val="TextoNormal"/>
      </w:pPr>
      <w:r>
        <w:t>Según ha quedado expuesto, hemos rechazado que se haya producido la lesión del derecho de defensa (art. 24.2 CE), único reproche dirigido en la demanda de amparo contra el acto administrativo. Por el contrario, hemos apreciado que en el proceso judicial subsiguiente se ha vulnerado el derecho a la tutela judicial efectiva (art. 24.1 CE), en su dimensión de derecho a obtener una resolución judicial congruente con las pretensiones deducidas en el propio proceso.</w:t>
      </w:r>
    </w:p>
    <w:p w:rsidR="0052098F" w:rsidRDefault="0052098F" w:rsidP="0052098F">
      <w:pPr>
        <w:pStyle w:val="TextoNormal"/>
      </w:pPr>
      <w:r>
        <w:t>Generalmente, una vez descartada la inconstitucionalidad del acto administrativo y si no se atribuye a las resoluciones judiciales otra tacha que la de no haber reparado las supuestas vulneraciones producidas en la vía administrativa, entonces y en tal caso no existe una lesión constitucional autónoma causada por el órgano judicial, limitándose el proceso a cumplir la finalidad de provocar el agotamiento de la vía judicial procedente (art. 43.1 LOTC) posibilitando la interposición del recurso de amparo.</w:t>
      </w:r>
    </w:p>
    <w:p w:rsidR="0052098F" w:rsidRDefault="0052098F" w:rsidP="0052098F">
      <w:pPr>
        <w:pStyle w:val="TextoNormal"/>
      </w:pPr>
      <w:r>
        <w:t>Por el contrario, cuando en la vía judicial se hubiera producido una lesión constitucional autónoma deberán delimitarse en la Sentencia constitucional los efectos que de ello se deriven para el acto administrativo y para las resoluciones judiciales.  En particular, cuando la lesión alegada tenga carácter procesal —por referirse a alguna de las vertientes o dimensiones del art. 24.1 CE— este Tribunal podrá excluir el enjuiciamiento de la queja formulada por el cauce del art. 44 LOTC o dotar a su pronunciamiento de un alcance meramente declarativo siempre que resulte improcedente la retroacción de las actuaciones como consecuencia de que la Sentencia constitucional haya descartado la inconstitucionalidad del acto administrativo.</w:t>
      </w:r>
    </w:p>
    <w:p w:rsidR="0052098F" w:rsidRDefault="0052098F" w:rsidP="0052098F">
      <w:pPr>
        <w:pStyle w:val="TextoNormal"/>
      </w:pPr>
      <w:r>
        <w:t xml:space="preserve">Ahora bien, en el presente caso, aunque descartada la inconstitucionalidad del acto administrativo, subsisten todavía las cuestiones referidas a la vulneración de la legalidad ordinaria, aspecto sobre el que este Tribunal no puede pronunciarse por ser ajeno a su competencia, lo que hace inevitable la retroacción de lo actuado en la vía ordinaria. En efecto, el recurso de alzada presentado ante el Juzgado Central de Vigilancia Penitenciaria no se sustentó exclusivamente en la supuesta violación de las garantías constitucionales con que se desarrolló el procedimiento sancionador sino que en él también se expresó una discrepancia acerca de la calificación jurídica de los hechos sancionados. En particular, se alegó que los hechos consistentes en la huelga de higiene no podían encuadrarse en el art. 108 a) del Reglamento penitenciario, sino que, a lo sumo, eran constitutivos de una falta subsumible en el art. 109 e) o en el art. 110 c) del indicado Reglamento; igualmente se rechazó la comisión de la segunda de las infracciones apreciadas por la Administración penitenciaria (art. 109.b del Reglamento) aduciendo que el recurrente no recibió ninguna orden directa de limpiar el </w:t>
      </w:r>
      <w:r>
        <w:lastRenderedPageBreak/>
        <w:t>pasillo y que, en cualquier caso, ensuciarlo dolosamente traía como consecuencia lógica no limpiarlo, a lo que añade que no formaba parte de las obligaciones del recurrente la limpieza del pasillo de la galería. La contestación a estas cuestiones no puede considerarse irrelevante o que haya perdido su relevancia como consecuencia de que hayamos descartado la lesión del derecho de defensa del recurrente; por el contrario, constituyen la oposición de fondo del interno ya que, en realidad, la petición de asesoramiento jurídico no tenía sino un carácter instrumental, destinado a lograr que prosperasen sus alegaciones acerca del modo en que se había aplicado la normativa penitenciaria.</w:t>
      </w:r>
    </w:p>
    <w:p w:rsidR="0052098F" w:rsidRDefault="0052098F" w:rsidP="0052098F">
      <w:pPr>
        <w:pStyle w:val="TextoNormal"/>
      </w:pPr>
      <w:r>
        <w:t>Ciertamente, estas cuestiones han quedado imprejuzgadas en la vía judicial pero no pueden ser resueltas por este Tribunal, al versar sobre la interpretación y aplicación de la legalidad ordinaria. Por consiguiente el amparo consistirá en el reconocimiento al recurrente de su derecho a la tutela judicial efectiva, la anulación de los Autos impugnados y ordenar la retroacción de las actuaciones al momento procesal anterior al de dictarse el primero de ellos, a fin de que se dicte nueva resolución respetuosa con el derecho fundamental reconocido que resuelva exclusivamente las cuestiones de legalidad ordinaria planteadas en el recurso de alzada.</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parcialmente la demanda de amparo presentada por don Ignacio Pujana Alberdi y, en su virtud:</w:t>
      </w:r>
    </w:p>
    <w:p w:rsidR="0052098F" w:rsidRDefault="0052098F" w:rsidP="0052098F">
      <w:pPr>
        <w:pStyle w:val="TextoNormal"/>
      </w:pPr>
      <w:r>
        <w:t>1º Reconocer su derecho a la tutela judicial efectiva (art. 24.1 CE).</w:t>
      </w:r>
    </w:p>
    <w:p w:rsidR="0052098F" w:rsidRDefault="0052098F" w:rsidP="0052098F">
      <w:pPr>
        <w:pStyle w:val="TextoNormal"/>
      </w:pPr>
      <w:r>
        <w:t>2º Declarar la nulidad de los Autos del Juzgado Central de Vigilancia Penitenciaria de la Audiencia Nacional, de 1 de septiembre de 2004 y 2 de febrero de 2005.</w:t>
      </w:r>
    </w:p>
    <w:p w:rsidR="0052098F" w:rsidRDefault="0052098F" w:rsidP="0052098F">
      <w:pPr>
        <w:pStyle w:val="TextoNormal"/>
      </w:pPr>
      <w:r>
        <w:t>3º Retrotraer las actuaciones judiciales al momento anterior al de dictarse el primero de dichos Autos, a fin de que se dicte nueva resolución respetuosa con el derecho fundamental reconocido, en los términos fijados en el fundamento jurídico 6.</w:t>
      </w:r>
    </w:p>
    <w:p w:rsidR="0052098F" w:rsidRDefault="0052098F" w:rsidP="0052098F">
      <w:pPr>
        <w:pStyle w:val="TextoNormal"/>
      </w:pPr>
      <w:r>
        <w:t>4º Desestimar la demanda en todo lo demás.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9" w:name="SENTENCIA_2008_6"/>
      <w:r>
        <w:lastRenderedPageBreak/>
        <w:t>SENTENCIA 6/2008, de 21 de enero de 2008</w:t>
      </w:r>
    </w:p>
    <w:bookmarkEnd w:id="9"/>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ECLI:ES:TC:2008:6</w:t>
      </w:r>
    </w:p>
    <w:p w:rsidR="0052098F" w:rsidRDefault="0052098F" w:rsidP="0052098F">
      <w:pPr>
        <w:pStyle w:val="SntesisDescriptiva"/>
      </w:pPr>
    </w:p>
    <w:p w:rsidR="0052098F" w:rsidRDefault="0052098F" w:rsidP="0052098F">
      <w:pPr>
        <w:pStyle w:val="SntesisDescriptiva"/>
      </w:pPr>
      <w:r>
        <w:t>Recurso de amparo 1373-2005. Promovido por Decoración y Coordinación de Gremios, S.L., frente a la Sentencia y el Auto de nulidad de un Juzgado de Primera Instancia de Almería en juicio de ejecución hipotecaria instado por Unicaja.</w:t>
      </w:r>
    </w:p>
    <w:p w:rsidR="0052098F" w:rsidRDefault="0052098F" w:rsidP="0052098F">
      <w:pPr>
        <w:pStyle w:val="SntesisDescriptiva"/>
      </w:pPr>
    </w:p>
    <w:p w:rsidR="0052098F" w:rsidRDefault="0052098F" w:rsidP="0052098F">
      <w:pPr>
        <w:pStyle w:val="SntesisAnaltica"/>
      </w:pPr>
      <w:r>
        <w:t>Vulneración del derecho a la tutela judicial sin indefensión: falta de comunicación de procedimiento de ejecución hipotecaria a tercero, acreedor hipotecario del bien inmueble, porque solo constaba en el Registro de la Propiedad el asiento de presentación de su derecho.</w:t>
      </w:r>
    </w:p>
    <w:p w:rsidR="0052098F" w:rsidRDefault="0052098F" w:rsidP="0052098F">
      <w:pPr>
        <w:pStyle w:val="SntesisAnaltica"/>
      </w:pPr>
    </w:p>
    <w:p w:rsidR="0052098F" w:rsidRDefault="0052098F" w:rsidP="0052098F">
      <w:pPr>
        <w:pStyle w:val="Extracto"/>
      </w:pPr>
      <w:r>
        <w:t>1.</w:t>
      </w:r>
      <w:r>
        <w:tab/>
        <w:t>Resulta vulnerado el art. 24.1 CE, ya que la interpretación que el órgano judicial ha efectuado de la legislación procesal aplicable al caso resulta desproporcionada por excesivamente formalista y rigurosa desde la perspectiva del principio pro actione, postergando el tenor literal y la consideración sistemática de las previsiones de la LEC a lo dispuesto en el art. 353.1 RH [FJ 3].</w:t>
      </w:r>
    </w:p>
    <w:p w:rsidR="0052098F" w:rsidRDefault="0052098F" w:rsidP="0052098F">
      <w:pPr>
        <w:pStyle w:val="Extracto"/>
      </w:pPr>
    </w:p>
    <w:p w:rsidR="0052098F" w:rsidRDefault="0052098F" w:rsidP="0052098F">
      <w:pPr>
        <w:pStyle w:val="Extracto"/>
      </w:pPr>
      <w:r>
        <w:t>2.</w:t>
      </w:r>
      <w:r>
        <w:tab/>
        <w:t>La interpretación contraria al principio pro actione ha causado una situación de indefensión constitucionalmente relevante al no habérsele comunicado a la recurrente la existencia del procedimiento de ejecución, pese a ser titular de un derecho de hipoteca que figuraba en la certificación de cargas y que aparecía en un asiento posterior al derecho del ejecutante [FJ 4].</w:t>
      </w:r>
    </w:p>
    <w:p w:rsidR="0052098F" w:rsidRDefault="0052098F" w:rsidP="0052098F">
      <w:pPr>
        <w:pStyle w:val="Extracto"/>
      </w:pPr>
    </w:p>
    <w:p w:rsidR="0052098F" w:rsidRDefault="0052098F" w:rsidP="0052098F">
      <w:pPr>
        <w:pStyle w:val="Extracto"/>
      </w:pPr>
      <w:r>
        <w:t>3.</w:t>
      </w:r>
      <w:r>
        <w:tab/>
        <w:t>Los arts. 659.1 LEC y 24 LH hablan de la obligación de comunicar la existencia del procedimiento a los titulares de derechos que figuren en la certificación de cargas y que aparezcan en asientos posteriores al derecho del ejecutante, siendo la fecha del asiento de presentación, no la de inscripción definitiva, la que se tiene en cuenta a la hora de determinar los efectos de la inscripción [FJ 3].</w:t>
      </w:r>
    </w:p>
    <w:p w:rsidR="0052098F" w:rsidRDefault="0052098F" w:rsidP="0052098F">
      <w:pPr>
        <w:pStyle w:val="Extracto"/>
      </w:pPr>
    </w:p>
    <w:p w:rsidR="0052098F" w:rsidRDefault="0052098F" w:rsidP="0052098F">
      <w:pPr>
        <w:pStyle w:val="Extracto"/>
      </w:pPr>
      <w:r>
        <w:t>4.</w:t>
      </w:r>
      <w:r>
        <w:tab/>
        <w:t>Para entablar y proseguir los procesos con plena observancia del derecho a la tutela judicial efectiva sin indefensión resulta exigible una correcta y escrupulosa constitución de la relación jurídico-procesal, para lo que son un instrumento capital los actos de comunicación procesal, ya que sólo así cabe garantizar los principios de contradicción e igualdad de armas (SSTC 87/2002, 124/2006) [FJ 2].</w:t>
      </w:r>
    </w:p>
    <w:p w:rsidR="0052098F" w:rsidRDefault="0052098F" w:rsidP="0052098F">
      <w:pPr>
        <w:pStyle w:val="Extracto"/>
      </w:pPr>
    </w:p>
    <w:p w:rsidR="0052098F" w:rsidRDefault="0052098F" w:rsidP="0052098F">
      <w:pPr>
        <w:pStyle w:val="Extracto"/>
      </w:pPr>
      <w:r>
        <w:t>5.</w:t>
      </w:r>
      <w:r>
        <w:tab/>
        <w:t>Doctrina sobre la función del Tribunal Constitucional en los casos que aparece comprometido el derecho de acceso al proceso (SSTC 205/1999, 154/2007) [FJ 2].</w:t>
      </w:r>
    </w:p>
    <w:p w:rsidR="0052098F" w:rsidRDefault="0052098F" w:rsidP="0052098F">
      <w:pPr>
        <w:pStyle w:val="Extracto"/>
      </w:pPr>
    </w:p>
    <w:p w:rsidR="0052098F" w:rsidRDefault="0052098F" w:rsidP="0052098F">
      <w:pPr>
        <w:pStyle w:val="Extracto"/>
      </w:pPr>
      <w:r>
        <w:t>6.</w:t>
      </w:r>
      <w:r>
        <w:tab/>
        <w:t>La conclusión alcanzada no se ve alterada por el hecho de que sea el Registrador de la Propiedad el que lleva a cabo la comunicación de la existencia del procedimiento de ejecución, ya que es al órgano judicial a quien le corresponde ex art. 24.1 CE velar por los derechos de defensa de las partes en el seno del proceso [FJ 4].</w:t>
      </w:r>
    </w:p>
    <w:p w:rsidR="0052098F" w:rsidRDefault="0052098F" w:rsidP="0052098F">
      <w:pPr>
        <w:pStyle w:val="Extracto"/>
      </w:pPr>
    </w:p>
    <w:p w:rsidR="0052098F" w:rsidRDefault="0052098F" w:rsidP="0052098F">
      <w:pPr>
        <w:pStyle w:val="Extracto"/>
      </w:pPr>
      <w:r>
        <w:lastRenderedPageBreak/>
        <w:t>7.</w:t>
      </w:r>
      <w:r>
        <w:tab/>
        <w:t>Procede tan sólo reconocer el derecho fundamental vulnerado, aunque sea a efectos meramente declarativos, al objeto de poder iniciar en su caso las acciones legales oportunas contra el Registro de la Propiedad y la Administración de Justicia, ya que en el procedimiento hipotecario se ha dictado ya Auto de adjudicación de la vivienda a favor de un tercero de buena fe, que ha inscrito su derecho en el Registro de la Propiedad [FJ 5].</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1373-2005, promovido por Decoración y Coordinación de Gremios, S.L., representada por el Procurador de los Tribunales don Evencio Conde de Gregorio y asistida por el Letrado don Antonio Castellanos Marcos, contra el Auto del Juzgado de Primera Instancia núm. 5 de Almería de 10 de enero de 2005, que declaró no haber lugar a la nulidad de actuaciones solicitada en el procedimiento de ejecución hipotecaria núm. 150-2004. Ha comparecido y formulado alegaciones el Ministerio Fiscal. Ha actuado como Ponente el Magistrado don Vicente Conde Martín de Hijas,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28 de febrero de 2005, don Evencio Conde de Gregorio, Procurador de los Tribunales, en nombre y representación de Decoración y Coordinación de Gremios, S.L., interpuso recurso de amparo contra la resolución judicial a la que se ha hecho mención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En la demanda de amparo se recoge la relación de antecedentes fácticos que a continuación sucintamente se extracta: </w:t>
      </w:r>
    </w:p>
    <w:p w:rsidR="0052098F" w:rsidRDefault="0052098F" w:rsidP="0052098F">
      <w:pPr>
        <w:pStyle w:val="TextoNormal"/>
      </w:pPr>
      <w:r>
        <w:t xml:space="preserve">a) La demandante de amparo tenía a su favor un préstamo con garantía hipotecaria, constituido en fecha 4 de febrero de 2004 y autorizado por Notario, siendo los prestatarios don Miguel Campoy Ávila y doña María Dolores Hernández Hernández. </w:t>
      </w:r>
    </w:p>
    <w:p w:rsidR="0052098F" w:rsidRDefault="0052098F" w:rsidP="0052098F">
      <w:pPr>
        <w:pStyle w:val="TextoNormal"/>
      </w:pPr>
      <w:r>
        <w:t xml:space="preserve">El importe del préstamo era de 40.000 €, con vencimiento en fecha 4 de agosto de 2004, no habiendo sido devuelta a la demandante de amparo la cantidad prestada. </w:t>
      </w:r>
    </w:p>
    <w:p w:rsidR="0052098F" w:rsidRDefault="0052098F" w:rsidP="0052098F">
      <w:pPr>
        <w:pStyle w:val="TextoNormal"/>
      </w:pPr>
      <w:r>
        <w:t xml:space="preserve">b) Ante el Juzgado de Primera Instancia núm. 5 de Almería se ha seguido el procedimiento de ejecución hipotecaria núm. 150-2004 a instancias de la entidad Monte de Piedad </w:t>
      </w:r>
      <w:r>
        <w:lastRenderedPageBreak/>
        <w:t xml:space="preserve">y Caja de Ahorros de Ronda, Cádiz, Almería, Málaga y Antequera (Unicaja) frente a doña Esther Campoy Hernández, don Miguel Campoy Ávila y doña María Dolores Hernández Hernández. </w:t>
      </w:r>
    </w:p>
    <w:p w:rsidR="0052098F" w:rsidRDefault="0052098F" w:rsidP="0052098F">
      <w:pPr>
        <w:pStyle w:val="TextoNormal"/>
      </w:pPr>
      <w:r>
        <w:t xml:space="preserve">c) En fecha 15 de septiembre de 2004 tuvo lugar la subasta pública del inmueble que garantizaba la deuda de Unicaja y de la demandante de amparo, siendo adjudicada la vivienda a don Antonio Alberto Castillo Valverde. </w:t>
      </w:r>
    </w:p>
    <w:p w:rsidR="0052098F" w:rsidRDefault="0052098F" w:rsidP="0052098F">
      <w:pPr>
        <w:pStyle w:val="TextoNormal"/>
      </w:pPr>
      <w:r>
        <w:t xml:space="preserve">En dicha subasta no tomó parte la demandante de amparo al no haber tenido conocimiento de la misma, pues el Registrador de la Propiedad núm. 1 de Roquetas de Mar no practicó la notificación exigida por los arts. 659, 660 y 689 LEC —anterior regla 5 del art. 131 LH—, es decir, el Registrador de la Propiedad debió haber efectuado la notificación prevista en los citados preceptos a los acreedores posteriores a fin de notificarles la existencia del procedimiento ejecutivo de los arts. 681 y ss. LEC para que pudieran intervenir en el avalúo y en la subasta del inmueble. </w:t>
      </w:r>
    </w:p>
    <w:p w:rsidR="0052098F" w:rsidRDefault="0052098F" w:rsidP="0052098F">
      <w:pPr>
        <w:pStyle w:val="TextoNormal"/>
      </w:pPr>
      <w:r>
        <w:t xml:space="preserve">d) Como consecuencia de la referida falta de notificación, la demandante de amparo formuló incidente de nulidad de actuaciones, requiriendo el Juzgado de Primera Instancia al Registrador de la Propiedad núm. 1 de Roquetas de Mar que acreditase haber realizado a los acreedores posteriores las notificaciones exigidas por los mencionados preceptos legales. </w:t>
      </w:r>
    </w:p>
    <w:p w:rsidR="0052098F" w:rsidRDefault="0052098F" w:rsidP="0052098F">
      <w:pPr>
        <w:pStyle w:val="TextoNormal"/>
      </w:pPr>
      <w:r>
        <w:t xml:space="preserve">El Registrador de la Propiedad núm. 1 de Roquetas de Mar en fecha 3 de noviembre de 2004 contestó al oficio del Juzgado manifestando que no había efectuado dichas notificaciones por no estar obligado en virtud de lo dispuesto en el art. 353.1 RH y en el art. 659.2 LEC. </w:t>
      </w:r>
    </w:p>
    <w:p w:rsidR="0052098F" w:rsidRDefault="0052098F" w:rsidP="0052098F">
      <w:pPr>
        <w:pStyle w:val="TextoNormal"/>
      </w:pPr>
      <w:r>
        <w:t>El Juzgado de Primera Instancia núm. 5 de Almería dictó Auto en fecha 10 de enero de 2005, en el que declaró no haber lugar a la nulidad solicitada, continuando el procedimiento por sus propios trámites.</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la fundamentación jurídica de la demanda de amparo, se invoca en ésta, frente a la resolución judicial impugnada, la vulneración del derecho a la tutela judicial efectiva, sin que, en ningún caso, pueda producirse indefensión (art. 24.1 CE): </w:t>
      </w:r>
    </w:p>
    <w:p w:rsidR="0052098F" w:rsidRDefault="0052098F" w:rsidP="0052098F">
      <w:pPr>
        <w:pStyle w:val="TextoNormal"/>
      </w:pPr>
      <w:r>
        <w:t xml:space="preserve">a) La demandante de amparo, al no haberse efectuado la notificación prevista en la LEC, no tuvo conocimiento de la expedición de certificación de cargas para el procedimiento ejecutivo instado por Unicaja, ni del seguimiento de la subasta ni, en consecuencia, pudo tomar parte en la misma para defender sus intereses y su crédito. Una vez realizado el bien en pública subasta, se extinguirá registralmente el derecho de la demandante de amparo por purga de las cargas posteriores, sin poder obtener satisfacción de su crédito al no cubrir el importe de la deuda, y haciendo prácticamente imposible su realización futura al no tener los deudores hipotecantes otros bienes sobre los que realizar el crédito. </w:t>
      </w:r>
    </w:p>
    <w:p w:rsidR="0052098F" w:rsidRDefault="0052098F" w:rsidP="0052098F">
      <w:pPr>
        <w:pStyle w:val="TextoNormal"/>
      </w:pPr>
      <w:r>
        <w:t xml:space="preserve">La certificación de cargas se expidió en fecha 25 de febrero de 2004, habiéndose consolidado el asiento de presentación de la hipoteca de la demandante de amparo en fecha 4 de febrero de 2004, a las 17:31 horas. La calificación definitiva por parte del Registrador se produjo en fecha 18 de marzo de 2004, es decir, en un plazo injustificadamente superior al establecido en el art. 97 RH. En la certificación de cargas se expresaba que la escritura de la hipoteca de la demandante de amparo fue retirada el 18 de febrero de 2004 y reintegrada el 2 de marzo de 2004, lo cual no es cierto, pues el Registro de Roquetas de Mar también es oficina liquidadora de la Junta de Andalucía y, por tanto, la escritura en ningún momento salió del Registro de la Propiedad de Roquetas, ni siquiera para la autoliquidación del impuesto de trasmisiones patrimoniales y actos jurídicos documentados. No obstante un asiento de presentación es derecho inscrito a todos los efectos, pues, de conformidad con </w:t>
      </w:r>
      <w:r>
        <w:lastRenderedPageBreak/>
        <w:t xml:space="preserve">los arts. 24 y 25 LH, la fecha de inscripción a todos los efectos que ésta deba producir es la fecha del asiento de presentación. </w:t>
      </w:r>
    </w:p>
    <w:p w:rsidR="0052098F" w:rsidRDefault="0052098F" w:rsidP="0052098F">
      <w:pPr>
        <w:pStyle w:val="TextoNormal"/>
      </w:pPr>
      <w:r>
        <w:t xml:space="preserve">El art. 956 LEC no exige la inscripción definitiva de cargas posteriores al derecho del ejecutante, sino que habla de “asientos”, como el de presentación de la escritura de préstamo de la demandante de amparo, válido durante sesenta días, con la misma trascendencia jurídica y efectos registrales frente a terceros que la de la consolidación del asiento (STS de 20 de noviembre de 1995; Sentencia de la Audiencia Provincial de Huelva núm. 187/2001, de 10 de mayo). </w:t>
      </w:r>
    </w:p>
    <w:p w:rsidR="0052098F" w:rsidRDefault="0052098F" w:rsidP="0052098F">
      <w:pPr>
        <w:pStyle w:val="TextoNormal"/>
      </w:pPr>
      <w:r>
        <w:t xml:space="preserve">Ha de considerarse además que ha de extenderse asiento de presentación de cualquier título que pueda producir alguna inscripción o nota marginal (art. 416 RH) y, si como fecha de toda clase de asientos registarales ha de tomarse la de su asiento de presentación, desde entonces produce sus efectos la publicidad registral (arts. 24 y 25 LH). </w:t>
      </w:r>
    </w:p>
    <w:p w:rsidR="0052098F" w:rsidRDefault="0052098F" w:rsidP="0052098F">
      <w:pPr>
        <w:pStyle w:val="TextoNormal"/>
      </w:pPr>
      <w:r>
        <w:t xml:space="preserve">Por tanto, el hecho de que la certificación de cargas deba contener los asientos de presentación practicados en el Libro Diario que estén pendientes de calificación, tal y como ha manifestado la Dirección General de los Registros y del Notariado en su Resolución de 24 de agosto de 1981, que se trascribe en la demanda, hace necesaria la notificación a los titulares de asientos de presentación, con independencia de que puedan llegar a convertirse o no en anotaciones o inscripciones definitivas. En este sentido se pronuncia también la STS de 20 de noviembre de 1995, pues la finalidad del asiento de presentación no es otra que la de garantizar la prioridad registral, dado su carácter preparatorio de la inscripción, cuya fecha será la de aquél (art. 24 LH). </w:t>
      </w:r>
    </w:p>
    <w:p w:rsidR="0052098F" w:rsidRDefault="0052098F" w:rsidP="0052098F">
      <w:pPr>
        <w:pStyle w:val="TextoNormal"/>
      </w:pPr>
      <w:r>
        <w:t xml:space="preserve">b) Una vez determinada la existencia de un derecho inscrito a favor de la demandante de amparo es necesario examinar si el Registrador de la Propiedad tenía la obligación de haberle efectuado las notificaciones legalmente previstas, cuando era titular de un asiento de presentación. </w:t>
      </w:r>
    </w:p>
    <w:p w:rsidR="0052098F" w:rsidRDefault="0052098F" w:rsidP="0052098F">
      <w:pPr>
        <w:pStyle w:val="TextoNormal"/>
      </w:pPr>
      <w:r>
        <w:t xml:space="preserve">El Registrador de la Propiedad ha pretendido en este caso justificar la falta de notificación con base en la LEC y en el RH. Con anterioridad a la LEC 2000 las comunicaciones debían ser remitidas por el órgano jurisdiccional y no por el Registrador de la Propiedad (Sentencia de la Audiencia Provincial de Barcelona de 8 de febrero de 2000). Con la nueva LEC, superado el procedimiento sumario del art. 131 LH por la propia regulación de la LEC 2000, es el Registrador de la Propiedad el que debe hacer las notificaciones a las que viene obligado por imperativo de la ley rituaria, con preferencia de lo que en este sentido puedan expresar las leyes hipotecarias. </w:t>
      </w:r>
    </w:p>
    <w:p w:rsidR="0052098F" w:rsidRDefault="0052098F" w:rsidP="0052098F">
      <w:pPr>
        <w:pStyle w:val="TextoNormal"/>
      </w:pPr>
      <w:r>
        <w:t xml:space="preserve">La demandante de amparo es titular de un derecho que figura inscrito en la certificación de cargas (punto quinto), que aparece en un asiento posterior a la hipoteca que se está ejecutando. El asiento de presentación, como antes se ha razonado, es un derecho a todos los efectos, que en este caso consta en la certificación de cargas y es posterior a la inscripción del título que se esta ejecutando, figurando en el Registro el domicilio de su titular. De modo que, de conformidad con el art. 659 LEC 2000, a la demandante de amparo debía comunicarse la existencia del procedimiento ejecutivo. En el mismo sentido lo disponen los arts. 225 y 226.2 RH, al referirse a la regla 5 del art. 131 LH. De modo que en este caso era necesaria la notificación a la demandante de amparo de la existencia del procedimiento ejecutivo, ya que constaba su derecho y se mencionaba en la certificación de cargas. </w:t>
      </w:r>
    </w:p>
    <w:p w:rsidR="0052098F" w:rsidRDefault="0052098F" w:rsidP="0052098F">
      <w:pPr>
        <w:pStyle w:val="TextoNormal"/>
      </w:pPr>
      <w:r>
        <w:t xml:space="preserve">El Registrador de la Propiedad no podía en este caso amparar su actuación en lo dispuesto en el art. 353.1 RH, en cuanto que lo establecido en dicho precepto se contradice con lo previsto en los arts. 225 y 226.2 RH y en la LEC 2000. </w:t>
      </w:r>
    </w:p>
    <w:p w:rsidR="0052098F" w:rsidRDefault="0052098F" w:rsidP="0052098F">
      <w:pPr>
        <w:pStyle w:val="TextoNormal"/>
      </w:pPr>
      <w:r>
        <w:lastRenderedPageBreak/>
        <w:t xml:space="preserve">En definitiva, los titulares de asientos de presentación son titulares registrales a todos los efectos y se les deben hacer las notificaciones se conviertan o no en anotaciones e inscripciones definitivas (RDGRN de 24 de agosto de 1981; STS de 20 de noviembre de 1995). </w:t>
      </w:r>
    </w:p>
    <w:p w:rsidR="0052098F" w:rsidRDefault="0052098F" w:rsidP="0052098F">
      <w:pPr>
        <w:pStyle w:val="TextoNormal"/>
      </w:pPr>
      <w:r>
        <w:t>Concluye el escrito de demanda suplicando del Tribunal Constitucional que, tras los trámites oportunos, dicte Sentencia en la que se otorgue el amparo solicitado y se anule el Auto de 10 de enero de 2005, retrotrayendo las actuaciones judiciales al momento anterior al señalamiento de la subasta para que sea notificada a la recurrente en amparo, a fin de que pueda intervenir en el avalúo y en la subasta del inmueble.</w:t>
      </w:r>
    </w:p>
    <w:p w:rsidR="0052098F" w:rsidRDefault="0052098F" w:rsidP="0052098F">
      <w:pPr>
        <w:pStyle w:val="TextoNormal"/>
      </w:pPr>
    </w:p>
    <w:p w:rsidR="0052098F" w:rsidRDefault="0052098F" w:rsidP="0052098F">
      <w:pPr>
        <w:pStyle w:val="TextoNormal"/>
      </w:pPr>
      <w:r w:rsidRPr="0052098F">
        <w:rPr>
          <w:rStyle w:val="NumeroAFNegritaCaracter"/>
        </w:rPr>
        <w:t>4</w:t>
      </w:r>
      <w:r>
        <w:t>. La Sala Segunda del Tribunal Constitucional, por providencia de 16 de mayo de 2007, acordó admitir a trámite la demanda y, en aplicación de lo dispuesto en el art. 51 LOTC, dirigir atenta comunicación al Juzgado de Primera Instancia núm. 5 de Almería, a fin de que, en plazo que no excediera de diez días, remitiese certificación o fotocopia adverada de las actuaciones correspondientes a los autos de ejecución hipotecaria núm. 150-2004, debiendo previamente emplazar a quienes hubieran sido parte en el procedimiento, a excepción de la demandante de amparo, para que si lo deseasen en el plazo de diez días pudiesen comparecer en este proceso.</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Secretaría de la Sala Segunda del Tribunal Constitucional de 3 de septiembre de 2007, de conformidad con lo dispuesto en el art. 52.1 LOTC, se acordó dar vista de las actuaciones recibidas a la parte recurrente y al Ministerio Fiscal por plazo común de veinte días, dentro del cual pudieron efectuar las alegaciones que tuvieron por conveniente.</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La representación procesal de la demandante de amparo evacuó el trámite de alegaciones conferido mediante escrito registrado en fecha 15 de octubre de 2007, que, a continuación, sustancialmente se extracta: </w:t>
      </w:r>
    </w:p>
    <w:p w:rsidR="0052098F" w:rsidRDefault="0052098F" w:rsidP="0052098F">
      <w:pPr>
        <w:pStyle w:val="TextoNormal"/>
      </w:pPr>
      <w:r>
        <w:t>Tras relatar la imposibilidad de recuperar en su totalidad el crédito concedido y los avatares al respecto seguidos, manifiesta que mantiene su pretensión de amparo en los términos formulados en la demanda, si bien el daño patrimonial está ya causado, al haberse denegado la paralización del procedimiento judicial en el que se produjo la denunciada vulneración del derecho a la tutela judicial efectiva. En el proceso hipotecario se ha dictado Auto de adjudicación a favor de un tercero de buena fe que ha inscrito su derecho en el Registro de la Propiedad. Por tanto, aunque se declarara la nulidad de los actos procesales indicados en el petitum de la demanda de amparo, ya no podrían retrotraerse las actuaciones judiciales al objeto de salvaguardar los intereses de la demandante de amparo frente a quien está protegido por la fe pública registral. No obstante la demandante de amparo manifiesta que sigue teniendo interés en el reconocimiento del amparo solicitado, aunque sea a efectos meramente declarativos, al objeto de poder iniciar en su caso las acciones legales oportunas contra el Registro de la Propiedad y, en su caso, las patrimoniales contra la Administración de Justicia.</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Ministerio Fiscal evacuó el trámite de alegaciones conferido mediante escrito registrado en fecha 15 de octubre de 2007, que, en lo sustancial, a continuación se resume: </w:t>
      </w:r>
    </w:p>
    <w:p w:rsidR="0052098F" w:rsidRDefault="0052098F" w:rsidP="0052098F">
      <w:pPr>
        <w:pStyle w:val="TextoNormal"/>
      </w:pPr>
      <w:r>
        <w:t xml:space="preserve">a) La cuestión que se planta en el presente recurso de amparo consiste en determinar si la falta de comunicación a la recurrente, en su condición de acreedor hipotecario, de la existencia del procedimiento hipotecario núm. 150-2004 tramitado en el Juzgado de Primera </w:t>
      </w:r>
      <w:r>
        <w:lastRenderedPageBreak/>
        <w:t xml:space="preserve">Instancia e Instrucción núm. 5 de Almería ha vulnerado su derecho a la tutela judicial efectiva. </w:t>
      </w:r>
    </w:p>
    <w:p w:rsidR="0052098F" w:rsidRDefault="0052098F" w:rsidP="0052098F">
      <w:pPr>
        <w:pStyle w:val="TextoNormal"/>
      </w:pPr>
      <w:r>
        <w:t xml:space="preserve">El Ministerio Fiscal considera que debe darse una respuesta positiva a la cuestión suscitada. Argumenta al respecto que el art. 659, al que se remite el art. 689.2, ambos de la LEC 2000, consagra un deber de comunicación del procedimiento judicial de ejecución hipotecaria a los acreedores hipotecarios que aparezcan en asientos posteriores al del derecho del ejecutante con la finalidad de salvaguardar su derecho a conocer el estado de la ejecución y poder participar en dicho procedimiento ejercitando los derechos legalmente reconocidos. Se trata de un deber reforzado de comunicación que concede a esos titulares de derechos que figuren en la certificación de cargas un derecho autónomo e independiente y distinto del que pueda derivar del conocimiento a través de la publicidad del Registro de la Propiedad. La comunicación que dispone el art. 659 LEC adquiere singular importancia cuando se trata de titulares de segundas hipotecas constituidas con posterioridad a la que es objeto de ejecución, de tal forma que adquiere la condición de trámite esencial o sustancial. La cuestión a determinar es quien o quienes son los titulares de ese derecho autónomo y, por tanto, destinatarios de la comunicación preceptiva que fija el referido precepto procesal. No existe duda de que la comunicación se deberá realizar a los titulares de segundas hipotecas constituidas con posterioridad a la inscripción de la hipoteca que se ejecuta cuando la inscripción se haya producido con anterioridad a la expedición de la certificación registral de dominio y cargas. El problema surge respecto de titulares de asientos de presentación de escritura de hipoteca que en el momento de expedirse la nota marginal de la certificación de dominio y cargas, prevista en el art. 656, al que se remite el art. 688, ambos LEC, no han consolidado aún la inscripción de su derecho en el Registro de la Propiedad. Para resolver esta cuestión hay que empezar recordando la trascendencia del asiento de presentación, pues su fecha, una vez consolidado, se considerará como fecha de inscripción a los efectos de fijar la prioridad registral (arts. 24 y 25 LH). </w:t>
      </w:r>
    </w:p>
    <w:p w:rsidR="0052098F" w:rsidRDefault="0052098F" w:rsidP="0052098F">
      <w:pPr>
        <w:pStyle w:val="TextoNormal"/>
      </w:pPr>
      <w:r>
        <w:t xml:space="preserve">b) En el Auto desestimatorio del incidente de nulidad de actuaciones se argumenta que, de conformidad con el art. 353.2 RH, no existía en el presente caso obligación por parte del Registrador de la Propiedad de efectuar las comunicaciones exigidas en el art. 659 LEC, pues en el momento de la expedición de la certificación de dominio y cargas (25 de febrero de 2004) sólo constaba un asiento de presentación de escritura pública de hipoteca a favor de la recurrente en amparo, que se consolidó en fecha 12 de febrero de 2004 y que no dio lugar a la inscripción del derecho real de hipoteca hasta su calificación definitiva en fecha 18 de marzo de 2004. </w:t>
      </w:r>
    </w:p>
    <w:p w:rsidR="0052098F" w:rsidRDefault="0052098F" w:rsidP="0052098F">
      <w:pPr>
        <w:pStyle w:val="TextoNormal"/>
      </w:pPr>
      <w:r>
        <w:t xml:space="preserve">Es cierto que en principio corresponde a los Jueces y Tribunales la interpretación de la legalidad ordinaria en el caso sometido a su enjuiciamiento. No obstante, a este Tribunal Constitucional le compete velar porque la persona que pretende acceder a la jurisdicción sea efectivamente tutelada y no resulte indefensa, lo que sucederá “cuando se trate de una decisión que por su rigorismo, por su formalismo excesivo o por cualquier otra razón revele una clara desproporción entre los fines que las causas de inadmisión preservan y los intereses que se sacrifican” (SSTC 197/2007, 294/2005 y 79/2005). En este caso, a juicio del Ministerio Fiscal, la interpretación sostenida en el Auto recurrido es excesivamente formalista y rigurosa desde la perspectiva del principio pro actione, pues se cercenó la posibilidad de acceso al proceso de la demandante de amparo, privándole del ejercicio de los derechos que como acreedor hipotecario tenía legalmente reconocidos, colocándole en una situación de indefensión con clara vulneración de su derecho a la tutela judicial efectiva. No obstante, </w:t>
      </w:r>
      <w:r>
        <w:lastRenderedPageBreak/>
        <w:t xml:space="preserve">no hay que perder de vista que la verdadera situación de indefensión se origina con anterioridad, ante la falta de comunicación de la pendencia del procedimiento judicial a la recurrente en amparo. </w:t>
      </w:r>
    </w:p>
    <w:p w:rsidR="0052098F" w:rsidRDefault="0052098F" w:rsidP="0052098F">
      <w:pPr>
        <w:pStyle w:val="TextoNormal"/>
      </w:pPr>
      <w:r>
        <w:t xml:space="preserve">La preceptiva comunicación debía haberse efectuado a la recurrente en amparo en cuanto titular de un asiento de presentación de una escritura pública de hipoteca constituida con posterioridad a la del ejecutante. Una línea jurisprudencial de la Sala de lo Civil del Tribunal Supremo ya venía sosteniendo en relación con la regulación del procedimiento judicial sumario del art. 131 LH, que mientras subsista el asiento de presentación, en tanto no se extienda la inscripción, éste produce los mismos efectos que corresponden al asiento principal. De ahí que quien figura en el Libro Diario como titular de un asiento de presentación de escritura de hipoteca tenga derecho, de conformidad al párrafo segundo de la regla 5 del art. 131 LH, a ser notificado de la existencia del procedimiento a los efectos de posibilitar su intervención en el mismo, aunque no se haya producido aún ningún asiento en el Libro de inscripciones (STS 997/1995, de 20 de noviembre). Conforme a dicha línea jurisprudencial la comunicación del estado del procedimiento de ejecución debe realizarse no sólo a quienes hayan inscrito su derecho en el Registro, sino también a quienes sean titulares de un asiento de presentación, mientras éste subsista. Obviamente si dicho asiento de presentación caduca con anterioridad a la celebración de la subasta judicial, los derechos del notificado a intervenir en la misma decaen, no así cuando dicho asiento se consolida y da lugar a la oportuna inscripción registral. Estaríamos ante lo que podemos calificar como un deber de comunicación ad cautelam a favor de los titulares de un asiento de presentación de una escritura de hipoteca, quedando, en todo caso, condicionada su participación en el procedimiento ejecutivo y el ejercicio de los derechos reconocidos legalmente a la consolidación efectiva de dicho asiento y a la inscripción del derecho real en el Registro de la Propiedad, extremos que deberán ser acreditados por el titular de esa inscripción posterior. La propia regulación normativa avala la preceptividad de la comunicación, pues así resulta de los arts. 225 y 226.2 RH. Concretamente este último precepto dispone la no necesidad de la notificación respecto a las personas que hayan inscrito, anotado o presentado en el Diario los títulos justificativos de su derecho con posterioridad a la extensión de la nota marginal que dispone el párrafo penúltimo de la regla cuarta del art. 131 LH —antes de la redacción dada por la disposición final novena de la Ley 1/2000, de 7 de enero— y que, por tanto, no pudieron ser mencionados en la certificación del Registro. De ahí se infiere, en línea con la doctrina jurisprudencial antes expuesta, que, constando presentado en el Libro Diario el título justificativo del derecho en el momento de expedir la certificación de cargas, la comunicación deberá estimarse necesaria y preceptiva. La propia Dirección General de Registro y del Notariado en su Resolución de 24 de agosto de 1981 señala que conforme a lo dispuesto en los arts. 225 y 226.2 RH la notificación de la existencia del procedimiento judicial prevista en el entonces vigente art. 131, regla 5, LH debía realizarse también a quien tuviera presentado un título en el Registro que pudiera provocar un asiento de inscripción o anotación, lo que está plenamente fundamentado ya que la fecha de esos asientos si se lleva a cabo su práctica es según el art. 24 LH la del asiento de presentación. Sólo quedan excluidos de dicha comunicación los adquirentes de derechos con posterioridad a la nota marginal de expedición de cargas, pues en este caso la nota marginal hace las veces de notificación (STS de 22 de abril de 1987). </w:t>
      </w:r>
    </w:p>
    <w:p w:rsidR="0052098F" w:rsidRDefault="0052098F" w:rsidP="0052098F">
      <w:pPr>
        <w:pStyle w:val="TextoNormal"/>
      </w:pPr>
      <w:r>
        <w:t xml:space="preserve">La preceptividad de la comunicación prevista en el art. 689.2 LEC a los titulares de los asientos de presentación, en los términos expuestos, guarda a su vez coherencia con su finalidad, pues mediante la misma se pretende poner en conocimiento el estado del procedimiento de ejecución hipotecaria a todos los titulares de asientos posteriores a la inscripción </w:t>
      </w:r>
      <w:r>
        <w:lastRenderedPageBreak/>
        <w:t xml:space="preserve">de la hipoteca que consten en la certificación de dominio y cargas que pueden verse afectados, esto es, cancelados sus asientos, por el procedimiento de ejecución hipotecaria. </w:t>
      </w:r>
    </w:p>
    <w:p w:rsidR="0052098F" w:rsidRDefault="0052098F" w:rsidP="0052098F">
      <w:pPr>
        <w:pStyle w:val="TextoNormal"/>
      </w:pPr>
      <w:r>
        <w:t xml:space="preserve">c) Se trata de una norma de claro contenido protector de los derechos de los acreedores hipotecarios, que adquiere renovada vigencia tras la nueva regulación de la ejecución hipotecaria en la LEC 2000. Con anterioridad a dicha regulación la regla 5, párrafo segundo, del art. 131 LH reconocía el derecho de subrogación únicamente a los acreedores posteriores cuyos derechos reales constituidos con posterioridad a la inscripción de la hipoteca que se ejecuta figurasen en la certificación de dominio y cargas. El actual art. 689 LEC, que se remite a su vez al art. 659, reconoce este derecho de subrogación a todos los titulares de derechos inscritos con posterioridad al gravamen que se ejecuta, no sólo a los que figuren en la certificación de cargas. Resulta coherente admitir que, si en el momento de expedir la referida certificación de cargas consta un asiento de presentación de una escritura de hipoteca posterior, deba comunicarse a su titular la existencia del procedimiento de ejecución para que, una vez inscrito su derecho, pueda comparecer en el procedimiento de ejecución previa acreditación de su inscripción a efectos de hacer valer el derecho reconocido en el art. 659.3 LEC. A su vez, el art. 659.1 LEC impone la obligación de comunicación a los titulares de derechos que figuren en la certificación de cargas y que aparezcan en asientos posteriores al derecho del ejecutante. Resulta significativo que el precepto utilice el término “titulares de derechos” sin exigir que tales derechos estén inscritos, siendo suficiente con que éstos aparezcan en asientos posteriores, sin especificar que se trate de asientos de inscripción. Dicha previsión se complementa con lo dispuesto en el art. 132 LH, en la redacción dada por la disposición final novena de la Ley 1/2000, de 7 de enero, que obliga al extender la calificación del Registrador, a los efectos de las inscripciones y cancelaciones a que den lugar los procedimientos de ejecución directa sobre los bienes hipotecados, a “que sea notificada la existencia del procedimiento a los acreedores y terceros cuyo derecho ha sido anotado o inscrito con posterioridad a la hipoteca, a excepción de los que sean posteriores a la nota marginal de expedición de la certificación de cargas, respecto de los cuales la nota marginal surtirá los efectos de la notificación”. Esta última previsión guarda correspondencia con lo dispuesto en el art. 226.2 RH y avala la preceptividad de extender la comunicación no sólo a quienes tengan inscrito su derecho, sino también a quienes en el momento de expedirse la certificación de cargas sean titulares de un asiento de presentación de una hipoteca posterior. </w:t>
      </w:r>
    </w:p>
    <w:p w:rsidR="0052098F" w:rsidRDefault="0052098F" w:rsidP="0052098F">
      <w:pPr>
        <w:pStyle w:val="TextoNormal"/>
      </w:pPr>
      <w:r>
        <w:t xml:space="preserve">Ha de concluirse además que no existe contradicción entre el art. 353.1 RH, invocado por el órgano judicial para desestimar el incidente de nulidad de actuaciones, y el art. 226.2 RH, ya que este último precepto tiene aplicación en el ámbito de los procedimientos judiciales hipotecarios y se aplica, por tanto, a los titulares posteriores a una hipoteca que constan, siquiera sea meramente presentados, con anterioridad a la expedición de la certificación de cargas, en tanto que el art. 353.1 RH esta pensado exclusivamente para los titulares de los asientos de presentación posteriores a una anotación de embargo en sede de ejecución ordinaria. </w:t>
      </w:r>
    </w:p>
    <w:p w:rsidR="0052098F" w:rsidRDefault="0052098F" w:rsidP="0052098F">
      <w:pPr>
        <w:pStyle w:val="TextoNormal"/>
      </w:pPr>
      <w:r>
        <w:t xml:space="preserve">d) En este caso consta que el otorgamiento de escritura pública de hipoteca a favor de la entidad recurrente en amparo tuvo lugar en fecha 4 de febrero de 2004 y ese mismo día se comunicó por telefax al Registro de la Propiedad. La constitución de esta segunda hipoteca tuvo lugar un día antes de la presentación de la demanda ejecutiva por Unicaja. Por su parte, la consolidación del asiento de presentación se produjo en fecha 12 de febrero de 2004, también un día antes de que el Juzgado dictara Auto acordando despachar la ejecución. En el momento de expedir la certificación de dominio y cargas y de su constancia mediante nota marginal, en fecha 25 de febrero de 2004, figuraba en el Registro de la Propiedad el </w:t>
      </w:r>
      <w:r>
        <w:lastRenderedPageBreak/>
        <w:t xml:space="preserve">asiento de presentación de la escritura de la hipoteca constituida a favor de la recurrente en amparo, por lo que el deber de comunicación que incumbe al Registrador debía alcanzar también al titular de dicho asiento. Sin embargo, ni en el momento de la expedición de la certificación de dominio y cargas, ni tampoco en el momento posterior a la inscripción del derecho real, según resulta del oficio de fecha 3 de noviembre de 2004, consta que el Registrador de la Propiedad hubiera comunicado la existencia del procedimiento hipotecario a la recurrente en amparo. Tampoco el Juzgado subsanó esa falta de comunicación, notificando con anterioridad a la fecha de celebración de la subasta -15 de septiembre de 2004- la existencia del procedimiento judicial, como así lo exigía su deber de diligencia al estar en juego el derecho a la tutela judicial efectiva. Comunicación judicial que la ley no prohíbe y que incluso algún sector de la doctrina estima que es competencia del órgano judicial y no del Registrador de la Propiedad. </w:t>
      </w:r>
    </w:p>
    <w:p w:rsidR="0052098F" w:rsidRDefault="0052098F" w:rsidP="0052098F">
      <w:pPr>
        <w:pStyle w:val="TextoNormal"/>
      </w:pPr>
      <w:r>
        <w:t xml:space="preserve">La recurrente en amparo, en cuanto acreedora hipotecaria, ostentaba en el momento de la certificación de cargas la condición de parte interesada como titular de un derecho de hipoteca constituido mediante escritura pública, lo que obligaba a poner en su conocimiento la existencia del procedimiento judicial de ejecución. La ausencia de dicha comunicación le ha ocasionado de hecho una situación de indefensión material, que no fue debidamente subsanada por el Juzgado al resolver el incidente de nulidad de actuaciones, impidiéndole tener conocimiento del estado del procedimiento de ejecución, ejercitar los derechos reconocidos legalmente y participar en la subasta del inmueble hipotecado. Por otro lado no se observa ninguna actuación negligente o poco diligente de la recurrente en amparo que neutralice la apreciación de la situación de indefensión material. Además esa falta de comunicación expresa no puede ser suplida por una especie de presunción judicial de conocimiento de la existencia de un procedimiento de ejecución hipotecaria por parte de la recurrente que está huérfana en el procedimiento judicial de todo sostén probatorio. De aceptarse ello, se obligaría a la recurrente en amparo a acreditar un hecho negativo, esto es, el desconocimiento de la existencia del procedimiento, que actuaría a modo de probatio diabólica. </w:t>
      </w:r>
    </w:p>
    <w:p w:rsidR="0052098F" w:rsidRDefault="0052098F" w:rsidP="0052098F">
      <w:pPr>
        <w:pStyle w:val="TextoNormal"/>
      </w:pPr>
      <w:r>
        <w:t xml:space="preserve">En consecuencia el Ministerio Fiscal estima que la falta de comunicación a la recurrente en amparo ha generado una situación de indefensión que vulnera su derecho a la tutela judicial efectiva (art. 24.1 CE), al privarle de la posibilidad de intervenir en el procedimiento y ejercitar los derechos reconocidos legalmente, con los efectos negativos que se derivan de ello. </w:t>
      </w:r>
    </w:p>
    <w:p w:rsidR="0052098F" w:rsidRDefault="0052098F" w:rsidP="0052098F">
      <w:pPr>
        <w:pStyle w:val="TextoNormal"/>
      </w:pPr>
      <w:r>
        <w:t>En cuanto al alcance del otorgamiento de amparo solicitado, el Ministerio Fiscal manifiesta que el procedimiento hipotecario ha seguido su curso, dictándose Auto de 22 de julio de 2005 por el que se decretó la cancelación de la anotación llevaba a cabo con motivo del proceso en curso y de todas las inscripciones y anotaciones posteriores a la expedición de la certificación, entre las que se incluyó la inscripción de la hipoteca a favor de la recurrente en amparo, a la vez que se acordaba el archivo de la ejecución, remitiendo el oportuno mandamiento al Registro de la Propiedad en los términos del art. 674 LEC. Con posterioridad, en fecha 19 de enero de 2006 se hizo entrega de la posesión del inmueble al adjudicatario. Por todo ello, considera que la estimación del amparo debe circunscribirse a la mera declaración de la vulneración del derecho a la tutela judicial efectiva de la recurrente, sin declarar la nulidad y la retroacción de actuaciones solicitada en la demanda de amparo, pues afectaría a los derechos legítimamente adquiridos de terceros.</w:t>
      </w:r>
    </w:p>
    <w:p w:rsidR="0052098F" w:rsidRDefault="0052098F" w:rsidP="0052098F">
      <w:pPr>
        <w:pStyle w:val="TextoNormal"/>
      </w:pPr>
    </w:p>
    <w:p w:rsidR="0052098F" w:rsidRDefault="0052098F" w:rsidP="0052098F">
      <w:pPr>
        <w:pStyle w:val="TextoNormal"/>
      </w:pPr>
      <w:r w:rsidRPr="0052098F">
        <w:rPr>
          <w:rStyle w:val="NumeroAFNegritaCaracter"/>
        </w:rPr>
        <w:t>8</w:t>
      </w:r>
      <w:r>
        <w:t>. Por providencia de 17 de enero de 2008, se señaló para la deliberación y votación de la presente Sentencia el día 21 del mismo mes y año.</w:t>
      </w:r>
    </w:p>
    <w:p w:rsidR="0052098F" w:rsidRDefault="0052098F" w:rsidP="0052098F">
      <w:pPr>
        <w:pStyle w:val="TextoNormal"/>
      </w:pPr>
    </w:p>
    <w:p w:rsidR="0052098F" w:rsidRDefault="0052098F" w:rsidP="0052098F">
      <w:pPr>
        <w:pStyle w:val="TextoNormalNegritaCentrado"/>
        <w:keepNext/>
      </w:pPr>
      <w:r>
        <w:lastRenderedPageBreak/>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presente demanda de amparo tiene por objeto la impugnación del Auto del Juzgado de Primera Instancia núm. 5 de Almería, de 10 de enero de 2005, que declaró no haber lugar al incidente de nulidad de actuaciones promovido por la recurrente en amparo en el procedimiento de ejecución hipotecaria núm. 150-2004, por no habérsele notificado la existencia de dicho procedimiento para poder intervenir en su condición de acreedora hipotecaria del bien ejecutado en el avalúo y subasta de éste, al considerar el órgano judicial que el Registrador de la Propiedad no tiene que efectuar comunicaciones a los titulares de derechos respecto de los que en el momento de la expedición de la certificación de cargas solamente consta el asiento de presentación (art.  353.1 del Reglamento hipotecario, RH, en relación con el art. 659 de la Ley de enjuiciamiento civil, LEC 2000).</w:t>
      </w:r>
    </w:p>
    <w:p w:rsidR="0052098F" w:rsidRDefault="0052098F" w:rsidP="0052098F">
      <w:pPr>
        <w:pStyle w:val="TextoNormal"/>
      </w:pPr>
      <w:r>
        <w:t>La demandante de amparo estima que ha resultado vulnerado su derecho a la tutela judicial efectiva, sin que, en ningún caso, pueda producirse indefensión (art. 24.1 CE). Argumenta al respecto que un asiento de presentación es un derecho inscrito a todos los efectos (arts. 24 y 25 de la Ley hipotecaria: LH) y que ella era titular de un derecho que aparecía en un asiento posterior a la hipoteca que se estaba ejecutando y en el que figuraba su domicilio, por lo que, de acuerdo con los arts. 659 y 689 LEC 2000, debía habérsele comunicado la existencia del procedimiento de ejecución. La falta de dicha comunicación le ha impedido tener conocimiento de la certificación de cargas expedida para el mencionado procedimiento, así como de la subasta del bien ejecutado, por lo que no pudo tomar parte en el mismo para defender su derecho de crédito.</w:t>
      </w:r>
    </w:p>
    <w:p w:rsidR="0052098F" w:rsidRDefault="0052098F" w:rsidP="0052098F">
      <w:pPr>
        <w:pStyle w:val="TextoNormal"/>
      </w:pPr>
      <w:r>
        <w:t>El Ministerio Fiscal se pronuncia a favor de la estimación de la demanda de amparo. A su juicio, la LEC 2000 (art. 659 en relación con el art. 689.2) establece el deber de comunicar el procedimiento de ejecución hipotecaria a los acreedores hipotecarios que aparezcan en asientos posteriores al del derecho del ejecutante, incluso aunque se trate de asientos de presentación, con la finalidad de salvaguardar su derecho a conocer el estado de ejecución y poder participar en dicho procedimiento ejercitando los derechos legalmente reconocidos. En este caso, el órgano jurisdiccional ha incurrido en una interpretación de la legalidad procesal aplicable excesivamente formalista y rigurosa desde la perspectiva del principio pro actione, habiendo cercenado el acceso al proceso de la demandante de amparo para ejercer como acreedora hipotecaria los derechos que tiene legalmente reconocidos.</w:t>
      </w:r>
    </w:p>
    <w:p w:rsidR="0052098F" w:rsidRDefault="0052098F" w:rsidP="0052098F">
      <w:pPr>
        <w:pStyle w:val="TextoNormal"/>
      </w:pPr>
    </w:p>
    <w:p w:rsidR="0052098F" w:rsidRDefault="0052098F" w:rsidP="0052098F">
      <w:pPr>
        <w:pStyle w:val="TextoNormal"/>
      </w:pPr>
      <w:r w:rsidRPr="0052098F">
        <w:rPr>
          <w:rStyle w:val="NumeroAFNegritaCaracter"/>
        </w:rPr>
        <w:t>2</w:t>
      </w:r>
      <w:r>
        <w:t>. Delimitados en los términos expuestos el objeto del presente recurso de amparo y las posiciones de la demandante y del Ministerio Fiscal, la cuestión a enjuiciar estriba en determinar si la falta de comunicación a la recurrente del procedimiento de ejecución hipotecaria pese a su condición de acreedora hipotecaria del bien ejecutado ha vulnerado su derecho a la tutela judicial efectiva (art. 24.1 CE).</w:t>
      </w:r>
    </w:p>
    <w:p w:rsidR="0052098F" w:rsidRDefault="0052098F" w:rsidP="0052098F">
      <w:pPr>
        <w:pStyle w:val="TextoNormal"/>
      </w:pPr>
      <w:r>
        <w:t xml:space="preserve">La tutela judicial efectiva que garantiza el art. 24.1 CE consiste, como este Tribunal ha declarado en tantas ocasiones, en el derecho que tienen todas las personas al acceso a los órganos jurisdiccionales en el ejercicio de sus derechos e intereses legítimos, con arreglo a las normas de competencia y procedimiento legalmente establecidas y a obtener de los mismos una resolución fundada en Derecho, tras un proceso en el que se garantice adecuadamente el derecho de defensa de los afectados y se respete, entre otros, el principio de contradicción y la igualdad entre las partes. Así pues, el derecho a la tutela judicial efectiva reconocido en el art. 24.1 CE implica la posibilidad de un juicio contradictorio en el que las partes puedan hacer valer sus derechos e intereses legítimos, por lo que es necesario que </w:t>
      </w:r>
      <w:r>
        <w:lastRenderedPageBreak/>
        <w:t>sean traídas al proceso todas aquellas personas que puedan verse afectadas en aquellos derechos e intereses por la resolución que se dicte en su seno, de modo que si el interesado no es llamado al proceso se le priva de la posibilidad de alegar y probar en contradicción con la pretensión que incide sobre sus derechos e intereses, con infracción de los principios de audiencia bilateral y contradicción, desconociéndose de esta forma el derecho fundamental proclamado en el art. 24.1 CE (SSTC 123/1989, de 6 de julio, FJ 2; 6/1992, de 16 de enero, FJ 5). En otras palabras, para entablar y proseguir los procesos con plena observancia del derecho a la tutela judicial efectiva sin indefensión (art. 24.1 CE) resulta exigible una correcta y escrupulosa constitución de la relación jurídico-procesal, para lo que son un instrumento capital los actos de comunicación procesal con la finalidad material de llevar a conocimiento de quienes ostentan algún derecho o interés legítimo la existencia misma del proceso con objeto de que puedan adoptar la postura que estimen pertinente para la defensa de sus derechos e intereses, evitando que se produzcan situaciones de indefensión, por lo que pesa sobre los órganos judiciales la responsabilidad de velar por la correcta constitución de la relación jurídico-procesal. Sólo así cabe garantizar los indispensables principios de contradicción e igualdad de armas (SSTC 87/2002, de 22 de abril, FJ 3; 76/2006, de 13 de marzo, FJ 6; 124/2006, de 24 de abril, FJ 2, por todas).</w:t>
      </w:r>
    </w:p>
    <w:p w:rsidR="0052098F" w:rsidRDefault="0052098F" w:rsidP="0052098F">
      <w:pPr>
        <w:pStyle w:val="TextoNormal"/>
      </w:pPr>
      <w:r>
        <w:t>Cuando, como acontece en este caso, del acceso a la jurisdicción se trata, el control por parte de este Tribunal Constitucional de las resoluciones judiciales impugnadas ha de ser especialmente intenso, pues rige en tales casos el principio pro actione, de estricta observancia para los órganos judiciales y que, si bien no obliga a una ineludible selección de la interpretación más favorable de la legislación aplicable, sí veda cualquier decisión que por su rigorismo, por su formalismo excesivo o por cualquier otra causa muestre una manifiesta desproporción entre los fines que aquélla preserva y los intereses que se sacrifican. En suma cuando aparece comprometido el derecho de acceso al proceso, aunque no es función de este Tribunal interpretar la normativa procesal, sí lo es comprobar que la exégesis realizada por los órganos judiciales no resulta contraria a la Constitución en los términos indicados; esto es, habrá de comprobar que la resolución judicial no es arbitraria, irrazonable o incursa en error patente, así como que no resulta desproporcionada por su rigorismo o formalismo excesivos (SSTC 205/1999, de 8 de noviembre, FJ 7; 311/2002, de 18 de diciembre, FJ 3; 231/2001, de 26 de noviembre, FJ 2; 211/2002, de 11 de noviembre, FJ 2; 165/2003, de 29 de septiembre, FJ 2; 144/2004, de 13 de septiembre, FJ 2; 294/2005, de 21 de noviembre, FJ 2; 63/2006, de 27 de febrero, FJ 2; 154/2007, de 18 de junio, FJ 2).</w:t>
      </w:r>
    </w:p>
    <w:p w:rsidR="0052098F" w:rsidRDefault="0052098F" w:rsidP="0052098F">
      <w:pPr>
        <w:pStyle w:val="TextoNormal"/>
      </w:pPr>
      <w:r>
        <w:t>A los efectos de una cabal comprensión del alcance e incardinación del citado principio pro actione, bajo la esfera protectora del art. 24.1 CE no resulta improcedente recalcar el carácter más incisivo que posee el canon de acceso al proceso, en el sentido de que interpretaciones judiciales de la legalidad procesal que satisfagan el test de razonabilidad, y de las que incluso fuera predicable “su corrección desde una perspectiva teórica”, pueden comportar una “denegación de acceso a la jurisdicción a partir de una consideración excesivamente rigurosa de la normativa aplicable” (STC 157/1999, de 14 de septiembre, FJ 3) y vulnerar, con ello, el derecho a la tutela judicial efectiva en la citada vertiente (STC 294/2005, de 21 de noviembre, FJ 2).</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este caso, como el Ministerio Fiscal pone acertadamente de manifiesto en su escrito de alegaciones, el órgano judicial en el Auto recurrido ha llevado a cabo una interpretación de la legislación procesal aplicable excesivamente formalista y rigurosa desde la perspectiva del principio pro actione, en virtud de la cual ha denegado a la demandante de amparo la </w:t>
      </w:r>
      <w:r>
        <w:lastRenderedPageBreak/>
        <w:t>posibilidad de acceder al procedimiento ejecutivo por ser titular de un derecho del que solamente constaba el asiento de presentación en el Registro de la Propiedad en el momento de expedir la certificación de cargas (art. 353.1 RH, en relación con el art. 659 LEC 2000).</w:t>
      </w:r>
    </w:p>
    <w:p w:rsidR="0052098F" w:rsidRDefault="0052098F" w:rsidP="0052098F">
      <w:pPr>
        <w:pStyle w:val="TextoNormal"/>
      </w:pPr>
      <w:r>
        <w:t>En efecto, la interpretación sostenida por el órgano judicial no es la más acorde al principio pro actione a tenor de las previsiones de la Ley de enjuiciamiento civil de 2000, conforme a las cuales se ha canalizado en este caso el procedimiento de ejecución hipotecaria (arts. 681 a 698). El art. 689.2 LEC 2000 se remite para la comunicación del procedimiento a los acreedores posteriores a la hipoteca que garantiza el crédito del actor al art. 659, que dispone en su apartado 1, en lo que aquí interesa, que “[E]l registrador comunicará la existencia de la ejecución a los titulares del derecho que figuren en la certificación de cargas y que aparezcan en asientos posteriores al del derecho del ejecutante, siempre que su domicilio conste en el Registro”. Así pues, el precepto transcrito impone la obligación de comunicar la existencia del procedimiento a los titulares de derechos que figuren en la certificación de cargas y que aparezcan en asientos posteriores al derecho del ejecutante, esto es, no exige en su tenor que se trate de derechos inscritos, sino que es suficiente que éstos “aparezcan en asientos posteriores”, sin requerir en ningún caso que se trate de asientos de inscripción, excluyendo, por tanto, los asientos de presentación.  Tal previsión ha de ponerse en relación por lo demás con lo dispuesto en el art. 659.3 LEC 2000, al que remite el art. 689, que, a diferencia de la redacción anterior del art. 131.5 LH, reconoce el derecho de subrogación en los derechos del actor a todos los titulares de los derechos inscritos con posterioridad al gravamen que se ejecuta, no sólo a los que figuren en la certificación de cargas, por lo que, una interpretación de la legalidad procesal aplicable acorde al principio pro actione, en aras de las exigencias constitucionales de las garantías de defensa de los propios derechos e intereses legítimos, ha de conducir a estimar que, si en el momento de expedir la referida certificación consta un asiento de presentación de una escritura de hipoteca posterior, se comunique a su titular la existencia del procedimiento de ejecución para que, una vez inscrito su derecho, pueda comparecer en el procedimiento de ejecución a efectos de hacer valer el derecho reconocido en el art. 659.3 LEC 2000.  En fin, la comunicación de la existencia del proceso a los titulares de derechos que aparezcan en los asientos posteriores al derecho del ejecutante se corresponde también con el art. 24 LH, que establece que “[S]e considera como fecha de la inscripción para todos los efectos que ésta deba producir, la fecha del asiento de presentación que deberá constar en la inscripción misma”, de modo que es la fecha del asiento de presentación, no la de la inscripción definitiva, la que se tiene en cuenta a la hora de determinar los efectos de la inscripción.</w:t>
      </w:r>
    </w:p>
    <w:p w:rsidR="0052098F" w:rsidRDefault="0052098F" w:rsidP="0052098F">
      <w:pPr>
        <w:pStyle w:val="TextoNormal"/>
      </w:pPr>
      <w:r>
        <w:t xml:space="preserve">La preceptiva comunicación a la demandante de amparo de la existencia del procedimiento de ejecución, que resulta de las previsiones de la Ley de enjuiciamiento civil de 2000 en una interpretación conforme al principio pro actione, en cuanto titular de un asiento de presentación de una escritura pública de hipoteca constituida con posterioridad a la del ejecutante y que constaba en la certificación de cargas expedida, venía ya siendo exigida también, como ponen de manifiesto tanto la recurrente como el Ministerio Fiscal, por una línea jurisprudencial de la Sala de lo Civil del Tribunal Supremo en relación con la anterior regulación del procedimiento judicial sumario del art. 131 LH, según la cual “quien figura como titular de un asiento de presentación de escritura de hipoteca, para dar vida a una inscripción posterior a la de la hipoteca, que provoca la ejecución, tiene derecho conforme al párrafo segundo de la regla 5 del artículo 131 de la Ley hipotecaria, a ser notificado de la existencia del procedimiento a los efectos prevenidos en el párrafo precedente” (STS 997/1995, de 20 de noviembre). En este sentido, la Dirección General de los Registros y del Notariado en su Resolución de 24 de agosto de 1981 ha señalado también que, de conformidad con los arts. </w:t>
      </w:r>
      <w:r>
        <w:lastRenderedPageBreak/>
        <w:t>225 y 226.2 RH, la notificación de la existencia del procedimiento prevista en el entonces vigente art. 131, regla 5 LH, debe realizarse también a aquel “que tiene presentado un título en el Registro que pueda provocar un asiento de inscripción o anotación, lo que está plenamente justificado, dado que la fecha de estos asientos si se lleva a cabo su práctica es según el art. 24 de la Ley la del asiento de presentación”.</w:t>
      </w:r>
    </w:p>
    <w:p w:rsidR="0052098F" w:rsidRDefault="0052098F" w:rsidP="0052098F">
      <w:pPr>
        <w:pStyle w:val="TextoNormal"/>
      </w:pPr>
      <w:r>
        <w:t>En definitiva, la interpretación que el órgano judicial ha efectuado de la legislación procesal aplicable al caso ha de calificarse, al menos, de desproporcionada por excesivamente formalista y rigurosa desde la perspectiva del principio pro actione, postergando el tenor literal y la consideración sistemática de las previsiones de la Ley de enjuiciamiento civil de 2000 a lo dispuesto en el art. 353.1 RH.</w:t>
      </w:r>
    </w:p>
    <w:p w:rsidR="0052098F" w:rsidRDefault="0052098F" w:rsidP="0052098F">
      <w:pPr>
        <w:pStyle w:val="TextoNormal"/>
      </w:pPr>
    </w:p>
    <w:p w:rsidR="0052098F" w:rsidRDefault="0052098F" w:rsidP="0052098F">
      <w:pPr>
        <w:pStyle w:val="TextoNormal"/>
      </w:pPr>
      <w:r w:rsidRPr="0052098F">
        <w:rPr>
          <w:rStyle w:val="NumeroAFNegritaCaracter"/>
        </w:rPr>
        <w:t>4</w:t>
      </w:r>
      <w:r>
        <w:t>. La interpretación contraria al principio pro actione que el órgano judicial ha efectuado en este caso de la legislación procesal aplicable se ha traducido en una trasgresión material del derecho a la tutela judicial efectiva de la demandante de amparo causante de una situación de indefensión constitucionalmente relevante, pues, al no habérsele comunicado la existencia del procedimiento de ejecución, pese a ser titular de un derecho de hipoteca que figuraba en la certificación de cargas y que aparecía en un asiento posterior al derecho del ejecutante, constando en el Registro su domicilio, se le ha impedido comparecer en el proceso y ejercer en el seno del mismo la defensa de sus derechos e intereses legítimos, sin que exista dato alguno en las actuaciones del que pueda siquiera inferirse que la recurrente hubiera tenido conocimiento de la existencia de dicho procedimiento o que la situación de indefensión apreciada pudiera imputarse de algún modo a su negligencia o falta de la debida diligencia en la defensa de sus derechos e intereses.</w:t>
      </w:r>
    </w:p>
    <w:p w:rsidR="0052098F" w:rsidRDefault="0052098F" w:rsidP="0052098F">
      <w:pPr>
        <w:pStyle w:val="TextoNormal"/>
      </w:pPr>
      <w:r>
        <w:t>De otra parte la conclusión alcanzada no puede verse alterada por la circunstancia de que, conforme a las vigentes disposiciones de la Ley de enjuiciamiento civil de 2000, no es el órgano judicial, sino el Registrador de la Propiedad el que lleva a cabo la comunicación de la existencia del procedimiento de ejecución, ya que es al órgano judicial a quien, fiscalizando en este caso la actividad desplegada por el Registrador de la Propiedad, le corresponde ex art. 24.1 CE velar por los derechos de defensa de las partes en el seno del proceso, en concreto, como ya hemos tenido ocasión de señalar, por una correcta y escrupulosa constitución de la relación jurídico-procesal.</w:t>
      </w:r>
    </w:p>
    <w:p w:rsidR="0052098F" w:rsidRDefault="0052098F" w:rsidP="0052098F">
      <w:pPr>
        <w:pStyle w:val="TextoNormal"/>
      </w:pPr>
    </w:p>
    <w:p w:rsidR="0052098F" w:rsidRDefault="0052098F" w:rsidP="0052098F">
      <w:pPr>
        <w:pStyle w:val="TextoNormal"/>
      </w:pPr>
      <w:r w:rsidRPr="0052098F">
        <w:rPr>
          <w:rStyle w:val="NumeroAFNegritaCaracter"/>
        </w:rPr>
        <w:t>5</w:t>
      </w:r>
      <w:r>
        <w:t>. En cuanto a los efectos del otorgamiento del amparo, la demandante, en el trámite de alegaciones del art. 52 LOTC, ha manifestado que en el procedimiento hipotecario ya se ha dictado Auto de adjudicación de la vivienda hipotecada a favor de un tercero de buen fe, que ha inscrito su derecho en el Registro de la Propiedad, por lo que no procede retrotraer las actuaciones al objeto de salvaguardar sus intereses frente a quien está protegido por la fe pública registral, interesando, en consecuencia, el reconocimiento del derecho fundamental vulnerado, aunque sea a efectos meramente declarativos, al objeto de poder iniciar en su caso las acciones legales oportunas contra el Registro de la Propiedad y la Administración de Justicia. El Ministerio Fiscal se pronuncia en su escrito de alegaciones en términos idénticos a los de la demandante de amparo, por lo que considera que la estimación del recurso debe circunscribirse a la mera declaración de la vulneración del derecho a la tutela judicial efectiva, sin declaración de nulidad y retroacción de las actuaciones judiciales.</w:t>
      </w:r>
    </w:p>
    <w:p w:rsidR="0052098F" w:rsidRDefault="0052098F" w:rsidP="0052098F">
      <w:pPr>
        <w:pStyle w:val="TextoNormal"/>
      </w:pPr>
      <w:r>
        <w:t xml:space="preserve">A la vista de las alegaciones de la parte actora y del Ministerio Fiscal, por las razones de las que se acaba de dejar constancia, el otorgamiento del amparo ha de circunscribirse en este caso, de conformidad con lo dispuesto en el art. 55.1 LOTC, a la declaración de que ha </w:t>
      </w:r>
      <w:r>
        <w:lastRenderedPageBreak/>
        <w:t>sido vulnerado el derecho de la recurrente en amparo a la tutela judicial efectiva, en su vertiente de derecho de acceso al proceso (art. 24.1 CE).</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Decoración y Coordinación de Gremios, S.L. y, en consecuencia, declarar vulnerado su derecho a la tutela judicial efectiva (art. 24.1 CE).</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0" w:name="SENTENCIA_2008_7"/>
      <w:r>
        <w:lastRenderedPageBreak/>
        <w:t>SENTENCIA 7/2008, de 21 de enero de 2008</w:t>
      </w:r>
    </w:p>
    <w:bookmarkEnd w:id="10"/>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ECLI:ES:TC:2008:7</w:t>
      </w:r>
    </w:p>
    <w:p w:rsidR="0052098F" w:rsidRDefault="0052098F" w:rsidP="0052098F">
      <w:pPr>
        <w:pStyle w:val="SntesisDescriptiva"/>
      </w:pPr>
    </w:p>
    <w:p w:rsidR="0052098F" w:rsidRDefault="0052098F" w:rsidP="0052098F">
      <w:pPr>
        <w:pStyle w:val="SntesisDescriptiva"/>
      </w:pPr>
      <w:r>
        <w:t>Recurso de amparo 1923-2005. Promovido por don José Manuel Quintia Barreiros frente al Auto de un Juzgado de Instrucción de Madrid que decretó el sobreseimiento provisional de diligencias previas por ilegal declaración de guerra y al Acuerdo de la Comisión de asistencia jurídica gratuita que denegó la designación de profesionales del turno de oficio.</w:t>
      </w:r>
    </w:p>
    <w:p w:rsidR="0052098F" w:rsidRDefault="0052098F" w:rsidP="0052098F">
      <w:pPr>
        <w:pStyle w:val="SntesisDescriptiva"/>
      </w:pPr>
    </w:p>
    <w:p w:rsidR="0052098F" w:rsidRDefault="0052098F" w:rsidP="0052098F">
      <w:pPr>
        <w:pStyle w:val="SntesisAnaltica"/>
      </w:pPr>
      <w:r>
        <w:t>Supuesta vulneración del derecho a la tutela judicial efectiva (acceso a la justicia penal): sobreseimiento de causa penal tras denegar la justicia gratuita por insostenible y ofrecer la posibilidad de proseguirla con abogado y procurador de libre designación (STC 12/1998).</w:t>
      </w:r>
    </w:p>
    <w:p w:rsidR="0052098F" w:rsidRDefault="0052098F" w:rsidP="0052098F">
      <w:pPr>
        <w:pStyle w:val="SntesisAnaltica"/>
      </w:pPr>
    </w:p>
    <w:p w:rsidR="0052098F" w:rsidRDefault="0052098F" w:rsidP="0052098F">
      <w:pPr>
        <w:pStyle w:val="Extracto"/>
      </w:pPr>
      <w:r>
        <w:t>1.</w:t>
      </w:r>
      <w:r>
        <w:tab/>
        <w:t>No se vulnera el art. 24.1 CE si resulta patente que el órgano judicial notificó al recurrente, por medio de su representación procesal, la providencia por la que acuerda ratificar el Auto de sobreseimiento y archivo de la causa, por haberse resuelto la denegación de su solicitud de justicia gratuita, absteniéndose la parte de toda actuación procesal [FJ 4].</w:t>
      </w:r>
    </w:p>
    <w:p w:rsidR="0052098F" w:rsidRDefault="0052098F" w:rsidP="0052098F">
      <w:pPr>
        <w:pStyle w:val="Extracto"/>
      </w:pPr>
    </w:p>
    <w:p w:rsidR="0052098F" w:rsidRDefault="0052098F" w:rsidP="0052098F">
      <w:pPr>
        <w:pStyle w:val="Extracto"/>
      </w:pPr>
      <w:r>
        <w:t>2.</w:t>
      </w:r>
      <w:r>
        <w:tab/>
        <w:t>Está excluida del ámbito protector del art. 24.1 CE la indefensión debida a la pasividad, desinterés, negligencia, error técnico o impericia de la parte o de los profesionales que la representan o defienden (SSTC 101/1989, 141/2005) [FJ 4].</w:t>
      </w:r>
    </w:p>
    <w:p w:rsidR="0052098F" w:rsidRDefault="0052098F" w:rsidP="0052098F">
      <w:pPr>
        <w:pStyle w:val="Extracto"/>
      </w:pPr>
    </w:p>
    <w:p w:rsidR="0052098F" w:rsidRDefault="0052098F" w:rsidP="0052098F">
      <w:pPr>
        <w:pStyle w:val="Extracto"/>
      </w:pPr>
      <w:r>
        <w:t>3.</w:t>
      </w:r>
      <w:r>
        <w:tab/>
        <w:t>Es incompatible con el art. 24.1 CE la privación de la utilización de la vía de recurso prevista legalmente para casos en los que la pretensión fuera considerada insostenible por los Abogados designados de oficio, sin dar al justiciable la oportunidad de designar Letrado de su libre elección (SSTC 37/1988, 182/2002) [FJ 3].</w:t>
      </w:r>
    </w:p>
    <w:p w:rsidR="0052098F" w:rsidRDefault="0052098F" w:rsidP="0052098F">
      <w:pPr>
        <w:pStyle w:val="Extracto"/>
      </w:pPr>
    </w:p>
    <w:p w:rsidR="0052098F" w:rsidRDefault="0052098F" w:rsidP="0052098F">
      <w:pPr>
        <w:pStyle w:val="Extracto"/>
      </w:pPr>
      <w:r>
        <w:t>4.</w:t>
      </w:r>
      <w:r>
        <w:tab/>
        <w:t>Doctrina sobre la denegación del beneficio de asistencia jurídica gratuita por insostenibilidad de la pretensión (SSTC 206/1987, 12/1998) [FJ 2].</w:t>
      </w:r>
    </w:p>
    <w:p w:rsidR="0052098F" w:rsidRDefault="0052098F" w:rsidP="0052098F">
      <w:pPr>
        <w:pStyle w:val="Extracto"/>
      </w:pPr>
    </w:p>
    <w:p w:rsidR="0052098F" w:rsidRDefault="0052098F" w:rsidP="0052098F">
      <w:pPr>
        <w:pStyle w:val="Extracto"/>
      </w:pPr>
      <w:r>
        <w:t>5.</w:t>
      </w:r>
      <w:r>
        <w:tab/>
        <w:t>Es la queja formulada en la demanda de amparo, y no la formulada en el escrito en el que se anuncia la intención de interponer recurso, la rectora del proceso constitucional, acotando, definiendo y limitando la pretensión (SSTC 138/1986, 20/2003) [FJ 1].</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1923-2005, promovido por don José Manuel Quintia Barreiros, representado por la Procuradora de los Tribunales doña Adelaida Yolanda Girbal Marín y asistido por la Abogada doña Mercedes Paciencia García, contra el Auto dictado el 4 de junio de 2004 por el Juzgado de Instrucción núm. 35 de Madrid por el que se decreta el sobreseimiento provisional y archivo de las diligencias previas núm. 4317-2004, y el Acuerdo de 15 de febrero de 2005 de la Comisión de Asistencia Jurídica de Madrid, que desestima la solicitud del demandante de amparo de designación de profesionales del turno de oficio para recurrir contra dicha resolución judicial. Ha intervenido el Ministerio Fiscal. Ha sido Ponente el Magistrado don Manuel Aragón Reyes,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que tuvo entrada en el Registro General de este Tribunal el día 17 de marzo de 2005, don José Manuel Quintia Barreiros, interno en el Centro penitenciario de Madrid-VI (Aranjuez), manifestó su voluntad de interponer recurso de amparo contra el Acuerdo de 15 de febrero de 2005 de la Comisión de Asistencia Jurídica de Madrid, que desestima su solicitud de designación de profesionales del turno de oficio para recurrir contra el Auto del Juzgado de Instrucción núm. 35 de Madrid de 4 de junio de 2004 por el que se decreta el sobreseimiento provisional y archivo de las diligencias previas núm. 4317-2004, incoadas en virtud de denuncia formulada por el demandante de amparo y otros, al considerar insostenible la pretensión del demandante. Tras las gestiones oportunas fueron designadas por los Colegios respectivos, a través del turno de oficio, doña Mercedes Paciencia García como Abogada y doña Adelaida Yolanda Girbal Marín como Procuradora. Mediante diligencia de ordenación de la Secretaría de Justicia de la Sala Primera de este Tribunal de 22 de abril de 2005 se tuvieron por efectuadas dichas designaciones y se dio traslado de los escritos y documentos aportados por el recurrente a la citada Procuradora, confiriendo un plazo de veinte días para que, bajo la dirección de la Letrada designada por el turno de oficio, se formulara la correspondiente demanda de amparo, que tuvo efectivamente su entrada en el Registro General de este Tribunal el día 9 de mayo de 2005.</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de los que trae causa la demanda de amparo, relevantes para la resolución de este recurso, son los que se expresan a continuación: a) Don José Manuel Quintia Barreiros y otros tres, todos ellos internos en el Centro penitenciario Madrid-VI (Aranjuez), remitieron una denuncia al Juzgado de guardia de Madrid contra don José María Aznar López, ex Presidente del Gobierno de España, como presunto autor de delitos tipificados en los arts. 588 y 590 del Código penal, por haberse arrogado las competencias para declarar la guerra y firmar la paz que el art. 63.3 CE asigna en exclusiva al Rey y a las Cortes Generales, </w:t>
      </w:r>
      <w:r>
        <w:lastRenderedPageBreak/>
        <w:t xml:space="preserve">exponiendo los denunciantes que don José María Aznar había tomado la decisión de asociarse e implicarse en un pacto político militar con los EE UU de Norteamérica y el Reino Unido para invadir y declarar la guerra a Irak sin amparo de la ONU, y responsabilizándole por ello del ataque terrorista cometido en Madrid el 11 de marzo de 2004. Dicha denuncia, que tuvo entrada en el Decanato de los Juzgados de Instrucción de Madrid el 31 de mayo de 2004, fue turnada al Juzgado de Instrucción núm. 35 de Madrid, que incoó las diligencias previas núm. 4317-2004, dictándose Auto de sobreseimiento provisional y archivo el 4 de junio de 2004 por no quedar debidamente acreditada la perpetración de infracción penal alguna, de conformidad con lo prevenido en los arts. 641.1, 774 y 779.1.1 LECrim, haciéndose constar que contra dicho Auto cabe interponer recurso de reforma o apelación en el plazo de tres días. El Auto fue notificado al demandante de amparo y al resto de denunciantes el 20 de septiembre de 2004. b) Mediante escrito fechado el 21 de septiembre de 2004, que tuvo entrada en el Juzgado de Instrucción núm. 35 de Madrid el 28 de septiembre de 2004, el demandante de amparo y los otros denunciantes interpusieron contra el Auto de 4 de junio de 2004 recurso de reforma y subsidiario de apelación, en el que designaban para su representación al Abogado don Pablo Gómez de Travesedo, indicando las señas del despacho del mismo. c) En respuesta a dicho escrito, el Juzgado de Instrucción núm. 35 de Madrid dictó la providencia de 6 de octubre de 2004 (notificada el 8 de octubre al demandante de amparo) del siguiente tenor literal: "Dada cuenta; por recibido el anterior escrito presentado por José Manuel Quintia Barreiros por el que se interpone recurso de reforma, únase a las presentes actuaciones al igual que el sobre remitido por correo ordinario conteniendo una copia del mismo. No ha lugar a su admisión, por cuanto que conforme establece el art. 221 LECrim adolece del defecto de no estar autorizado por firma de Letrado, a dichos efectos se concede un plazo de tres días para su subsanación". d) Mediante escrito presentado con fecha 10 de octubre de 2004 el demandante de amparo, tras quejarse de que el Juzgado no hubiese requerido al Abogado designado en el escrito de recurso fechado el 21 de septiembre de 2004, acabó solicitando que, en virtud de lo dispuesto en la Ley de asistencia jurídica gratuita y por cumplir sus requisitos, le fuesen designados Abogado y Procurador del turno de oficio, para representarle y defenderle en el recurso de reforma y subsidiario de apelación contra el Auto de 4 de junio de 2004 de sobreseimiento provisional y archivo de las diligencias previas núm. 4317-2004. e) Por providencia de 28 de octubre de 2004 el Juzgado de Instrucción núm. 35 de Madrid acordó librar oficio a los Colegios de Abogados y Procuradores de esta capital a fin de que le fueran designados al recurrente profesionales que por turno correspondan, para la defensa y representación de sus intereses, a los efectos del recurso que pretende interponer. f) Mediante providencia de 12 de noviembre de 2004 el Juzgado tuvo por efectuadas las oportunas designaciones y acordó requerir a la Procuradora del turno de oficio designada para que, en plazo de tres días, procediese a subsanar el defecto de que adolecía el recurso de reforma presentado por el recurrente, con apercibimiento de que en otro caso adquiriría firmeza el Auto de 4 de junio de 2004 por el que se acuerda el sobreseimiento provisional y archivo de las actuaciones. Por escrito presentado el 22 de noviembre de 2004 la Procuradora designada solicita del Juzgado que se concrete el defecto que ha de ser subsanado, dictándose por el Juzgado providencia de 26 de noviembre de 2004, acordando que le sea notificada la providencia de 6 de octubre de 2004, en la que se señala el defecto a subsanar. g) Con fecha 3 de diciembre de 2004 la Procuradora del recurrente presentó escrito ante el Juzgado indicando que la Abogada designada para la defensa de oficio había presentado ante la Comisión de Asistencia Jurídica Gratuita escrito -cuya copia se adjuntaba- manifestando la insostenibilidad de la pretensión del recurrente, con fundamento en dos Autos de la Sala de lo Penal del Tribunal Supremo </w:t>
      </w:r>
      <w:r>
        <w:lastRenderedPageBreak/>
        <w:t>de fecha 24 de enero de 2004 y 7 de abril de 2004, que también se acompañaban junto al referido escrito, en los que se habían inadmitido multitud de querellas y denuncias interpuestas contra el ex-Presidente del Gobierno de España don José María Aznar López por los mismos hechos e imputaciones delictivas. Dicho escrito fue también enviado al Juzgado por el Secretario de la Comisión de Asistencia Jurídica Gratuita de Madrid, informándose que, de conformidad con lo dispuesto en el art. 33.2 de la Ley de asistencia jurídica gratuita, se había dado traslado del mismo al Colegio de Abogados de Madrid para que emita dictamen sobre la insostenibilidad de la pretensión. Por providencia de 14 de diciembre de 2004 el Juzgado de Instrucción núm. 35 de Madrid acuerda requerir al Colegio de Abogados de Madrid y a la Procuradora del recurrente para que aporten al Juzgado de la resolución que se emita sobre la insostenibilidad de la pretensión. h) El día 10 de febrero de 2005 la Comisión de Asistencia Jurídica Gratuita de Madrid dictó resolución acordando, de conformidad con lo dispuesto en los arts. 33 y 34 de la Ley de asistencia jurídica gratuita, desestimar la solicitud de asistencia jurídica gratuita del recurrente, considerada insostenible por la Letrada designada, al haber sido emitidos dictámenes vinculantes por el Colegio de Abogados de Madrid y por el Ministerio Fiscal considerando insostenible la pretensión del recurrente. Dicha resolución fue comunicada el 15 de febrero de 2005 al Juzgado de Instrucción núm. 35 de Madrid por oficio del Secretario de la Comisión de Asistencia Jurídica Gratuita de Madrid en el que se indica que, con esa misma fecha, se remite notificación personal con acuse de recibo al interesado. i) Por providencia de 18 de febrero de 2005, notificada el siguiente 23 de febrero a la Procuradora del recurrente, el Juzgado tuvo por recibido el anterior oficio y decidió, "a la vista de que se informa de la insostenibilidad del recurso planteado", estar a lo acordado "en el Auto por el que se acordaba el sobreseimiento provisional de las presentes actuaciones". Por escrito de 10 de marzo de 2005, que tuvo entrada en este Tribunal el siguiente 17 de marzo, el recurrente manifestó su intención de interponer recurso de amparo contra el citado acuerdo de 15 de febrero de 2005 de la Comisión de Asistencia Jurídica de Madrid, que desestima su solicitud de asistencia jurídica gratuita para recurrir contra el Auto del Juzgado de Instrucción núm. 35 de Madrid de 4 de junio de 2004, por el que se decreta el sobreseimiento provisional y archivo de las diligencias previas núm. 4317-2004. El recurrente considera que la denegación de asistencia jurídica gratuita por insostenibilidad de la pretensión es arbitraria y le ocasiona una situación de indefensión efectiva, pues carece de medios económicos para costearse un Abogado "de pago".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la demanda de amparo se imputa al Juzgado de Instrucción núm. 35 de Madrid la lesión del derecho a la tutela judicial efectiva (art. 24.1 CE). Se afirma que, de acuerdo con la doctrina constitucional (STC 12/1998, de 15 de enero), la denegación de asistencia jurídica gratuita por insostenibilidad de la pretensión no supone en sí una infracción del art. 24.1 CE, pero sí se produce tal vulneración cuando, denegada por tal motivo la designación de profesionales del turno de oficio, no se haya dado por el órgano judicial opción al justiciable de designar un Letrado de su libre elección que lo asista y, en su caso, un Procurador que lo represente. Tal sucede en el presente caso, en el que se vulnera el derecho a la tutela judicial efectiva del recurrente, al privársele de su derecho a los recursos legalmente establecidos, toda vez que el Juzgado de Instrucción núm. 35 de Madrid se limitó a notificar el Auto de sobreseimiento y archivo de la causa al recurrente por providencia de 9 de septiembre de 20004, quedando las actuaciones en el mismo estado de archivo en el que se encuentran, sin que conste resolución alguna del Juzgado notificando al recurrente la denegación de su solicitud de asistencia jurídica gratuita y otorgándole plazo para que designe Abogado y Procurador de su libre elección para la interposición del recurso de reforma y subsidiario </w:t>
      </w:r>
      <w:r>
        <w:lastRenderedPageBreak/>
        <w:t>de apelación contra el Auto de sobreseimiento y archivo de 4 de junio de 2004. Se sostiene en la demanda de amparo que en supuestos similares el Tribunal Constitucional (SSTC 37/1988, de 3 de marzo, 106/1988, de 8 de junio y 12/1993, de 18 de enero) ha entendido que la legítima opción por la asistencia letrada del turno de oficio no puede impedir al ciudadano acudir, en su caso, a un Abogado de su libre designación, pues en caso contrario se estaría dando un trato distinto a quienes litiguen con Letrado del turno de oficio que a quienes litiguen con letrado libremente designado, por cuanto estos últimos nunca verán impedido su acceso al recurso por el juicio negativo de otro Letrado acerca de la sostenibilidad del mismo. Por todo ello se interesa el otorgamiento del amparo por vulneración del derecho a la tutela judicial efectiva (art. 24.1 CE), anulando el Auto de sobreseimiento y archivo de 4 de junio de 2004, para que el órgano judicial dicte nueva resolución que permita al recurrente la opción de nombrar Abogado y Procurador de su libre elección.</w:t>
      </w:r>
    </w:p>
    <w:p w:rsidR="0052098F" w:rsidRDefault="0052098F" w:rsidP="0052098F">
      <w:pPr>
        <w:pStyle w:val="TextoNormal"/>
      </w:pPr>
    </w:p>
    <w:p w:rsidR="0052098F" w:rsidRDefault="0052098F" w:rsidP="0052098F">
      <w:pPr>
        <w:pStyle w:val="TextoNormal"/>
      </w:pPr>
      <w:r w:rsidRPr="0052098F">
        <w:rPr>
          <w:rStyle w:val="NumeroAFNegritaCaracter"/>
        </w:rPr>
        <w:t>4</w:t>
      </w:r>
      <w:r>
        <w:t>. Por diligencia de ordenación de 17 de abril de 2007 la Secretaría de Justicia de la Sala Primera de este Tribunal requirió, conforme a lo previsto en el art. 88 LOTC, al Juzgado de Instrucción núm. 35 de Madrid para que en el plazo de diez días remitiese testimonio de de las diligencias previas de procedimiento abreviado núm. 4317-2004.</w:t>
      </w:r>
    </w:p>
    <w:p w:rsidR="0052098F" w:rsidRDefault="0052098F" w:rsidP="0052098F">
      <w:pPr>
        <w:pStyle w:val="TextoNormal"/>
      </w:pPr>
    </w:p>
    <w:p w:rsidR="0052098F" w:rsidRDefault="0052098F" w:rsidP="0052098F">
      <w:pPr>
        <w:pStyle w:val="TextoNormal"/>
      </w:pPr>
      <w:r w:rsidRPr="0052098F">
        <w:rPr>
          <w:rStyle w:val="NumeroAFNegritaCaracter"/>
        </w:rPr>
        <w:t>5</w:t>
      </w:r>
      <w:r>
        <w:t>. Recibido el testimonio de actuaciones solicitado, por providencia de 20 de junio de 2007 la Sección Primera de este Tribunal acordó admitir a trámite la demanda de amparo y, no habiendo otras partes que emplazar, dar vista de las actuaciones por un plazo común de veinte días al Ministerio Fiscal y a la Procuradora del demandante de amparo, para que dentro de dicho plazo presentasen las alegaciones que a su derecho conviniesen, conforme determina el art. 52 LOTC.</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El Ministerio Fiscal presentó su escrito de alegaciones el 4 de septiembre de 2007, interesando que se dicte Sentencia denegando el amparo solicitado, por no existir la pretendida vulneración del derecho a la tutela judicial efectiva ( art. 24.1 CE) que se invoca en la demanda de amparo. Considera el Ministerio Fiscal que el curso procesal de las actuaciones no coincide con el descrito en la demanda de amparo, ni tampoco coincide ésta con la queja esgrimida por el recurrente en su escrito fechado el 10 de marzo de 2005, por el que anunció ante este Tribunal su intención de interponer recurso de amparo. En efecto, no es correcto afirmar que la única actuación del Juzgado de Instrucción núm. 35 de Madrid fuera la notificación al recurrente del Auto de sobreseimiento y archivo por providencia de 9 de septiembre de 2004. El examen de las actuaciones pone de manifiesto que, tras serle notificado dicho Auto y providencia, se interpuso por el demandante de amparo recurso de reforma y subsidiario de apelación contra dicho Auto, y que por el Juzgado se le otorgó un plazo de tres días para que subsanase el defecto de falta de firma de Letrado; asimismo consta que, tras la solicitud del recurrente de justicia gratuita, se requirió por el Juzgado a los Colegios de Abogados y Procuradores de Madrid para que designasen profesionales del turno de oficio para la defensa y representación del recurrente y que, una vez denegada la solicitud de asistencia jurídica gratuita, por insostenibilidad de la pretensión, el Juzgado dictó providencia de 18 de febrero de 2005 ratificando el sobreseimiento provisional y archivo de las diligencias previas, providencia que fue notificada a la representación procesal del recurrente en amparo, que se aquietó a la misma. Por otro lado consta igualmente que cuando la Comisión de Asistencia Jurídica Gratuita comunicó al recurrente la desestimación de su solicitud de justicia gratuita le informó que ello había sido notificado también al órgano judicial. </w:t>
      </w:r>
      <w:r>
        <w:lastRenderedPageBreak/>
        <w:t>De todo ello resulta -concluye el Fiscal- que el recurrente en ningún momento ha solicitado al Juzgado de Instrucción núm. 35 de Madrid que se le permitiese designar Abogado de su elección para poder proseguir con su recurso contra el Auto de sobreseimiento y archivo. La demanda de amparo imputa al Juzgado la vulneración del derecho a la tutela judicial efectiva por no haber dictado resolución notificando al recurrente la denegación de su solicitud de asistencia jurídica gratuita y otorgándole plazo para que designe Abogado y Procurador de su libre elección para la interposición del recurso de reforma y subsidiario de apelación contra el Auto de sobreseimiento y archivo de 4 de junio de 2004, pero lo cierto es que la Ley 1/1996, de asistencia jurídica gratuita, no contiene ninguna previsión de ese tipo como la que pretende el recurrente, ni la jurisprudencia constitucional que se cita puede ser trasladada, sin mas, al presente supuesto, pues aquí no estamos ante un ciudadano al que no se le haya posibilitado la designación de un Letrado de su libre elección, derecho del que en modo alguno se ha privado al recurrente. Por el contrario, resulta que se le concedió trámite de subsanación del defecto de falta de firma de Letrado en su recurso, ante lo cual solicitó asistencia jurídica gratuita, y resulta asimismo que, tras conocer el recurrente la desestimación de su solicitud de designación de Abogado y Procurador de oficio, por insostenibilidad de su pretensión, le fue notificada por el Juzgado a su representación procesal la decisión de ratificar por tal motivo el archivo de la causa, pese a lo cual se abstuvo de toda actuación procesal, aquietándose a la referida resolución judicial, por lo que no se le puede imputar a la actuación del Juzgado de Instrucción la vulneración del derecho a la tutela judicial efectiva por privación de la utilización de la vía del recurso prevista legalmente.</w:t>
      </w:r>
    </w:p>
    <w:p w:rsidR="0052098F" w:rsidRDefault="0052098F" w:rsidP="0052098F">
      <w:pPr>
        <w:pStyle w:val="TextoNormal"/>
      </w:pPr>
    </w:p>
    <w:p w:rsidR="0052098F" w:rsidRDefault="0052098F" w:rsidP="0052098F">
      <w:pPr>
        <w:pStyle w:val="TextoNormal"/>
      </w:pPr>
      <w:r w:rsidRPr="0052098F">
        <w:rPr>
          <w:rStyle w:val="NumeroAFNegritaCaracter"/>
        </w:rPr>
        <w:t>7</w:t>
      </w:r>
      <w:r>
        <w:t>. La representación procesal del recurrente en amparo no presentó alegaciones.</w:t>
      </w:r>
    </w:p>
    <w:p w:rsidR="0052098F" w:rsidRDefault="0052098F" w:rsidP="0052098F">
      <w:pPr>
        <w:pStyle w:val="TextoNormal"/>
      </w:pPr>
    </w:p>
    <w:p w:rsidR="0052098F" w:rsidRDefault="0052098F" w:rsidP="0052098F">
      <w:pPr>
        <w:pStyle w:val="TextoNormal"/>
      </w:pPr>
      <w:r w:rsidRPr="0052098F">
        <w:rPr>
          <w:rStyle w:val="NumeroAFNegritaCaracter"/>
        </w:rPr>
        <w:t>8</w:t>
      </w:r>
      <w:r>
        <w:t>. Por providencia de 17 de enero de 2008 se acordó señalar para deliberación y votación de la presente Sentencia el día 21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Como ha quedado reflejado en el relato de antecedentes y ha puesto de relieve en sus alegaciones el Ministerio Fiscal, la queja formulada por el recurrente en su escrito de 10 de marzo de 2005 por el que anunció ante este Tribunal su intención de interponer recurso de amparo, difiere de la formulada finalmente en la demanda de amparo, presentada el 9 de mayo de 2005, pues si en aquel escrito el recurrente sostiene que la denegación de asistencia jurídica gratuita por insostenibilidad de la pretensión es arbitraria y le ocasiona una situación de indefensión efectiva, por carecer de medios económicos para costearse un Abogado de libre elección, en la demanda de amparo se sostiene que la lesión que se denuncia del derecho a la tutela judicial efectiva (art. 24.1 CE), en su vertiente de acceso a los recursos, la ha provocado el Juzgado de Instrucción núm. 35 de Madrid, por no notificar al recurrente la denegación de su solicitud de asistencia jurídica gratuita ni darle ocasión de designar Abogado y Procurador de su libre elección para la interposición del recurso de reforma y subsidiario de apelación contra el Auto de sobreseimiento y archivo de 4 de junio de 2004. Pues bien, es justamente la queja formulada en la demanda de amparo la única que ha de merecer nuestra atención, pues es esta demanda la rectora del proceso constitucional, la que acota, define y delimita la pretensión y a la que hay que atenerse, en suma, para resolver el recurso de amparo (que se inicia precisamente con la demanda, como establece el art. 49.1 LOTC), en relación con las infracciones constitucionales que en ella se invocan, como hemos tenido </w:t>
      </w:r>
      <w:r>
        <w:lastRenderedPageBreak/>
        <w:t>ocasión de recordar reiteradamente (por todas, SSTC 138/1986, de 7 de noviembre, FJ 1; 39/1999, de 22 de marzo, FJ 2; 185/2000, de 27 de marzo, FJ 2; y 20/2003, de 10 de febrero, FJ 2).</w:t>
      </w:r>
    </w:p>
    <w:p w:rsidR="0052098F" w:rsidRDefault="0052098F" w:rsidP="0052098F">
      <w:pPr>
        <w:pStyle w:val="TextoNormal"/>
      </w:pPr>
    </w:p>
    <w:p w:rsidR="0052098F" w:rsidRDefault="0052098F" w:rsidP="0052098F">
      <w:pPr>
        <w:pStyle w:val="TextoNormal"/>
      </w:pPr>
      <w:r w:rsidRPr="0052098F">
        <w:rPr>
          <w:rStyle w:val="NumeroAFNegritaCaracter"/>
        </w:rPr>
        <w:t>2</w:t>
      </w:r>
      <w:r>
        <w:t>. No es necesario insistir, por otra parte, en que la denegación del beneficio de asistencia jurídica gratuita por insostenibilidad de la pretensión, conforme al procedimiento establecido en la Ley 1/1996, de 10 de enero, de asistencia jurídica gratuita, no supone per se infracción alguna del derecho a la tutela judicial efectiva del justiciable -en la propia demanda de amparo se parte de esta premisa- pues, como hemos señalado en la STC 12/1998, de 15 de enero, FJ 4 a), la denegación de dicho beneficio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éste que, como ya declaramos en la STC 206/1987, se encuentra entre los que legítimamente puede perseguir el legislador a la hora de limitar el libre ejercicio del derecho de acceso a los órganos jurisdiccionales". Por otra parte, como también señalamos en la STC 12/1998, FJ 4 b), "el hecho de que no sea un órgano judicial el que, en último término, se pronuncie sobre la sostenibilidad o no de la pretensión a los efectos de la pérdida del beneficio de asistencia jurídica gratuita, tampoco puede ser tenido por contrario al art. 24.1 CE, por cuanto el simple examen acerca de si el ejercicio de una pretensión procesal es o no jurídicamente viable no puede, en modo alguno, equipararse al enjuiciamiento sobre el fondo de aquella"; a lo que se añade que "la obtención de una decisión sobre la sostenibilidad de la pretensión por parte de un órgano totalmente ajeno a los intereses particulares del beneficiario de la asistencia jurídica gratuita... también se encuentra perfectamente asegurada con el sistema que residencia dicha decisión en los Colegios de Abogados y en el Ministerio Fiscal, órganos que se hallan en una posición de imparcialidad y objetividad, dado que carecen de interés propio alguno sobre la pretensión del beneficiario de la asistencia jurídica gratuita cuya sostenibilidad o no han de dictaminar, y, además, son órganos que cuentan con la adecuada cualificación técnica ... lo que les capacita específicamente para llevar a cabo la función de dictaminar si una determinada pretensión merece o no ser enjuiciada, por esta vía de la gratuidad, por los Juzgados y Tribunales del Poder Judicial".</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Descartado pues, que la denegación al demandante de amparo de su solicitud de nombramiento de Abogado y Procurador de oficio, por insostenibilidad de la pretensión, suponga vulneración del art. 24.1 CE, debemos proceder seguidamente a examinar la queja formulada en la demanda de amparo, en la que, como ha quedado expuesto, se afirma que el Juzgado de Instrucción núm. 35 de Madrid ha lesionado el derecho del demandante a la tutela judicial efectiva sin indefensión por no haberle notificado la denegación de su solicitud de justicia gratuita ni haberle ofrecido la posibilidad de designar Abogado y Procurador a su costa para la interposición del recurso de reforma y subsidiario de apelación contra el Auto de sobreseimiento y archivo de las diligencias previas incoadas en virtud de denuncia presentada por el demandante. En la STC 182/2002, de 14 de octubre, FJ 5, recordábamos que este Tribunal ha considerado incompatible con el art.  24.1 CE la privación de la utilización de la vía de recurso prevista legalmente para casos en los que la pretensión fuera considerada insostenible por los Abogados designados de oficio, sin dar al justiciable la oportunidad de designar Letrado de su libre elección. Así, en las SSTC 37/1988, de 3 de </w:t>
      </w:r>
      <w:r>
        <w:lastRenderedPageBreak/>
        <w:t>marzo, y 106/1988, de 8 de junio, consideramos que el párrafo segundo del art. 876 de la Ley de enjuiciamiento criminal (LECrim, redactado por Ley de 16 de julio de 1949) resultaba contrario al citado precepto constitucional en cuanto forzaba a tener por desestimado el recurso de casación cuando la pretensión fuera considerada insostenible por dos Abogados designados de oficio nombrados sucesivamente y el Fiscal estuviera de acuerdo con ello, a pesar de que el recurso no se había sustanciado por circunstancias ajenas a la voluntad del recurrente e, incluso, en contra de su voluntad expresamente manifestada; contradicción que se debía a que se privaba al condenado de un recurso al que tenía derecho por estar previsto en las leyes y porque le proporcionaba acceso a un Tribunal superior al que le condenó, en consonancia con lo requerido por el art. 14.5 del Pacto internacional de derechos civiles y políticos. En el caso expresado entendió este Tribunal que la legítima opción por la asistencia del turno de oficio no puede impedir al ciudadano acudir, en su caso, a un Abogado de su libre designación (SSTC 37/1988, de 3 de marzo, FJ 7, y 106/1988, de 8 de junio, FJ 4), afirmación que fue reiterada en la STC 12/1993, de 18 de enero, FJ 2 (relativa a un supuesto en que fue declarado desierto un recurso de suplicación por aplicación del art. 155 de la Ley de procedimiento laboral), añadiendo la consideración de que, en caso contrario, " se estaría dando un trato distinto a quienes litigan con Letrado del turno de oficio que a quienes litigan con Letrado libremente designado", pues estos últimos nunca verán impedido su acceso al recurso por el juicio negativo de otros Letrados acerca de la sostenibilidad de la pretensión. En sentido similar, la STC 130/2003, de 30 de junio, FJ 4, con cita de la precedente doctrina sentada en SSTC 33/1990, de 26 de febrero, FJ 5, y 213/2001, de 29 de octubre, FJ 2, declara vulnerado el derecho a la tutela judicial efectiva, en su vertiente de acceso al recurso, en un supuesto de inadmisión de recurso de casación por solicitud extemporánea de nombramiento de Procurador de oficio, sin otorgar la posibilidad de interponerlo mediante Procurador  de su libre elección, por cuanto "formulada la petición de nombramiento de Procurador de oficio, la recurrente podía razonablemente esperar una respuesta, bien accediendo a tal nombramiento, bien denegándolo, pero con otorgamiento de plazo para poder designar uno de libre elección". Doctrina que se contiene asimismo en STC 221/2000, de 18 de septiembre, FJ 3, y que hemos reiterado en STC 84/2005, de 18 de abril, FJ 3, para un supuesto de inadmisión de recurso de casación por archivo de la solicitud de nombramiento de Procurador de oficio, sin que en ningún momento se le notificase al recurrente la denegación de justicia gratuita, y sin darle, en consecuencia, la oportunidad de suplir la falta de postulación procesal designando un Procurador a su costa.</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Sin embargo, la aplicación de la citada doctrina constitucional al presente supuesto no puede conducir al resultado apetecido por el recurrente, pues, como acertadamente ha puesto de manifiesto el Ministerio Fiscal, el examen de las actuaciones permite corroborar que la demanda de amparo parte de unas premisas no acordes con la realidad de lo acontecido, de lo que resulta, en definitiva, que la queja que se formula por supuesta vulneración del derecho a la tutela judicial efectiva (art. 24.1 CE) carece de fundamento. En efecto, frente a lo afirmado en la demanda de amparo, los antecedentes del caso revelan que no es cierto que la única actuación del Juzgado de Instrucción núm. 35 de Madrid fuera la notificación al recurrente del Auto de sobreseimiento y archivo de las diligencias previas por providencia de 9 de septiembre de 2004, ni tampoco lo es que no se le notificara la denegación de su solicitud de justicia gratuita. Por el contrario, de las actuaciones resulta que, tras serle notificado dicho Auto y providencia, se interpuso por el demandante de amparo recurso de reforma y subsidiario de apelación contra dicho Auto, y que por el Juzgado se le otorgó mediante providencia de 6 de octubre de 2004 un plazo de tres días para que subsanase el </w:t>
      </w:r>
      <w:r>
        <w:lastRenderedPageBreak/>
        <w:t>defecto de falta de firma de Letrado, ante lo cual el recurrente presentó ante el Juzgado escrito el 10 de octubre de 2004 solicitando que le fuesen designados Abogado y Procurador del turno de oficio, para representarle y defenderle en el recurso de reforma y subsidiario de apelación contra el Auto de sobreseimiento y archivo. Resulta asimismo que el Juzgado requirió oportunamente a los Colegios profesionales correspondientes a fin de que designasen profesionales del turno de oficio para la defensa y representación del recurrente y consta también que, una vez que la Comisión de Asistencia Jurídica Gratuita comunicó al Juzgado la denegación de la solicitud de asistencia jurídica gratuita, por insostenibilidad de la pretensión, el Juzgado dictó providencia de 18 de febrero de 2005 ratificando por tal motivo el Auto de sobreseimiento provisional y archivo de las diligencias previas, providencia que fue notificada el siguiente 23 de febrero a la representación procesal del recurrente en amparo, que se aquietó a la misma. De igual modo ha quedado acreditado, en el caso, que la Comisión de Asistencia Jurídica Gratuita no se limitó a comunicar al Juzgado la resolución denegatoria de la solicitud de justicia gratuita del recurrente, sino que también le fue notificada a éste, informándole que tal resolución había sido puesta en conocimiento del órgano judicial. De todo ello resulta, como bien advierte el Ministerio Fiscal, que al recurrente no se ha visto privado de la posibilidad de designar Letrado y Procurador de su libre elección  para la interposición del recurso de reforma y subsidiario de apelación contra el Auto de 4 de junio de 2004 de sobreseimiento y archivo. Es patente que el órgano judicial notificó al recurrente, por medio de su representación procesal, la providencia por la que acuerda ratificar el Auto de sobreseimiento y archivo de la causa, por haberse resuelto por la Comisión de Asistencia Jurídica Gratuita la denegación de su solicitud de justicia gratuita, pese a lo cual la parte se abstuvo de toda actuación procesal, pues ni impugnó la referida providencia, en su caso, ni procedió a designar a su costa profesionales para la interposición del recurso contra el Auto de sobreseimiento y archivo. En definitiva, teniendo en cuenta las circunstancias de este caso, no cabe apreciar vulneración del derecho a la tutela judicial efectiva sin indefensión, porque el demandante de amparo no se ha visto privado de su derecho al recurso legalmente establecido como consecuencia de un efecto automático del juicio técnico de insostenibilidad de la pretensión, ni por una decisión arbitraria o irrazonable del órgano judicial, sin darle la posibilidad de lo que ahora solicita a través de su recurso de amparo, esto es, la libre designación de Procurador y Abogado, una vez frustrado su intento de representación y defensa por el turno de oficio, sino que la pretendida indefensión alegada se debe, a la postre, a la propia conducta procesal de la parte, debiendo recordarse una vez más que una queja de indefensión adquiere relevancia constitucional cuando la indefensión es material, esto es, real y efectiva, e imputable a la incorrecta actuación del órgano jurisdiccional, estando excluida del ámbito protector del art. 24.1 CE la indefensión debida a la pasividad, desinterés, negligencia, error técnico o impericia de la parte o de los profesionales que la representan o defienden (entre otras muchas, SSTC 101/1989, de 5 de junio, FJ 5; 237/2001, de 18 de diciembre, FJ 5; 109/2002, de 6 de mayo, FJ 2; 87/2003, de 19 de mayo, FJ 5; 5/2004, de 16 de enero, FJ 6; y 141/2005, de 6 de junio, FJ 2).</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lastRenderedPageBreak/>
        <w:t>Ha decidido</w:t>
      </w:r>
    </w:p>
    <w:p w:rsidR="0052098F" w:rsidRDefault="0052098F" w:rsidP="0052098F">
      <w:pPr>
        <w:pStyle w:val="TextoNormalCentrado"/>
        <w:keepNext/>
      </w:pPr>
    </w:p>
    <w:p w:rsidR="0052098F" w:rsidRDefault="0052098F" w:rsidP="0052098F">
      <w:pPr>
        <w:pStyle w:val="TextoNormal"/>
      </w:pPr>
      <w:r>
        <w:t>Denegar el amparo solicitado por don José Manuel Quintia Barreiros.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1" w:name="SENTENCIA_2008_8"/>
      <w:r>
        <w:lastRenderedPageBreak/>
        <w:t>SENTENCIA 8/2008, de 21 de enero de 2008</w:t>
      </w:r>
    </w:p>
    <w:bookmarkEnd w:id="11"/>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ECLI:ES:TC:2008:8</w:t>
      </w:r>
    </w:p>
    <w:p w:rsidR="0052098F" w:rsidRDefault="0052098F" w:rsidP="0052098F">
      <w:pPr>
        <w:pStyle w:val="SntesisDescriptiva"/>
      </w:pPr>
    </w:p>
    <w:p w:rsidR="0052098F" w:rsidRDefault="0052098F" w:rsidP="0052098F">
      <w:pPr>
        <w:pStyle w:val="SntesisDescriptiva"/>
      </w:pPr>
      <w:r>
        <w:t>Recurso de amparo 4029-2005. Promovido por el Gobierno de Cantabria respecto a los Autos de la Audiencia Provincial de Cantabria y de un Juzgado de Instrucción de Santander que denegaron su personación en causa de jurado por delito de muerte violenta de una mujer.</w:t>
      </w:r>
    </w:p>
    <w:p w:rsidR="0052098F" w:rsidRDefault="0052098F" w:rsidP="0052098F">
      <w:pPr>
        <w:pStyle w:val="SntesisDescriptiva"/>
      </w:pPr>
    </w:p>
    <w:p w:rsidR="0052098F" w:rsidRDefault="0052098F" w:rsidP="0052098F">
      <w:pPr>
        <w:pStyle w:val="SntesisAnaltica"/>
      </w:pPr>
      <w:r>
        <w:t>Vulneración del derecho a la tutela judicial efectiva (acceso a la justicia penal): derechos fundamentales de los entes públicos; denegación del ejercicio de la acción popular en materia de violencia de género a una Administración pública mediante resolución que inaplica una ley autonómica (STC 311/2006). Voto particular.</w:t>
      </w:r>
    </w:p>
    <w:p w:rsidR="0052098F" w:rsidRDefault="0052098F" w:rsidP="0052098F">
      <w:pPr>
        <w:pStyle w:val="SntesisAnaltica"/>
      </w:pPr>
    </w:p>
    <w:p w:rsidR="0052098F" w:rsidRDefault="0052098F" w:rsidP="0052098F">
      <w:pPr>
        <w:pStyle w:val="Extracto"/>
      </w:pPr>
      <w:r>
        <w:t>1.</w:t>
      </w:r>
      <w:r>
        <w:tab/>
        <w:t>Se viola el derecho a la tutela judicial efectiva, en su vertiente de acceso a la justicia penal, si se deniega el ejercicio de la acción popular en materia de violencia de género a una Administración pública que lo tenía reconocido mediante una ley autonómica (SSTC 175/2001, 311/2006) [FJ 3].</w:t>
      </w:r>
    </w:p>
    <w:p w:rsidR="0052098F" w:rsidRDefault="0052098F" w:rsidP="0052098F">
      <w:pPr>
        <w:pStyle w:val="Extracto"/>
      </w:pPr>
    </w:p>
    <w:p w:rsidR="0052098F" w:rsidRDefault="0052098F" w:rsidP="0052098F">
      <w:pPr>
        <w:pStyle w:val="Extracto"/>
      </w:pPr>
      <w:r>
        <w:t>2.</w:t>
      </w:r>
      <w:r>
        <w:tab/>
        <w:t>Doctrina sobre el acceso a la justicia penal de los entes públicos [FJ 3].</w:t>
      </w:r>
    </w:p>
    <w:p w:rsidR="0052098F" w:rsidRDefault="0052098F" w:rsidP="0052098F">
      <w:pPr>
        <w:pStyle w:val="Extracto"/>
      </w:pPr>
    </w:p>
    <w:p w:rsidR="0052098F" w:rsidRDefault="0052098F" w:rsidP="0052098F">
      <w:pPr>
        <w:pStyle w:val="Extracto"/>
      </w:pPr>
      <w:r>
        <w:t>3.</w:t>
      </w:r>
      <w:r>
        <w:tab/>
        <w:t>Procede otorgar el amparo con carácter tan solo declarativo, dados los efectos negativos que para la rápida resolución de un procedimiento penal de la gravedad del que está en el origen de este tendría otro pronunciamiento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4029-2005, promovido por la Letrada de los Servicios Jurídicos del Gobierno de Cantabria, en la representación que legalmente ostenta, contra el Auto núm. 59/2005, dictado por la Audiencia Provincial de Cantabria, Sección Tercera, de fecha 28 de marzo de 2005, por el que se desestima el recurso de apelación interpuesto contra los Autos de 25 de octubre de 2004 y de 1 de enero de 2005, dictados por el Juzgado de Instrucción núm. 1 de Santander, por los que se deniega al Gobierno de Cantabria la personación en ejercicio de la acción popular en el procedimiento del Tribunal del Jurado, </w:t>
      </w:r>
      <w:r>
        <w:lastRenderedPageBreak/>
        <w:t>rollo 2-2004, por muerte violenta de doña Elisa Calderón Zubillaga. Ha intervenido el Ministerio Fiscal y ha sido Ponente el Magistrado don Eugeni Gay Montalvo,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Por escrito registrado en este Tribunal el día 1 de junio de 2005 la Letrada de los Servicios Jurídicos del Gobierno de Cantabria, en la representación que legalmente ostenta, interpuso demanda de amparo constitucional contra la resolución judicial de que se hace mérito en el encabezamiento por entender que vulneraba los arts. 24.1 y 15 CE. Mediante otrosí se solicitaba la suspensión de la resolución recurrida.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demanda de amparo tiene su origen en los siguientes hechos: </w:t>
      </w:r>
    </w:p>
    <w:p w:rsidR="0052098F" w:rsidRDefault="0052098F" w:rsidP="0052098F">
      <w:pPr>
        <w:pStyle w:val="TextoNormal"/>
      </w:pPr>
      <w:r>
        <w:t xml:space="preserve">a) El 7 de octubre de 2004 el Gobierno de Cantabria se personó ejerciendo la acción popular en el procedimiento de Tribunal de Jurado 2-2004 que se seguía en el Juzgado de Instrucción núm. 1 de Santander por delito de violencia de género con resultado de muerte. Mediante Auto de 25 de octubre de 2004 el Juzgado acordó no tener por personado y parte en calidad de acusación popular al Gobierno de Cantabria. </w:t>
      </w:r>
    </w:p>
    <w:p w:rsidR="0052098F" w:rsidRDefault="0052098F" w:rsidP="0052098F">
      <w:pPr>
        <w:pStyle w:val="TextoNormal"/>
      </w:pPr>
      <w:r>
        <w:t xml:space="preserve">b) Frente a dicho Auto recurrió el Gobierno de Cantabria en reforma y subsidiaria apelación, invocando la previsión contenida en el artículo 18 de la Ley de Cantabria 1/2004, de 1 de abril, para la prevención de la violencia contra las mujeres y la protección a sus víctimas. El recurso fue desestimado por Auto del Juzgado de 1 de enero de 2005. </w:t>
      </w:r>
    </w:p>
    <w:p w:rsidR="0052098F" w:rsidRDefault="0052098F" w:rsidP="0052098F">
      <w:pPr>
        <w:pStyle w:val="TextoNormal"/>
      </w:pPr>
      <w:r>
        <w:t>c) Interpuesto recurso de apelación, la Audiencia Provincial, mediante Auto de 28 de marzo de 2005, confirmó lo acordado por el Juez y declaró no tener por personado al Gobierno de Cantabria. Fueron argumentos de la Sala los siguientes: (1) El art. 125 CE limita la acción popular a los “ciudadanos”, lo que, según la STC 129/2001, de 4 de junio, debe interpretarse limitado a las personas privadas. (2) La presente causa se sigue por delito público y no pudiendo tener el Gobierno de Cantabria otro interés que la defensa del interés público, tal función es ya asumida por el Ministerio Fiscal. (3) El artículo 18 de la Ley de Cantabria para la prevención de la violencia contra las mujeres y la protección a sus víctimas autoriza el ejercicio de la acción popular a la Comunidad Autónoma en la forma y condiciones establecidas por la legislación procesal, habiendo sido esta legislación “interpretada por el TC en los términos ya expuestos”.</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Con fundamento en este itinerario procesal el mencionado Gobierno autonómico presenta recurso de amparo. En su demanda considera que las resoluciones citadas lesionan, en primer lugar, su derecho a la tutela judicial efectiva, en su vertiente de derecho de acceso a la jurisdicción (art. 24.1 CE). Tras poner de manifiesto que las Administraciones públicas gozan, según la doctrina de este Tribunal, del derecho a la tutela judicial efectiva —especialmente cuando, como en el presente caso, no se pretende la defensa de un acto propio dictado en el ejercicio de su potestad administrativa, sino de la defensa del interés general y de los principios básicos de un sistema democrático—, la parte recurrente en amparo alega que la Audiencia Provincial ha vulnerado su derecho de acceso a la jurisdicción, en tanto en cuanto la denegación de la acción popular se ha basado en una interpretación restrictiva y contraria al principio pro actione del art. 125 CE y de la capacidad de acceso de las Administraciones públicas al ejercicio de la acción popular. La demanda de amparo señala, en segundo lugar, que las resoluciones judiciales citadas han vulnerado asimismo el derecho a </w:t>
      </w:r>
      <w:r>
        <w:lastRenderedPageBreak/>
        <w:t>la vida e integridad física de las personas (art. 15 CE) en cuanto no permiten su protección por la Administración autonómica, que tiene obligación de prestarla.</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La Sala Segunda del Tribunal Constitucional, por providencia de 29 de marzo de 2007,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con excepción de la demandante de amparo, para que, si lo desearen, pudiesen comparecer en el plazo de diez días en el presente proceso de amparo. </w:t>
      </w:r>
    </w:p>
    <w:p w:rsidR="0052098F" w:rsidRDefault="0052098F" w:rsidP="0052098F">
      <w:pPr>
        <w:pStyle w:val="TextoNormal"/>
      </w:pPr>
      <w:r>
        <w:t>Por providencia de la misma fecha se acordó formar la oportuna pieza para la tramitación del incidente de suspensión, en la que, tras los trámites oportunos, se dictó ATC 232/2007, de 7 de mayo, acordando el archivo de la misma por carencia sobrevenida de objeto al haber finalizado el procedimiento penal en el que se denegó a la parte recurrente su personación como acusación popular.</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3 de septiembre de 2007 se acordó dar vista de las actuaciones recibidas a la parte recurrente y al Ministerio Fiscal, por plazo común de veinte días, para presentar las alegaciones que estimasen pertinentes, de conformidad con el art. 52.1 LOTC.</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Por escrito registrado el 5 de octubre de 2007 el Ministerio Fiscal, cumplimentando el trámite de alegaciones, interesó la estimación del amparo. </w:t>
      </w:r>
    </w:p>
    <w:p w:rsidR="0052098F" w:rsidRDefault="0052098F" w:rsidP="0052098F">
      <w:pPr>
        <w:pStyle w:val="TextoNormal"/>
      </w:pPr>
      <w:r>
        <w:t xml:space="preserve">En su escrito el Ministerio Fiscal procede, en primer lugar, a delimitar el objeto de la demanda de amparo. A estos efectos señala que debe prescindirse de la alegación relativa a la vulneración del derecho a la vida e integridad física de las personas (art. 15 CE), no sólo porque tal alegación carece de la más mínima fundamentación según el contenido del propio derecho fundamental, sino también porque la parte recurrente no se refiere a la misma en el suplico de la demanda. </w:t>
      </w:r>
    </w:p>
    <w:p w:rsidR="0052098F" w:rsidRDefault="0052098F" w:rsidP="0052098F">
      <w:pPr>
        <w:pStyle w:val="TextoNormal"/>
      </w:pPr>
      <w:r>
        <w:t>A continuación procede al examen de la queja relativa a la vulneración del derecho a la tutela judicial efectiva por restricción del derecho de acceso al proceso (art. 24.1 CE). Este examen —afirma el Ministerio Fiscal— ha de efectuarse necesariamente contemplando la STC 311/2006, de 23 de octubre, que resolvió un recurso ciertamente similar al que se considera. Para el Ministerio Fiscal son rasgos principales de la interpretación jurisprudencial realizada por el Tribunal Constitucional del art. 125 CE los siguientes: a) La STC 175/2001, de 26 de julio, del Pleno dio entrada dentro del término “ciudadanos” que utiliza el art. 125 CE a las personas jurídico-públicas. b) El establecimiento de la acción popular (art. 125 CE) es una decisión que corresponde al legislador, sin que venga impuesta por los artículos 125 o 24.1 CE. Ahora bien, una vez establecida legalmente la acción popular en un determinado proceso, habrá de considerarse como un medio de acceso a la jurisdicción. Siendo ésta la interpretación jurisprudencial que el Tribunal Constitucional ha hecho del art. 125 CE en su aplicación a un caso similar al presente, procede concluir que el Gobierno de Cantabria ha sido privado indebidamente del ejercicio de la acción popular.</w:t>
      </w:r>
    </w:p>
    <w:p w:rsidR="0052098F" w:rsidRDefault="0052098F" w:rsidP="0052098F">
      <w:pPr>
        <w:pStyle w:val="TextoNormal"/>
      </w:pPr>
    </w:p>
    <w:p w:rsidR="0052098F" w:rsidRDefault="0052098F" w:rsidP="0052098F">
      <w:pPr>
        <w:pStyle w:val="TextoNormal"/>
      </w:pPr>
      <w:r w:rsidRPr="0052098F">
        <w:rPr>
          <w:rStyle w:val="NumeroAFNegritaCaracter"/>
        </w:rPr>
        <w:t>7</w:t>
      </w:r>
      <w:r>
        <w:t>. El 19 de octubre de 2007 tuvo entrada en este Tribunal escrito de alegaciones presentado por la Letrada de los Servicios Jurídicos del Gobierno de Cantabria, que insiste en las alegaciones mantenidas con anterioridad en su recurso de amparo.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8</w:t>
      </w:r>
      <w:r>
        <w:t>. Por providencia de 17 de enero de 2008, se señaló para deliberación y votación de la presente Sentencia el día 21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demanda de amparo se dirige contra el Auto núm. 59/2005, dictado por la Audiencia Provincial de Cantabria, Sección Tercera, de fecha 28 de marzo de 2005, por el que se desestima el recurso de apelación interpuesto contra los Autos de 25 de octubre de 2004 y de 1 de enero de 2005, dictados por el Juzgado de Instrucción núm. 1 de Santander, por los que se deniega al Gobierno de Cantabria la personación en ejercicio de la acción popular en el procedimiento del Tribunal del Jurado, rollo 2-2004, por muerte violenta de doña Elisa Calderón Zubillaga.</w:t>
      </w:r>
    </w:p>
    <w:p w:rsidR="0052098F" w:rsidRDefault="0052098F" w:rsidP="0052098F">
      <w:pPr>
        <w:pStyle w:val="TextoNormal"/>
      </w:pPr>
      <w:r>
        <w:t>La parte recurrente aduce la vulneración del derecho a la tutela judicial efectiva, en su vertiente de derecho de acceso a la jurisdicción (art. 24.1 CE), argumentando a estos efectos que la denegación del derecho de tutela judicial efectiva a las Administraciones públicas sólo tiene sentido cuando lo ejercen para la defensa de sus actos propios dictados en el ejercicio de una potestad administrativa, pero no, como es el caso, cuando lo hacen en defensa de los intereses generales y básicos de la comunidad, cual es la protección integral de las mujeres frente a la violencia de género, en competencias que tienen transferidas. La restricción de tal derecho supone una lesión de su derecho a intervenir en el proceso y, por lo tanto, de su derecho de acceso a la jurisdicción. La parte demandante añade también que las resoluciones judiciales citadas han supuesto una restricción al Gobierno de Cantabria de la posibilidad de intervenir en el correspondiente proceso en protección de los derechos a la vida y a la integridad física (art. 15 CE) de las víctimas de la violencia contra las mujeres.</w:t>
      </w:r>
    </w:p>
    <w:p w:rsidR="0052098F" w:rsidRDefault="0052098F" w:rsidP="0052098F">
      <w:pPr>
        <w:pStyle w:val="TextoNormal"/>
      </w:pPr>
      <w:r>
        <w:t>En sus alegaciones el Ministerio Fiscal interesó la estimación del amparo. Para el Ministerio Fiscal la aplicación al presente asunto de la doctrina contenida en la STC 311/2006, de 23 de octubre, que otorgó el amparo a la Comunidad Autónoma Valenciana en un supuesto muy similar al presente, tiene como resultado la indicada estimación.</w:t>
      </w:r>
    </w:p>
    <w:p w:rsidR="0052098F" w:rsidRDefault="0052098F" w:rsidP="0052098F">
      <w:pPr>
        <w:pStyle w:val="TextoNormal"/>
      </w:pPr>
    </w:p>
    <w:p w:rsidR="0052098F" w:rsidRDefault="0052098F" w:rsidP="0052098F">
      <w:pPr>
        <w:pStyle w:val="TextoNormal"/>
      </w:pPr>
      <w:r w:rsidRPr="0052098F">
        <w:rPr>
          <w:rStyle w:val="NumeroAFNegritaCaracter"/>
        </w:rPr>
        <w:t>2</w:t>
      </w:r>
      <w:r>
        <w:t>. Procede, en primer lugar, determinar el objeto de la presente demanda de amparo. A estos efectos ha de indicarse que la alegación relativa a la vulneración del derecho a la vida e integridad física (art. 15 CE) no puede ser analizada en este proceso, ya que la misma no va dirigida a reparar una lesión concreta y efectiva de un derecho fundamental de la parte demandante.</w:t>
      </w:r>
    </w:p>
    <w:p w:rsidR="0052098F" w:rsidRDefault="0052098F" w:rsidP="0052098F">
      <w:pPr>
        <w:pStyle w:val="TextoNormal"/>
      </w:pPr>
      <w:r>
        <w:t>En consecuencia nuestro examen ha de centrarse exclusivamente en la denunciada vulneración del derecho a la tutela judicial efectiva, en su vertiente de derecho de acceso a la jurisdicción (art. 24.1 CE), del Gobierno de Cantabria. Éste considera que la denegación por los órganos judiciales del ejercicio de la acción popular que le reconoce el artículo 18 de la Ley de Cantabria 1/2004, de 1 de abril, integral para la prevención de la violencia contra las mujeres y la protección a sus víctimas, se ha basado en una interpretación del art. 125 CE restrictiva y contraria al principio pro actione.</w:t>
      </w:r>
    </w:p>
    <w:p w:rsidR="0052098F" w:rsidRDefault="0052098F" w:rsidP="0052098F">
      <w:pPr>
        <w:pStyle w:val="TextoNormal"/>
      </w:pPr>
      <w:r>
        <w:t xml:space="preserve">Como se ha expuesto en los antecedentes, la Administración de Cantabria recurrente argumenta que la denegación del derecho a la tutela judicial efectiva a las Administraciones públicas solo tiene sentido cuando lo ejercen para la defensa de sus actos propios dictados en el ejercicio de una potestad administrativa pero no cuando, como es el caso, lo hacen en defensa de intereses generales y básicos de la comunidad, cual es la protección integral de </w:t>
      </w:r>
      <w:r>
        <w:lastRenderedPageBreak/>
        <w:t>las mujeres frente a la violencia de género, en competencias que tiene transferidas. Restringir este derecho supone una lesión de su derecho a intervenir en el proceso y, por tanto, de su derecho de acceso a la jurisdicción (art. 24.1 CE).</w:t>
      </w:r>
    </w:p>
    <w:p w:rsidR="0052098F" w:rsidRDefault="0052098F" w:rsidP="0052098F">
      <w:pPr>
        <w:pStyle w:val="TextoNormal"/>
      </w:pPr>
      <w:r>
        <w:t>Como acertadamente ha puesto de manifiesto el Ministerio Fiscal, para el enjuiciamiento de la cuestión planteada es preciso tomar en consideración la STC 311/2006, de 23 de octubre, que otorgó el amparo a la Comunidad Valenciana en un supuesto muy similar al presente. Ciertamente, al igual que en el supuesto que nos ocupa, la citada STC 311/2006 se dictó tras la interposición por la Comunidad Valenciana de un recurso de amparo alegando la vulneración de su derecho de acceso al proceso al haberle sido denegada su personación como acusación popular en un proceso de Tribunal de Jurado seguido por delito de homicidio enmarcado dentro de la violencia de género.</w:t>
      </w:r>
    </w:p>
    <w:p w:rsidR="0052098F" w:rsidRDefault="0052098F" w:rsidP="0052098F">
      <w:pPr>
        <w:pStyle w:val="TextoNormal"/>
      </w:pPr>
    </w:p>
    <w:p w:rsidR="0052098F" w:rsidRDefault="0052098F" w:rsidP="0052098F">
      <w:pPr>
        <w:pStyle w:val="TextoNormal"/>
      </w:pPr>
      <w:r w:rsidRPr="0052098F">
        <w:rPr>
          <w:rStyle w:val="NumeroAFNegritaCaracter"/>
        </w:rPr>
        <w:t>3</w:t>
      </w:r>
      <w:r>
        <w:t>. La Audiencia Provincial de Santander ha denegado la personación del Gobierno de Cantabria en ejercicio de la acción popular en el procedimiento del Tribunal del Jurado a pesar de que dicha personación estaba legalmente prevista en el art. 18 de la Ley autonómica 1/2004, de 1 de abril, de Cantabria, para la prevención de la violencia contra las mujeres y la protección a sus víctimas, basándose fundamentalmente en dos argumentos, que obtienen respuesta en la STC 311/2006, de 23 de octubre, puesto que habían sido utilizados también por la Audiencia Provincial de Valencia.</w:t>
      </w:r>
    </w:p>
    <w:p w:rsidR="0052098F" w:rsidRDefault="0052098F" w:rsidP="0052098F">
      <w:pPr>
        <w:pStyle w:val="TextoNormal"/>
      </w:pPr>
      <w:r>
        <w:t>En primer lugar, la Audiencia Provincial de Cantabria realizó una interpretación del art. 125 CE, con apoyo en la STC 129/2001, de 4 de junio, FJ 4, según la cual la titularidad de la acción popular se ostenta sólo por personas privadas, ya que el art.  125 CE se refiere a los ciudadanos. Pues bien, el fundamento jurídico 3 de la citada STC 311/2006 recuerda que la STC 129/2001 en la que se apoyó la Audiencia Provincial de Santander es previa a la Sentencia del Pleno 175/2001, de 26 de julio. A continuación la STC 311/2006 señala que la Sentencia del Pleno 175/2001 afrontó la cuestión de la titularidad del derecho a la tutela judicial efectiva sin indefensión por parte de las entidades jurídico-públicas, y señala que en ella se dijo que nada impide la ampliación del término “ciudadanos” a las personas jurídico-públicas a la luz del reconocimiento a las mismas de la titularidad en ámbitos específicos del derecho a la tutela judicial efectiva.</w:t>
      </w:r>
    </w:p>
    <w:p w:rsidR="0052098F" w:rsidRDefault="0052098F" w:rsidP="0052098F">
      <w:pPr>
        <w:pStyle w:val="TextoNormal"/>
      </w:pPr>
      <w:r>
        <w:t>Por consiguiente la interpretación del art. 125 CE realizada en la decisión judicial objeto del presente recurso de amparo ha sido declarada contraria el principio pro actione por la STC 311/2006 a partir del cambio doctrinal acontecido con la Sentencia del Pleno 175/2001.</w:t>
      </w:r>
    </w:p>
    <w:p w:rsidR="0052098F" w:rsidRDefault="0052098F" w:rsidP="0052098F">
      <w:pPr>
        <w:pStyle w:val="TextoNormal"/>
      </w:pPr>
      <w:r>
        <w:t>El segundo argumento empleado por la Audiencia Provincial de Cantabria para no tener por personado y parte en calidad de acusación popular al Gobierno de Cantabria consiste en afirmar que la única finalidad que persigue el Gobierno cántabro —la defensa el interés general— está ya siendo ejercida por el Ministerio Fiscal.</w:t>
      </w:r>
    </w:p>
    <w:p w:rsidR="0052098F" w:rsidRDefault="0052098F" w:rsidP="0052098F">
      <w:pPr>
        <w:pStyle w:val="TextoNormal"/>
      </w:pPr>
      <w:r>
        <w:t>También este segundo argumento había obtenido respuesta en la tantas veces citada STC 311/2006, de 23 de octubre, cuyo fundamento jurídico 5 considera que, cuando la Ley autonómica prevé que la Comunidad Autónoma se persone como acción popular en algunos procesos seguidos por violencia de género, esa posibilidad legal “no puede desconocerse por los órganos judiciales e inaplicarse”, como ocurre de facto en el presente caso, con el argumento de que con ello se crea una nueva forma de acusación que invade la legislación estatal y contradice la doctrina del Tribunal Constitucional.</w:t>
      </w:r>
    </w:p>
    <w:p w:rsidR="0052098F" w:rsidRDefault="0052098F" w:rsidP="0052098F">
      <w:pPr>
        <w:pStyle w:val="TextoNormal"/>
      </w:pPr>
      <w:r>
        <w:t xml:space="preserve">A estos efectos la STC 311/2006 retoma la STC del Pleno 175/2001 para recordar que “corresponde a la Ley procesal determinar los casos en que las personas públicas disponen de acciones procesales para la defensa del interés general que tienen encomendado” y que, una vez que la Ley ha incorporado dichos mecanismos procesales, “la interpretación judicial </w:t>
      </w:r>
      <w:r>
        <w:lastRenderedPageBreak/>
        <w:t>de las normas de acceso al proceso estará guiada, también en relación con las personas públicas, por el principio pro actione cuando se trata del acceso a la jurisdicción, ya que la limitación del alcance del art. 24.1 CE en relación con las personas públicas actúa respecto del legislador, no en relación con el juez” (FJ 2.a).</w:t>
      </w:r>
    </w:p>
    <w:p w:rsidR="0052098F" w:rsidRDefault="0052098F" w:rsidP="0052098F">
      <w:pPr>
        <w:pStyle w:val="TextoNormal"/>
      </w:pPr>
      <w:r>
        <w:t>Por lo demás, la STC 311/2006 concluye que “los órganos judiciales no pueden fiscalizar las normas postconstitucionales con rango de ley” y añade, acto seguido, que “en el ejercicio de la jurisdicción de amparo, desde la perspectiva del derecho de acceso al proceso aquí alegado, existiendo una ley vigente, no impugnada ante este Tribunal, que prevé la posibilidad de ejercicio de la acción popular por la Generalitat Valenciana, no compete a este Tribunal pronunciarse sobre la oportunidad de tal previsión legal ni sobre su constitucionalidad” (FJ 5).</w:t>
      </w:r>
    </w:p>
    <w:p w:rsidR="0052098F" w:rsidRDefault="0052098F" w:rsidP="0052098F">
      <w:pPr>
        <w:pStyle w:val="TextoNormal"/>
      </w:pPr>
    </w:p>
    <w:p w:rsidR="0052098F" w:rsidRDefault="0052098F" w:rsidP="0052098F">
      <w:pPr>
        <w:pStyle w:val="TextoNormal"/>
      </w:pPr>
      <w:r w:rsidRPr="0052098F">
        <w:rPr>
          <w:rStyle w:val="NumeroAFNegritaCaracter"/>
        </w:rPr>
        <w:t>4</w:t>
      </w:r>
      <w:r>
        <w:t>. La estimación de la vulneración del derecho a la tutela judicial efectiva sin indefensión (art. 24.1 CE) en su faceta de derecho de acceso al proceso tiene normalmente como efecto la declaración de nulidad de las resoluciones impugnadas y la retroacción de actuaciones hasta el momento anterior al que fueron dictadas para dar ocasión a quien vio su derecho vulnerado para que, mediante su personación en el proceso, pueda defender sus intereses.</w:t>
      </w:r>
    </w:p>
    <w:p w:rsidR="0052098F" w:rsidRDefault="0052098F" w:rsidP="0052098F">
      <w:pPr>
        <w:pStyle w:val="TextoNormal"/>
      </w:pPr>
      <w:r>
        <w:t>Sin embargo el art. 55.1 LOTC permite modular los efectos del amparo, no siendo obligado en todo caso decretar la nulidad de las resoluciones impugnadas. En este caso el otorgamiento del amparo ha de formularse con carácter tan solo declarativo, dados los efectos negativos que para la rápida resolución de un procedimiento penal de la gravedad del que está en el origen de este amparo tendría otro pronunciamiento.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amparo al Gobierno de Cantabria y, en su virtud, declarar que se ha vulnerado en el caso su derecho a la tutela judicial efectiva (art. 24.1 CE).</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veintiuno de enero de dos mil ocho.</w:t>
      </w:r>
    </w:p>
    <w:p w:rsidR="0052098F" w:rsidRDefault="0052098F" w:rsidP="0052098F">
      <w:pPr>
        <w:pStyle w:val="ParrafoNormal"/>
      </w:pPr>
    </w:p>
    <w:p w:rsidR="0052098F" w:rsidRDefault="0052098F" w:rsidP="0052098F">
      <w:pPr>
        <w:pStyle w:val="TextoNormalNegritaCentrado"/>
        <w:keepNext/>
      </w:pPr>
      <w:r>
        <w:t>Voto particular que formula el Magistrado don Vicente Conde Martín de Hijas respecto de la Sentencia de fecha 21 de enero de 2008 dictada en el recurso de amparo núm. 4029-2005.</w:t>
      </w:r>
    </w:p>
    <w:p w:rsidR="0052098F" w:rsidRDefault="0052098F" w:rsidP="0052098F">
      <w:pPr>
        <w:pStyle w:val="TextoNormalNegritaCentrado"/>
        <w:keepNext/>
      </w:pPr>
    </w:p>
    <w:p w:rsidR="0052098F" w:rsidRDefault="0052098F" w:rsidP="0052098F">
      <w:pPr>
        <w:pStyle w:val="TextoNormal"/>
      </w:pPr>
      <w:r>
        <w:t>Con el respeto que siempre me merece el parecer de mis compañeros, aun cuando no lo comparta, haga uso de la facultad establecida en el art. 90.2 LOTC para expresar mi parecer discrepante de la Sentencia, tanto en lo referente a su fundamentación, como a su fallo.</w:t>
      </w:r>
    </w:p>
    <w:p w:rsidR="0052098F" w:rsidRDefault="0052098F" w:rsidP="0052098F">
      <w:pPr>
        <w:pStyle w:val="TextoNormal"/>
      </w:pPr>
      <w:r>
        <w:t xml:space="preserve">Creo que el recurso de amparo debía haberse desestimado, si bien reconociendo que, dada la STC 311/2006, de 23 de octubre, de la Sala Primera de este Tribunal, para llegar a la consecuencia que, a mi juicio, debiera haber sido la procedente, hubiera sido necesario </w:t>
      </w:r>
      <w:r>
        <w:lastRenderedPageBreak/>
        <w:t>elevar el proceso al conocimiento del Pleno del Tribunal, según lo previsto en el art. 13 LOTC.</w:t>
      </w:r>
    </w:p>
    <w:p w:rsidR="0052098F" w:rsidRDefault="0052098F" w:rsidP="0052098F">
      <w:pPr>
        <w:pStyle w:val="TextoNormal"/>
      </w:pPr>
      <w:r>
        <w:t>Mi discrepancia, pues, no se limita a la Sentencia actual, sino que arranca de la discrepancia de la doctrina de la STC 311/2006, de 23 de octubre, de la Sala Primera de este Tribunal, que se sigue en la nuestra, y en un paso más de la STC 175/2001, de 26 de julio, que se utiliza como clave en la STC 311/2006, de 23 de octubre.</w:t>
      </w:r>
    </w:p>
    <w:p w:rsidR="0052098F" w:rsidRDefault="0052098F" w:rsidP="0052098F">
      <w:pPr>
        <w:pStyle w:val="TextoNormal"/>
      </w:pPr>
      <w:r>
        <w:t>Precisamente respecto a esta STC 175/2001, de 26 de julio, manifesté en otro Voto particular mi discrepancia, negando de partida en ella la posible titularidad de derechos fundamentales de los poderes públicos. Mi visión crítica al respecto está contenida en ese Voto (STC 175/2001, de 26 de julio, “Boletín Oficial del Estado” de 14 de agosto de 2001) al que íntegramente me remito.</w:t>
      </w:r>
    </w:p>
    <w:p w:rsidR="0052098F" w:rsidRDefault="0052098F" w:rsidP="0052098F">
      <w:pPr>
        <w:pStyle w:val="TextoNormal"/>
      </w:pPr>
      <w:r>
        <w:t>Niego que un poder público, como es en este caso el Gobierno de Cantabria pueda ser titular de un derecho fundamental de tutela judicial efectiva, susceptible de ser objeto de un recurso de amparo, que es en el que nos movemos en este caso.</w:t>
      </w:r>
    </w:p>
    <w:p w:rsidR="0052098F" w:rsidRDefault="0052098F" w:rsidP="0052098F">
      <w:pPr>
        <w:pStyle w:val="TextoNormal"/>
      </w:pPr>
      <w:r>
        <w:t>Y no me vale partir de que, en línea con la STC 311/2006, de 23 de octubre, existiendo una Ley autonómica que le permita a la Comunidad Autónoma el ejercicio de la acción popular, dada esa Ley, “los órganos judiciales no pueden fiscalizar las normas postconstitucionales con rango de ley”, o que no competa a este Tribunal pronunciarse sobre la constitucionalidad de tal previsión legal.</w:t>
      </w:r>
    </w:p>
    <w:p w:rsidR="0052098F" w:rsidRDefault="0052098F" w:rsidP="0052098F">
      <w:pPr>
        <w:pStyle w:val="TextoNormal"/>
      </w:pPr>
      <w:r>
        <w:t>Una tan acrítica aceptación por este Tribunal del alcance fundamental de la Ley autonómica respecto al derecho de tutela judicial cuyo amparo aquí se pretende, no puedo compartirlo.</w:t>
      </w:r>
    </w:p>
    <w:p w:rsidR="0052098F" w:rsidRDefault="0052098F" w:rsidP="0052098F">
      <w:pPr>
        <w:pStyle w:val="TextoNormal"/>
      </w:pPr>
      <w:r>
        <w:t>Si bien los órganos de la jurisdicción ordinaria están vinculados por la Ley autonómica, si es que no plantean respecto de ella cuestión de constitucionalidad, nuestra posición ante la Ley es diferente.  Al respecto estimo que no podemos considerarnos vinculados por una Ley autonómica, en cuanto base fundante de un pretendido derecho de tutela judicial efectiva de la Comunidad Autónoma, vedándonos de partida un posible juicio de constitucionalidad de la norma de que se trate, y ello aunque no nos movamos en el plano de un proceso abstracto de impugnación de tal Ley.</w:t>
      </w:r>
    </w:p>
    <w:p w:rsidR="0052098F" w:rsidRDefault="0052098F" w:rsidP="0052098F">
      <w:pPr>
        <w:pStyle w:val="TextoNormal"/>
      </w:pPr>
      <w:r>
        <w:t>Para este Tribunal un pretendido derecho de tutela judicial efectiva de un poder público no puede tener asiento en una Ley autonómica, si la Ley, a su vez, podemos considerarla inconstitucional, aunque esa apreciación la hagamos con ocasión de un caso concreto, y limitada a la solución de ese caso, y no en un proceso abstracto de impugnación de la Ley.</w:t>
      </w:r>
    </w:p>
    <w:p w:rsidR="0052098F" w:rsidRDefault="0052098F" w:rsidP="0052098F">
      <w:pPr>
        <w:pStyle w:val="TextoNormal"/>
      </w:pPr>
      <w:r>
        <w:t>En tal sentido mi criterio es el de que la Ley de que ahora se trata (en su art. 18) no es conforme a la Constitución, porque invade un área de competencia exclusiva del Estado, ex art. 149.1.6 CE, en tanto que reguladora de un contenido inequívocamente procesal, que además considero en sí mismo contrario al art. 125 CE. El derecho que en este precepto constitucional, y en coherencia con el mismo en el art. 101 LECrim, se atribuye a “los ciudadanos”, no puede atribuirse por una Ley autonómica a quienes no son ciudadanos, sino órganos del poder público.</w:t>
      </w:r>
    </w:p>
    <w:p w:rsidR="0052098F" w:rsidRDefault="0052098F" w:rsidP="0052098F">
      <w:pPr>
        <w:pStyle w:val="TextoNormal"/>
      </w:pPr>
      <w:r>
        <w:t>Tal atribución, aparte de violentar la lógica constitucional del art. 125 CE, violenta, a mi juicio, el propio sistema constitucional de distribución de funciones en el seno del poder público, en el que la de promover la acción de la justicia se encomienda al Ministerio Fiscal.</w:t>
      </w:r>
    </w:p>
    <w:p w:rsidR="0052098F" w:rsidRDefault="0052098F" w:rsidP="0052098F">
      <w:pPr>
        <w:pStyle w:val="TextoNormal"/>
      </w:pPr>
      <w:r>
        <w:t>En conclusión, si, según mi criterio, la Comunidad Autónoma recurrente no es titular del derecho de tutela judicial efectiva, en los términos en que lo ejerce, para defender una facultad que una Ley autonómica le atribuye en tanto que poder público, y si dicha Ley, a su vez debe ser considerada inconstitucional, falta por completo la base para el otorgamiento del amparo.</w:t>
      </w:r>
    </w:p>
    <w:p w:rsidR="0052098F" w:rsidRDefault="0052098F" w:rsidP="0052098F">
      <w:pPr>
        <w:pStyle w:val="TextoNormal"/>
      </w:pPr>
      <w:r>
        <w:lastRenderedPageBreak/>
        <w:t>En tal sentido emito mi Voto.</w:t>
      </w:r>
    </w:p>
    <w:p w:rsidR="0052098F" w:rsidRDefault="0052098F" w:rsidP="0052098F">
      <w:pPr>
        <w:pStyle w:val="TextoNormal"/>
      </w:pPr>
      <w:r>
        <w:t>Madrid, a veintiuno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2" w:name="SENTENCIA_2008_9"/>
      <w:r>
        <w:lastRenderedPageBreak/>
        <w:t>SENTENCIA 9/2008, de 21 de enero de 2008</w:t>
      </w:r>
    </w:p>
    <w:bookmarkEnd w:id="12"/>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ECLI:ES:TC:2008:9</w:t>
      </w:r>
    </w:p>
    <w:p w:rsidR="0052098F" w:rsidRDefault="0052098F" w:rsidP="0052098F">
      <w:pPr>
        <w:pStyle w:val="SntesisDescriptiva"/>
      </w:pPr>
    </w:p>
    <w:p w:rsidR="0052098F" w:rsidRDefault="0052098F" w:rsidP="0052098F">
      <w:pPr>
        <w:pStyle w:val="SntesisDescriptiva"/>
      </w:pPr>
      <w:r>
        <w:t>Recurso de amparo 4375-2005. Promovido por don Vasile Buie frente al Auto de la Audiencia Provincial de Valladolid que confirmó la denegación de su solicitud de asistencia jurídica gratuita para actuar como acusación particular en unas diligencias previas por delito de estafa.</w:t>
      </w:r>
    </w:p>
    <w:p w:rsidR="0052098F" w:rsidRDefault="0052098F" w:rsidP="0052098F">
      <w:pPr>
        <w:pStyle w:val="SntesisDescriptiva"/>
      </w:pPr>
    </w:p>
    <w:p w:rsidR="0052098F" w:rsidRDefault="0052098F" w:rsidP="0052098F">
      <w:pPr>
        <w:pStyle w:val="SntesisAnaltica"/>
      </w:pPr>
      <w:r>
        <w:t>Vulneración de los derechos a la tutela judicial efectiva (acceso a la justicia penal) y a la asistencia letrada: denegación de la justicia gratuita, con nombramiento de abogado y procurador de oficio, al denunciante de un delito para personarse en causa penal como acusación particular.</w:t>
      </w:r>
    </w:p>
    <w:p w:rsidR="0052098F" w:rsidRDefault="0052098F" w:rsidP="0052098F">
      <w:pPr>
        <w:pStyle w:val="SntesisAnaltica"/>
      </w:pPr>
    </w:p>
    <w:p w:rsidR="0052098F" w:rsidRDefault="0052098F" w:rsidP="0052098F">
      <w:pPr>
        <w:pStyle w:val="Extracto"/>
      </w:pPr>
      <w:r>
        <w:t>1.</w:t>
      </w:r>
      <w:r>
        <w:tab/>
        <w:t>Carece de base legal y resulta constitucionalmente inaceptable la denegación de solicitud de asistencia jurídica gratuita a la víctima de un delito para personarse en la causa penal como acusación particular [FJ 4].</w:t>
      </w:r>
    </w:p>
    <w:p w:rsidR="0052098F" w:rsidRDefault="0052098F" w:rsidP="0052098F">
      <w:pPr>
        <w:pStyle w:val="Extracto"/>
      </w:pPr>
    </w:p>
    <w:p w:rsidR="0052098F" w:rsidRDefault="0052098F" w:rsidP="0052098F">
      <w:pPr>
        <w:pStyle w:val="Extracto"/>
      </w:pPr>
      <w:r>
        <w:t>2.</w:t>
      </w:r>
      <w:r>
        <w:tab/>
        <w:t>Entender que en un delito perseguible de oficio, en el que no es preceptiva la intervención de la acusación particular y en el que el Ministerio público puede y debe representar los intereses del recurrente, no existe derecho a la defensa y representación gratuitas en el procedimiento judicial, supone una restricción injustificada y contraria a las exigencias constitucionales [FJ 4].</w:t>
      </w:r>
    </w:p>
    <w:p w:rsidR="0052098F" w:rsidRDefault="0052098F" w:rsidP="0052098F">
      <w:pPr>
        <w:pStyle w:val="Extracto"/>
      </w:pPr>
    </w:p>
    <w:p w:rsidR="0052098F" w:rsidRDefault="0052098F" w:rsidP="0052098F">
      <w:pPr>
        <w:pStyle w:val="Extracto"/>
      </w:pPr>
      <w:r>
        <w:t>3.</w:t>
      </w:r>
      <w:r>
        <w:tab/>
        <w:t>Toda persona física que sea titular del derecho a la tutela judicial efectiva habrá de gozar del derecho a la gratuidad de la justicia si carece de los recursos suficientes para litigar, en los términos que sea configurado por el legislador ordinario, implicando su privación una violación del art. 24 CE (STC 95/2003) [FJ 2].</w:t>
      </w:r>
    </w:p>
    <w:p w:rsidR="0052098F" w:rsidRDefault="0052098F" w:rsidP="0052098F">
      <w:pPr>
        <w:pStyle w:val="Extracto"/>
      </w:pPr>
    </w:p>
    <w:p w:rsidR="0052098F" w:rsidRDefault="0052098F" w:rsidP="0052098F">
      <w:pPr>
        <w:pStyle w:val="Extracto"/>
      </w:pPr>
      <w:r>
        <w:t>4.</w:t>
      </w:r>
      <w:r>
        <w:tab/>
        <w:t>Doctrina sobre la gratuidad de la asistencia jurídica como instrumento y concreción de la tutela judicial efectiva, igualdad de armas procesales y asistencia letrada, además de como garantía de los intereses de los justiciables y de la justicia (SSTC 16/1994, 217/2007) [FJ 2].</w:t>
      </w:r>
    </w:p>
    <w:p w:rsidR="0052098F" w:rsidRDefault="0052098F" w:rsidP="0052098F">
      <w:pPr>
        <w:pStyle w:val="Extracto"/>
      </w:pPr>
    </w:p>
    <w:p w:rsidR="0052098F" w:rsidRDefault="0052098F" w:rsidP="0052098F">
      <w:pPr>
        <w:pStyle w:val="Extracto"/>
      </w:pPr>
      <w:r>
        <w:t>5.</w:t>
      </w:r>
      <w:r>
        <w:tab/>
        <w:t>El Ministerio Fiscal no monopoliza la iniciativa y el ejercicio de la acción penal, reconociéndose al perjudicado, en todo caso y junto a la acción pública, el ius ut procedatur (STC 179/2004) [FJ 3].</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4375-2005, promovido por don Vasile Buie, representado por la Procuradora de los Tribunales doña Montserrat Sorribes Calle y defendido por el Abogado don Reinhard Konig, contra el Auto de la Sección Cuarta de la Audiencia Provincial de Valladolid, de 9 de mayo de 2005, que desestimó la impugnación contra la Resolución de la Comisión de Asistencia Jurídica Gratuita de Valladolid, de 22 de febrero de 2005, dictada en el expediente 3548-2004, por la que le fue denegada al recurrente su solicitud de asistencia jurídica gratuita. Han intervenido el Abogado del Estado y el Ministerio Fiscal. Ha sido Ponente el Magistrado don Jorge Rodríguez-Zapata Pérez,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Mediante escrito que tuvo entrada en el Registro General de este Tribunal el día 13 de junio de 2005, la Gerencia Territorial de Justicia de Castilla y León en Valladolid remitió un escrito de don Vasile Buie, asistido por el Abogado don Reinhard Konig, en el que manifiesta su voluntad de interponer recurso de amparo contra la resolución judicial que se cita en el encabezamiento. En el mismo se solicita el nombramiento de un Procurador del turno de oficio y se aporta un escrito del Abogado, en el que renuncia expresamente a sus honorarios. Posteriormente, y por el mismo procedimiento, se remitió al Tribunal un escrito, registrado el día 1 de agosto de 2005, en el que el Abogado don Reinhard Konig, en nombre y representación de don Vasile Buie, formula demanda de amparo y reitera la solicitud de nombramiento de Procurador de oficio que le represente. </w:t>
      </w:r>
    </w:p>
    <w:p w:rsidR="0052098F" w:rsidRDefault="0052098F" w:rsidP="0052098F">
      <w:pPr>
        <w:pStyle w:val="TextoNormal"/>
      </w:pPr>
      <w:r>
        <w:t>Efectuada la correspondiente designación, que recayó en la Procuradora de los Tribunales doña Montserrat Sorribes Calle, mediante diligencia de ordenación del Secretario de Justicia de la Sala Primera de este Tribunal de 12 de enero de 2006, se concedió a la citada Procuradora un plazo de diez días para suscribir la demanda de amparo, lo que hizo el día 19 de enero de 2006.</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fundamentos de hecho del recurso son los siguientes: </w:t>
      </w:r>
    </w:p>
    <w:p w:rsidR="0052098F" w:rsidRDefault="0052098F" w:rsidP="0052098F">
      <w:pPr>
        <w:pStyle w:val="TextoNormal"/>
      </w:pPr>
      <w:r>
        <w:t xml:space="preserve">a) El recurrente, que había formulado una denuncia ante la policía por delito de estafa, solicitó el día 26 de mayo de 2005 asistencia jurídica gratuita para personarse como acusación particular en las diligencias previas núm. 698-2004, abiertas en el Juzgado de Instrucción núm. 5 de Valladolid. </w:t>
      </w:r>
    </w:p>
    <w:p w:rsidR="0052098F" w:rsidRDefault="0052098F" w:rsidP="0052098F">
      <w:pPr>
        <w:pStyle w:val="TextoNormal"/>
      </w:pPr>
      <w:r>
        <w:t xml:space="preserve">b) El Ilustre Colegio de Abogados de Valladolid emitió el día 14 de diciembre de 2005 un dictamen, denegando la designación de Abogado de oficio, exponiendo como motivo que “la acusación la ejecuta el Ministerio Fiscal (acción pública)”. </w:t>
      </w:r>
    </w:p>
    <w:p w:rsidR="0052098F" w:rsidRDefault="0052098F" w:rsidP="0052098F">
      <w:pPr>
        <w:pStyle w:val="TextoNormal"/>
      </w:pPr>
      <w:r>
        <w:t>El día 22 de febrero de 2005, la Comisión Provincial de Asistencia Jurídica Gratuita de Valladolid dictó una Resolución, en el expediente núm. 3548-2004, en la que acordó con</w:t>
      </w:r>
      <w:r>
        <w:lastRenderedPageBreak/>
        <w:t xml:space="preserve">firmar la decisión provisional del Colegio de Abogados de Valladolid y denegar al solicitante el reconocimiento del derecho a la asistencia jurídica gratuita “por haber quedado acreditado que para el procedimiento para el que se solicita el derecho a la asistencia jurídica gratuita no es preceptiva la intervención de Abogado y Procurador, ejerciendo la acusación el Ministerio Fiscal”. </w:t>
      </w:r>
    </w:p>
    <w:p w:rsidR="0052098F" w:rsidRDefault="0052098F" w:rsidP="0052098F">
      <w:pPr>
        <w:pStyle w:val="TextoNormal"/>
      </w:pPr>
      <w:r>
        <w:t xml:space="preserve">c) Por Auto de 9 de mayo de 2005, la Sección Cuarta de la Audiencia Provincial de Valladolid desestimó la impugnación de la anterior resolución, con la siguiente fundamentación: </w:t>
      </w:r>
    </w:p>
    <w:p w:rsidR="0052098F" w:rsidRDefault="0052098F" w:rsidP="0052098F">
      <w:pPr>
        <w:pStyle w:val="TextoNormal"/>
      </w:pPr>
      <w:r>
        <w:t xml:space="preserve">“La impugnación realizada por Vasile Buie, ante la negativa de la Comisión de Asistencia Jurídica Gratuita, de no reconocerle tal supuesto derecho, no puede encontrar acogida favorable. </w:t>
      </w:r>
    </w:p>
    <w:p w:rsidR="0052098F" w:rsidRDefault="0052098F" w:rsidP="0052098F">
      <w:pPr>
        <w:pStyle w:val="TextoNormal"/>
      </w:pPr>
      <w:r>
        <w:t xml:space="preserve">En efecto, el art. 6.3 de la Ley de asistencia jurídica gratuita de 10 de enero de 1996 establece que tal derecho comprende: ‘defensa y representación gratuitas por Abogado y Procurador en el procedimiento judicial, cuando la intervención de estos profesionales sea legalmente preceptiva o, cuando, no siéndolo, sea expresamente requerida por el Juzgado o Tribunal mediante Auto motivado para garantizar la igualdad de partes en el proceso’. </w:t>
      </w:r>
    </w:p>
    <w:p w:rsidR="0052098F" w:rsidRDefault="0052098F" w:rsidP="0052098F">
      <w:pPr>
        <w:pStyle w:val="TextoNormal"/>
      </w:pPr>
      <w:r>
        <w:t xml:space="preserve">En el presente caso, nos encontramos ante delitos perseguibles de oficio, por lo que la intervención de la acusación particular no es preceptiva, ni obligatoria, pudiendo y debiendo en su caso representar los intereses del recurrente el Ministerio público, de forma que no encontrándonos en ninguno de los supuestos del artículo mencionado procede desestimar la impugnación. </w:t>
      </w:r>
    </w:p>
    <w:p w:rsidR="0052098F" w:rsidRDefault="0052098F" w:rsidP="0052098F">
      <w:pPr>
        <w:pStyle w:val="TextoNormal"/>
      </w:pPr>
      <w:r>
        <w:t>No se considera, por tanto, que el no reconocimiento del derecho vulnere el art. 14 de la Constitución española, toda vez que una cosa es la obligación legal de ofrecer acciones a los perjudicados para que puedan mostrarse parte en la causa, y otra distinta es que lo hagan de forma gratuita; deberán hacerlo mediante Abogado y Procurador de su libre designación conforme establece el precepto anteriormente señalado”.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El recurrente fundamenta su demanda de amparo en la vulneración de los derechos fundamentales a la igualdad (art. 14 CE) y a la tutela judicial efectiva sin indefensión (art. 24.1 CE), en relación con los derechos a la defensa y a la asistencia letrada (art. 24.2 CE), y a la justicia gratuita (art. 119 CE). </w:t>
      </w:r>
    </w:p>
    <w:p w:rsidR="0052098F" w:rsidRDefault="0052098F" w:rsidP="0052098F">
      <w:pPr>
        <w:pStyle w:val="TextoNormal"/>
      </w:pPr>
      <w:r>
        <w:t xml:space="preserve">Bajo la invocación del derecho a la igualdad (art. 14 CE), se sostiene en la demanda que con la interpretación de la Audiencia Provincial de Valladolid y de la Comisión de Justicia Gratuita, se priva a la víctima del delito que carece de medios económicos de la posibilidad de ejercitar acciones penales, vulnerándose el principio de igualdad por razones económicas. </w:t>
      </w:r>
    </w:p>
    <w:p w:rsidR="0052098F" w:rsidRDefault="0052098F" w:rsidP="0052098F">
      <w:pPr>
        <w:pStyle w:val="TextoNormal"/>
      </w:pPr>
      <w:r>
        <w:t>Por otra parte se denuncia, con cita de una Sentencia de este Tribunal de 1 de julio de 1986, la vulneración del art. 24 CE, ante la indefensión generada al recurrente, a quien se ha privado de la potestad de alegar y contradecir, para sostener sus derechos e intereses. En el escrito inicial se afirmaba también que una persona carente de medios, ignorante del derecho y que apenas sabe castellano no puede articular correctamente una defensa sin asistencia letrada, por lo que la denegación de la justicia gratuita determina la vulneración del derecho de defensa. También se pone de relieve que aunque el derecho a ser parte en la causa puede ejercitarse o no, si se decide ejercer este derecho es preceptiva la presencia de Abogado y Procurador, por lo que el recurrente se encuentra plenamente en el supuesto de hecho recogido en el art. 6.3 de la Ley de justicia gratuita y tenía derecho al nombramiento de Abogado y Procurador del turno de oficio.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4</w:t>
      </w:r>
      <w:r>
        <w:t>. Por providencia de 25 de mayo de 2007, la Sección Segunda acordó la admisión a trámite de la demanda y, a tenor de lo dispuesto en el art. 51 LOTC, requerir a la Sección Cuarta de la Audiencia Provincial de Valladolid y a la Comisión de Asistencia Jurídica Gratuita de Valladolid para que el plazo de diez días remitieran testimonio de los autos núm. 229-2005 y del expediente núm. 3548-2004. Igualmente se acordó dar traslado de la demanda al Abogado del Estado, para que pudiera personarse en el plazo de diez días, si lo estimase procedente.</w:t>
      </w:r>
    </w:p>
    <w:p w:rsidR="0052098F" w:rsidRDefault="0052098F" w:rsidP="0052098F">
      <w:pPr>
        <w:pStyle w:val="TextoNormal"/>
      </w:pPr>
    </w:p>
    <w:p w:rsidR="0052098F" w:rsidRDefault="0052098F" w:rsidP="0052098F">
      <w:pPr>
        <w:pStyle w:val="TextoNormal"/>
      </w:pPr>
      <w:r w:rsidRPr="0052098F">
        <w:rPr>
          <w:rStyle w:val="NumeroAFNegritaCaracter"/>
        </w:rPr>
        <w:t>5</w:t>
      </w:r>
      <w:r>
        <w:t>. El día 30 de mayo de 2007 tuvo entrada en el Registro General de este Tribunal un escrito del Abogado del Estado, por el que se personaba en el presente recurso.</w:t>
      </w:r>
    </w:p>
    <w:p w:rsidR="0052098F" w:rsidRDefault="0052098F" w:rsidP="0052098F">
      <w:pPr>
        <w:pStyle w:val="TextoNormal"/>
      </w:pPr>
    </w:p>
    <w:p w:rsidR="0052098F" w:rsidRDefault="0052098F" w:rsidP="0052098F">
      <w:pPr>
        <w:pStyle w:val="TextoNormal"/>
      </w:pPr>
      <w:r w:rsidRPr="0052098F">
        <w:rPr>
          <w:rStyle w:val="NumeroAFNegritaCaracter"/>
        </w:rPr>
        <w:t>6</w:t>
      </w:r>
      <w:r>
        <w:t>. Una vez recibidas las actuaciones, a través de una diligencia de ordenación de 25 de junio de 2007 se dio vista de las mismas a la parte recurrente, al Ministerio Fiscal y al Abogado del Estado por término de veinte días, dentro de los cuales podrían presentar las alegaciones que estimasen pertinentes, conforme a lo establecido en el art. 52.1 LOTC.</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Abogado del Estado presentó su escrito de alegaciones el día 6 de julio de 2007, interesando la desestimación del recurso de amparo. </w:t>
      </w:r>
    </w:p>
    <w:p w:rsidR="0052098F" w:rsidRDefault="0052098F" w:rsidP="0052098F">
      <w:pPr>
        <w:pStyle w:val="TextoNormal"/>
      </w:pPr>
      <w:r>
        <w:t xml:space="preserve">Comienza afirmando el Abogado del Estado que la invocación del art. 14 CE carece del menor desarrollo, limitándose a la cita del precepto constitucional, sin aportar término de comparación alguno y sin que la posesión o no de medios económicos para sostener un proceso pueda considerarse una base comparativa suficiente para la invocación del art. 14 CE. </w:t>
      </w:r>
    </w:p>
    <w:p w:rsidR="0052098F" w:rsidRDefault="0052098F" w:rsidP="0052098F">
      <w:pPr>
        <w:pStyle w:val="TextoNormal"/>
      </w:pPr>
      <w:r>
        <w:t xml:space="preserve">En cuanto a la denunciada vulneración del derecho a la tutela judicial efectiva (art. 24.1 CE), se sostiene, por una parte, que al recurrente no se le ha impedido ejercitar sus pretensiones acusatorias (pues se le ofrecieron acciones por el Juzgado), siendo su situación económica sólo un obstáculo para ello, cuya remoción dispone de una regulación legal, de conformidad con lo previsto en el art. 119 CE, que reconoce el derecho a la gratuidad en los casos y formas previstos por la ley. Se trata de un derecho prestacional y de configuración legal, cuyo contenido ha de delimitar el legislador (STC 16/1994). Y en el presente caso, en el que no se discuten las condiciones económicas del recurrente, la denegación de la asistencia se basa en que el Ministerio Fiscal ya ha asumido la acusación en el proceso incoado a partir de la denuncia del recurrente. Y el Ministerio Fiscal se encuentra habilitado por la ley para ejercitar todas las pretensiones punitivas y resarcitorias que le puedan corresponder, y a través de su actuación se da satisfacción también a los intereses generales de la justicia, pues —de acuerdo con su configuración legal y constitucional— su obligación es promover la acción de la justicia en defensa de la legalidad, de los derechos de los ciudadanos y del interés público tutelado por la ley. </w:t>
      </w:r>
    </w:p>
    <w:p w:rsidR="0052098F" w:rsidRDefault="0052098F" w:rsidP="0052098F">
      <w:pPr>
        <w:pStyle w:val="TextoNormal"/>
      </w:pPr>
      <w:r>
        <w:t>Por otra parte, considera el Abogado del Estado que no se le ha generado indefensión al recurrente. La Sala ha tomado en consideración que el delito enjuiciado es de carácter público y por ello no es necesaria la acusación particular, pues los intereses del recurrente pueden ser defendidos por el Ministerio Fiscal, sin que en el proceso se justifique la indefensión más allá de la mera referencia a la carencia de medios económicos. La jurisprudencia de este Tribunal ha reconocido al legislador amplias posibilidades de opción en el desarrollo del mandato contenido en el art. 119 CE, lo que le permite modular la gratuidad en función del orden jurisdiccional afectado, del tipo de proceso e incluso de la posición pro</w:t>
      </w:r>
      <w:r>
        <w:lastRenderedPageBreak/>
        <w:t>cesal que se pretenda ocupar, pues no es lo mismo ser acusado que pretender ser parte acusadora en un proceso penal. Por todo ello, entiende el Abogado del Estado que la interpretación que la Audiencia Provincial de Valladolid hace del art. 6.3 de la Ley reguladora de la justicia gratuita se ajusta plenamente a las exigencias constitucionales.</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día 30 de julio de 2007 presentó sus alegaciones el Ministerio Fiscal, interesando la estimación del recurso, al considerar vulnerados los derechos del recurrente a la asistencia letrada (art. 24.2 CE) y a la tutela judicial efectiva (art. 24.1 CE). </w:t>
      </w:r>
    </w:p>
    <w:p w:rsidR="0052098F" w:rsidRDefault="0052098F" w:rsidP="0052098F">
      <w:pPr>
        <w:pStyle w:val="TextoNormal"/>
      </w:pPr>
      <w:r>
        <w:t xml:space="preserve">Tras citar y reproducir parcialmente las SSTC 95/2003, FJ 4; 60/2003, FJ 4, y 81/2002, FJ 5, recuerda el Fiscal que los perjudicados por un delito o falta tienen el derecho a mostrarse parte en el procedimiento y a ejercitar las acciones penales y civiles que procedan ex art. 110 LECrim; y que en el proceso penal, salvo en los juicios de faltas, las partes del proceso han de ir representadas por Procurador y defendidas por Letrado. Partiendo de estas incuestionables premisas, se afirma que la interpretación del art. 6.3 de la Ley 1/1996, de 10 de enero, de asistencia jurídica gratuita, ni se acomoda al tenor literal del precepto, ni a la consolidada doctrina del Tribunal Constitucional. </w:t>
      </w:r>
    </w:p>
    <w:p w:rsidR="0052098F" w:rsidRDefault="0052098F" w:rsidP="0052098F">
      <w:pPr>
        <w:pStyle w:val="TextoNormal"/>
      </w:pPr>
      <w:r>
        <w:t xml:space="preserve">“El entendimiento de que en los procesos penales por delitos perseguibles de oficio, al representar los intereses de los perjudicados el Ministerio Fiscal, la intervención de la acusación particular no es preceptiva, por lo que la intervención de Abogado y Procurador tampoco lo es, confunde la posibilidad de los perjudicados de querer o no mostrarse parte y ejercitar acciones, con la necesidad de que para mostrarse parte hayan de estar representados por Procurador y asistidos por Letrado ineludiblemente. El que no sea preceptivo el ejercicio de la acción, que por lo demás en ningún orden jurisdiccional suele serlo, no puede conllevar a entender que tal voluntariedad del ejercicio implique la inexistencia de derecho a la asistencia jurídica gratuita”. </w:t>
      </w:r>
    </w:p>
    <w:p w:rsidR="0052098F" w:rsidRDefault="0052098F" w:rsidP="0052098F">
      <w:pPr>
        <w:pStyle w:val="TextoNormal"/>
      </w:pPr>
      <w:r>
        <w:t>Por todo ello, entiende el Fiscal que la resolución judicial impugnada y las por ella confirmadas vulneran el derecho a la asistencia letrada del recurrente y, por conexión con éste, el derecho a la tutela judicial efectiva en su vertiente de acceso a la jurisdicción.</w:t>
      </w:r>
    </w:p>
    <w:p w:rsidR="0052098F" w:rsidRDefault="0052098F" w:rsidP="0052098F">
      <w:pPr>
        <w:pStyle w:val="TextoNormal"/>
      </w:pPr>
    </w:p>
    <w:p w:rsidR="0052098F" w:rsidRDefault="0052098F" w:rsidP="0052098F">
      <w:pPr>
        <w:pStyle w:val="TextoNormal"/>
      </w:pPr>
      <w:r w:rsidRPr="0052098F">
        <w:rPr>
          <w:rStyle w:val="NumeroAFNegritaCaracter"/>
        </w:rPr>
        <w:t>9</w:t>
      </w:r>
      <w:r>
        <w:t>. A través de una diligencia de ordenación de fecha 14 de septiembre de 2007 se hace constar que no se ha recibido escrito de alegaciones de la Procuradora Montserrat Sorribes Calle, quedando el recurso de amparo pendiente para deliberación cuando por turno corresponda.</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17 de enero de 2008 se señaló para deliberación y votación de la presente Sentencia el día 21 del mismo mes y año, trámite que ha finalizado en el día de hoy.</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recurso de amparo se dirige contra el Auto de la Sección Cuarta de la Audiencia Provincial de Valladolid, de 9 de mayo de 2005, que desestimó la impugnación contra la Resolución de la Comisión de Asistencia Jurídica Gratuita de Valladolid, de 22 de febrero de 2005, dictada en el expediente 3548-2004, por la que le fue denegada al recurrente su solicitud de asistencia jurídica gratuita para personarse como perjudicado en las diligencias previas 2219-2004.</w:t>
      </w:r>
    </w:p>
    <w:p w:rsidR="0052098F" w:rsidRDefault="0052098F" w:rsidP="0052098F">
      <w:pPr>
        <w:pStyle w:val="TextoNormal"/>
      </w:pPr>
      <w:r>
        <w:lastRenderedPageBreak/>
        <w:t>Sostiene el recurrente que el Auto ha lesionado su derecho a la igualdad (art. 14 CE), al impedírsele ser parte en el proceso penal por carecer de medios económicos para ello, y su derecho a la tutela judicial efectiva (art. 24.1 CE) y a la defensa, en relación con los derechos a la asistencia letrada (art. 24.2 CE) y a la justicia gratuita (art. 119 CE).</w:t>
      </w:r>
    </w:p>
    <w:p w:rsidR="0052098F" w:rsidRDefault="0052098F" w:rsidP="0052098F">
      <w:pPr>
        <w:pStyle w:val="TextoNormal"/>
      </w:pPr>
      <w:r>
        <w:t>El Ministerio Fiscal interesa que le sea otorgado el amparo que solicita, por entender vulnerados el derecho a la asistencia letrada del recurrente (art. 24.2 CE) y, por conexión con éste, el derecho a la tutela judicial efectiva en su vertiente de acceso a la jurisdicción (art. 24.1 CE). El Abogado del Estado se opone al otorgamiento del amparo.</w:t>
      </w:r>
    </w:p>
    <w:p w:rsidR="0052098F" w:rsidRDefault="0052098F" w:rsidP="0052098F">
      <w:pPr>
        <w:pStyle w:val="TextoNormal"/>
      </w:pPr>
    </w:p>
    <w:p w:rsidR="0052098F" w:rsidRDefault="0052098F" w:rsidP="0052098F">
      <w:pPr>
        <w:pStyle w:val="TextoNormal"/>
      </w:pPr>
      <w:r w:rsidRPr="0052098F">
        <w:rPr>
          <w:rStyle w:val="NumeroAFNegritaCaracter"/>
        </w:rPr>
        <w:t>2</w:t>
      </w:r>
      <w:r>
        <w:t>. Este Tribunal tiene declarado que la gratuidad de la asistencia jurídica consagrada en el art. 119 CE es instrumento y concreción de los derechos fundamentales a la tutela judicial efectiva (art. 24.1 CE), a la igualdad de armas procesales y a la asistencia letrada (art. 24.2 CE), y que no sólo consagra una garantía de los intereses de los justiciables, sino también de los intereses generales de la justicia, ya que tiende a asegurar los principios de contradicción e igualdad procesal entre las partes y a facilitar así al órgano judicial la búsqueda de una Sentencia ajustada a Derecho y, por ello, indirectamente, coadyuva al ejercicio de la función jurisdiccional (SSTC 16/1994, de 20 de enero, FJ 3; 97/2001, de 5 de abril, FJ 5; 182/2002, de 14 de octubre, FJ 3;187/2004, de 2 de noviembre, FJ 3; 217/2007, de 8 de octubre, FJ 5).</w:t>
      </w:r>
    </w:p>
    <w:p w:rsidR="0052098F" w:rsidRDefault="0052098F" w:rsidP="0052098F">
      <w:pPr>
        <w:pStyle w:val="TextoNormal"/>
      </w:pPr>
      <w:r>
        <w:t>La relación que existe entre el derecho a la asistencia jurídica gratuita de quienes carecen de recursos económicos para litigar (art. 119 CE) y el derecho a la tutela judicial efectiva (art. 24.1 CE) ha sido reiteradamente resaltada por nuestra jurisprudencia. Así hemos afirmado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16/1994, de 20 de enero, FJ 3). Por ello, aunque hayamos calificado el derecho a la asistencia jurídica gratuita como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afirmado también que la amplia libertad de configuración legal que resulta del primer inciso del art. 119 CE no es, sin embargo, absoluta, pues el inciso segundo de dicho precepto establece un “contenido constitucional indisponible” para el legislador, que obliga a reconocer el derecho a la justicia gratuita necesariamente a “quienes acrediten insuficiencia de recursos económicos para litigar” (SSTC 16/1994, de 20 de enero, FJ 3; 117/1998, de 2 de junio, FJ 3; 144/2001, de 18 de julio, FJ 2; 183/2001, de 17 de septiembre, FJ 2; 95/2003, de 2 de mayo, FJ 3; 180/2003, de 13 de octubre, FJ 2; 127/2005, de 23 de mayo, FJ 3; 217/2007, de 8 de octubre, FJ 2).</w:t>
      </w:r>
    </w:p>
    <w:p w:rsidR="0052098F" w:rsidRDefault="0052098F" w:rsidP="0052098F">
      <w:pPr>
        <w:pStyle w:val="TextoNormal"/>
      </w:pPr>
      <w:r>
        <w:t xml:space="preserve">En palabras de la STC 16/1994, de 20 de enero, FJ 3, esta fórmula constitucional “encierra un núcleo indisponible que,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la familia, al objeto de que nadie quede privado del acceso a la justicia por falta de recursos económicos. Dicho en otras palabras, deben sufragarse los gastos procesales de quienes, de exigirse </w:t>
      </w:r>
      <w:r>
        <w:lastRenderedPageBreak/>
        <w:t>ese pago, se verían en la alternativa de dejar de litigar o poner en peligro ese mínimo de subsistencia personal o familiar”.</w:t>
      </w:r>
    </w:p>
    <w:p w:rsidR="0052098F" w:rsidRDefault="0052098F" w:rsidP="0052098F">
      <w:pPr>
        <w:pStyle w:val="TextoNormal"/>
      </w:pPr>
      <w:r>
        <w:t>De lo anteriormente expuesto hemos deducido que “toda persona física que sea titular del derecho a la tutela judicial efectiva habrá de gozar del derecho a la gratuidad de la justicia si carece de los recursos suficientes para litigar, en los términos en los que este concepto jurídico indeterminado sea configurado por el legislador ordinario”. Y que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(STC 95/2003, de 22 de mayo, FJ 4).</w:t>
      </w:r>
    </w:p>
    <w:p w:rsidR="0052098F" w:rsidRDefault="0052098F" w:rsidP="0052098F">
      <w:pPr>
        <w:pStyle w:val="TextoNormal"/>
      </w:pPr>
    </w:p>
    <w:p w:rsidR="0052098F" w:rsidRDefault="0052098F" w:rsidP="0052098F">
      <w:pPr>
        <w:pStyle w:val="TextoNormal"/>
      </w:pPr>
      <w:r w:rsidRPr="0052098F">
        <w:rPr>
          <w:rStyle w:val="NumeroAFNegritaCaracter"/>
        </w:rPr>
        <w:t>3</w:t>
      </w:r>
      <w:r>
        <w:t>. Por otra parte, y centrándonos en los elementos de interés para la resolución del presente caso, hemos de tener en cuenta que, si bien la Constitución no otorga ningún derecho fundamental a obtener condenas penales, ello no implica que la víctima del delito no tenga derecho, en los términos que prevea la legislación procesal pertinente, a acudir a un procedimiento judicial para la defensa de los mismos; y tampoco comporta que en el seno de dicho proceso no puedan verse lesionados sus derechos. Por ello, este Tribunal ha configurado el derecho de acción penal esencialmente como un ius ut procedatur, es decir, estrictamente como manifestación específica del derecho a la jurisdicción, que ha de enjuiciarse en sede de amparo constitucional desde la perspectiva del art. 24.1 CE y al que, desde luego, son aplicables las garantías del art. 24.2 CE (SSTC 41/1997, de 10 de marzo, FJ 5; 16/2001, de 29 de enero, FJ 4; 81/2002, de 22 de abril, FJ 2; 93/2003, de 19 de mayo, FJ 3; 21/2005, de 1 de febrero, FJ 4; 176/2006, de 5 de junio, FJ 2).</w:t>
      </w:r>
    </w:p>
    <w:p w:rsidR="0052098F" w:rsidRDefault="0052098F" w:rsidP="0052098F">
      <w:pPr>
        <w:pStyle w:val="TextoNormal"/>
      </w:pPr>
      <w:r>
        <w:t>Ciertamente, como recuerda la STC 179/2004, de 21 de octubre, FJ 4, no existe una exigencia constitucional derivada de art. 24.1 CE que imponga la presencia en el proceso penal como parte de la acusación particular, pues en nuestro ordenamiento jurídico, la función acusadora aparece encomendada de manera primordial al Ministerio Fiscal (art. 124.1 CE y art. 3.4 de la Ley 50/1981, de 30 de diciembre, del Estatuto orgánico del Ministerio Fiscal, que era entonces el vigente). Ahora bien, el legislador ha optado por reconocer el derecho al ejercicio de la acción penal también a los particulares, y en concreto al agraviado o perjudicado por el delito o falta (acusador particular). Por tanto, el Ministerio Fiscal “no monopoliza la iniciativa y el ejercicio de la acción penal; en todo caso, junto a la acción pública, se reconoce al perjudicado el ius ut procedatur”.</w:t>
      </w:r>
    </w:p>
    <w:p w:rsidR="0052098F" w:rsidRDefault="0052098F" w:rsidP="0052098F">
      <w:pPr>
        <w:pStyle w:val="TextoNormal"/>
      </w:pPr>
      <w:r>
        <w:t xml:space="preserve">En efecto, el párrafo primero del art. 110 de la Ley de enjuiciamiento criminal (LECrim) establece: “Los perjudicados por un delito o falta que no hubieran renunciado a su derecho podrán mostrarse parte en la causa si lo hicieran antes del trámite de calificación del delito, y ejercitar las acciones civiles y penales que procedan o solamente unas u otras, según les conviniere, sin que por ello se retroceda en el curso de las actuaciones”. Y efectuado por el legislador el reconocimiento del derecho de la víctima del delito al ejercicio de las acciones penales y civiles que del mismo deriven, ese derecho a acceder a la jurisdicción, personándose como acusación particular, forma parte del derecho a la tutela judicial efectiva (art. 24.1 CE).  En palabras de la STC 21/2005, de 1 de febrero, FJ 4, el primer contenido del derecho a la tutela judicial efectiva “es el acceso a la jurisdicción, que se concreta en el derecho a promover la actividad jurisdiccional (SSTC 115/1984, de 3 de diciembre; 63/1985, de 10 de mayo; 131/1991, de 17 de junio; 37/1993, de 8 de febrero; 108/1993, de 25 de marzo; 217/1994, de 18 de julio), siendo un derecho digno de protección el que el ofendido tiene a solicitar la actuación del ius puniendi del Estado, dentro del sistema penal </w:t>
      </w:r>
      <w:r>
        <w:lastRenderedPageBreak/>
        <w:t>instaurado en nuestro Derecho, en el que junto a la oficialidad de la acción encomendada al Ministerio Fiscal se establecen otras titularidades privadas, entre ellas la del perjudicado por el delito (art. 110 y concordantes LECrim; SSTC 108/1983, de 29 de noviembre; 206/1992, de 27 de noviembre; 37/1993, de 8 de febrero)”.</w:t>
      </w:r>
    </w:p>
    <w:p w:rsidR="0052098F" w:rsidRDefault="0052098F" w:rsidP="0052098F">
      <w:pPr>
        <w:pStyle w:val="TextoNormal"/>
      </w:pPr>
      <w:r>
        <w:t>En definitiva, de lo anteriormente expuesto ha de concluirse que la víctima del delito, a la que la ley reconoce el derecho a personarse como acusación particular, sin excluir de ese derecho los casos en que existe acusación pública, es —en tal condición— titular del derecho a la tutela judicial efectiva (art. 24.1 CE), en su vertiente de acceso a la jurisdicción, y de los derechos reconocidos en el art. 24.2 CE, en lo que ahora interesa, del derecho de defensa y del derecho a la asistencia letrada. Lo que significa, según se expuso en el fundamento jurídico anterior, que en virtud del contenido constitucional indisponible del art. 119 CE, habrá de gozar del derecho a la gratuidad de la justicia, incluidos los honorarios profesionales de Abogados y Procuradores cuando su intervención sea preceptiva o necesaria en atención a las características del caso, si carece de medios suficientes para litigar, conforme a lo anteriormente expuesto.</w:t>
      </w:r>
    </w:p>
    <w:p w:rsidR="0052098F" w:rsidRDefault="0052098F" w:rsidP="0052098F">
      <w:pPr>
        <w:pStyle w:val="TextoNormal"/>
      </w:pPr>
    </w:p>
    <w:p w:rsidR="0052098F" w:rsidRDefault="0052098F" w:rsidP="0052098F">
      <w:pPr>
        <w:pStyle w:val="TextoNormal"/>
      </w:pPr>
      <w:r w:rsidRPr="0052098F">
        <w:rPr>
          <w:rStyle w:val="NumeroAFNegritaCaracter"/>
        </w:rPr>
        <w:t>4</w:t>
      </w:r>
      <w:r>
        <w:t>. La aplicación de la doctrina que acaba de exponerse al presente caso nos lleva a concluir que, como sostienen tanto el demandante de amparo como el Ministerio Fiscal, la interpretación del art. 6.3 de la Ley de asistencia jurídica gratuita que realizan las resoluciones recurridas —y que sirve de ratio decidendi para denegar la solicitud de asistencia jurídica gratuita tanto a la resolución administrativa previa, como a la resolución judicial que rechaza la impugnación contra aquélla— carece de base legal y resulta constitucionalmente inaceptable.</w:t>
      </w:r>
    </w:p>
    <w:p w:rsidR="0052098F" w:rsidRDefault="0052098F" w:rsidP="0052098F">
      <w:pPr>
        <w:pStyle w:val="TextoNormal"/>
      </w:pPr>
      <w:r>
        <w:t>En efecto, el demandante de amparo solicitó asistencia jurídica gratuita para personarse como acusación particular en unas diligencias previas abiertas a raíz de una denuncia presentada por él y ante el ofrecimiento de acciones efectuado primero por la policía y posteriormente el Juzgado, al amparo del art. 110 de la Ley de enjuiciamiento criminal. Y ha de tenerse en cuenta, como destaca el Ministerio Fiscal, que si bien la personación de la víctima del delito como acusación particular en un proceso penal por delito perseguible de oficio no es preceptiva, lo que resulta indiscutible es que si la víctima decide mostrarse parte y ejercitar acciones, resulta imprescindible en el proceso penal, salvo en los juicios de faltas, la representación por Procurador y la defensa letrada.</w:t>
      </w:r>
    </w:p>
    <w:p w:rsidR="0052098F" w:rsidRDefault="0052098F" w:rsidP="0052098F">
      <w:pPr>
        <w:pStyle w:val="TextoNormal"/>
      </w:pPr>
      <w:r>
        <w:t>La resolución judicial recurrida —tras recordar que el art. 6.3 de la Ley de asistencia jurídica gratuita de 10 de enero de 1996 establece que tal derecho comprende la “defensa y representación gratuitas por abogado y procurador en el procedimiento judicial, cuando la intervención de estos profesionales sea legalmente preceptiva o, cuando, no siéndolo, sea expresamente requerida por el Juzgado o Tribunal mediante Auto motivado para garantizar la igualdad de partes en el proceso”— no pone en cuestión el hecho de que la intervención de Abogado y Procurador sea legalmente preceptiva para personarse como acusación particular en el proceso en cuestión. Pero entiende que, al tratarse de un delito perseguible de oficio, en el que no es preceptiva la intervención de la acusación particular y en el que el Ministerio público puede y debe representar los intereses del recurrente, no existe derecho a la defensa y representación gratuitas en el procedimiento judicial, con la argumentación que se reprodujo literalmente en los antecedentes de esta resolución, en la que se afirma expresamente que “una cosa es la obligación legal de ofrecer acciones a los perjudicados para que puedan mostrarse parte en la causa, y otra distinta es que lo hagan de forma gratuita; deberán hacerlo mediante abogado y procurador de su libre designación conforme establece el precepto anteriormente señalado”.</w:t>
      </w:r>
    </w:p>
    <w:p w:rsidR="0052098F" w:rsidRDefault="0052098F" w:rsidP="0052098F">
      <w:pPr>
        <w:pStyle w:val="TextoNormal"/>
      </w:pPr>
      <w:r>
        <w:lastRenderedPageBreak/>
        <w:t>Esa interpretación supone una restricción injustificada y contraria a las exigencias constitucionales de los términos en que se encuentra legalmente reconocido el derecho a la asistencia jurídica gratuita. Ni el citado art. 6.3 de la Ley de asistencia jurídica gratuita excluye del derecho al acusador particular, ni el derecho de los perjudicados a comparecer como acusación particular se limita en el art. 110 de la Ley de enjuiciamiento criminal (LECrim) a los delitos que no sean perseguibles de oficio, sino que hemos afirmado expresamente que “en todo caso, junto a la acción pública, se reconoce al perjudicado el ius ut procedatur” (STC 179/2004, de 21 de octubre, FJ 4). Por tanto, no puede esgrimirse como argumento para restringir el derecho el de la intervención del Ministerio Fiscal como acusador público, pues también en esos casos el perjudicado tiene derecho a ser parte en el proceso y, siendo titular del mismo, derecho a la gratuidad de la justicia si carece de medios suficientes para litigar.  El argumento de que podrá hacerlo, pero no de forma gratuita, resulta frontalmente contrario a lo que hemos denominado contenido constitucional indisponible del art. 119 CE, en la medida en que al denegar a la víctima de un delito carente de recursos económicos el derecho a la asistencia jurídica gratuita para personarse como acusación particular se le impide, de hecho, el ejercicio de su derecho a ser parte en el proceso y a ejercitar las acciones civiles y penales derivadas del delito, dado que resulta legalmente preceptiva la presencia de un Abogado y un Procurador, cuyos honorarios profesionales no podrá sufragar.</w:t>
      </w:r>
    </w:p>
    <w:p w:rsidR="0052098F" w:rsidRDefault="0052098F" w:rsidP="0052098F">
      <w:pPr>
        <w:pStyle w:val="TextoNormal"/>
      </w:pPr>
      <w:r>
        <w:t>En definitiva, la interpretación y aplicación al caso del art. 6.3 de la la Ley de asistencia jurídica gratuita llevada a cabo por la resolución judicial recurrida, priva al recurrente de su derecho a la tutela judicial efectiva (art. 24.1 CE), en su vertiente de acceso a la jurisdicción, así como de sus derechos a la defensa y a la asistencia letrada (art. 24.2 CE), derechos todos ellos a los que sirve, de forma instrumental, el derecho a la asistencia jurídica gratuita reconocido en el art. 119 CE, pues sin el reconocimiento de éste, el de aquellos resulta meramente teórico y carente de efectividad, como pone de relieve nuestra jurisprudencia.</w:t>
      </w:r>
    </w:p>
    <w:p w:rsidR="0052098F" w:rsidRDefault="0052098F" w:rsidP="0052098F">
      <w:pPr>
        <w:pStyle w:val="TextoNormal"/>
      </w:pPr>
      <w:r>
        <w:t>Procede, en consecuencia, otorgar el amparo solicitado y, en su virtud, anular el Auto impugnado ordenando retrotraer las actuaciones al momento anterior al que se dictó, a fin de que, teniendo en cuenta lo razonado en este fundamento de Derecho, se dicte una nueva resolución respetuosa con el derecho del recurrente a la tutela judicial efectiva (art. 24.1 CE), en su dimensión de acceso a la jurisdicción, y con los derechos a la defensa y asistencia letrada (art. 24.2 CE).</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Vasile Buie y, en consecuencia:</w:t>
      </w:r>
    </w:p>
    <w:p w:rsidR="0052098F" w:rsidRDefault="0052098F" w:rsidP="0052098F">
      <w:pPr>
        <w:pStyle w:val="TextoNormal"/>
      </w:pPr>
      <w:r>
        <w:t>1º Reconocer sus derechos a la tutela judicial efectiva (art. 24.1 CE) y a la defensa y asistencia letrada (art. 24.2 CE).</w:t>
      </w:r>
    </w:p>
    <w:p w:rsidR="0052098F" w:rsidRDefault="0052098F" w:rsidP="0052098F">
      <w:pPr>
        <w:pStyle w:val="TextoNormal"/>
      </w:pPr>
      <w:r>
        <w:t>2º Anular el Auto de la Sección Cuarta de la Audiencia Provincial de Valladolid, de 9 de mayo de 2005, que desestimó la impugnación contra la Resolución de la Comisión de Asistencia Jurídica Gratuita de Valladolid, de 22 de febrero de 2005, dictada en el expediente 3548-2004.</w:t>
      </w:r>
    </w:p>
    <w:p w:rsidR="0052098F" w:rsidRDefault="0052098F" w:rsidP="0052098F">
      <w:pPr>
        <w:pStyle w:val="TextoNormal"/>
      </w:pPr>
      <w:r>
        <w:lastRenderedPageBreak/>
        <w:t>3º Retrotraer las actuaciones al momento anterior al de dictarse el referido Auto, a fin de que la Sección Cuarta de la Audiencia Provincial de Valladolid dicte una nueva resolución respetuosa con los derechos fundamentales que se declaran reconocidos.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3" w:name="SENTENCIA_2008_10"/>
      <w:r>
        <w:lastRenderedPageBreak/>
        <w:t>SENTENCIA 10/2008, de 21 de enero de 2008</w:t>
      </w:r>
    </w:p>
    <w:bookmarkEnd w:id="13"/>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ECLI:ES:TC:2008:10</w:t>
      </w:r>
    </w:p>
    <w:p w:rsidR="0052098F" w:rsidRDefault="0052098F" w:rsidP="0052098F">
      <w:pPr>
        <w:pStyle w:val="SntesisDescriptiva"/>
      </w:pPr>
    </w:p>
    <w:p w:rsidR="0052098F" w:rsidRDefault="0052098F" w:rsidP="0052098F">
      <w:pPr>
        <w:pStyle w:val="SntesisDescriptiva"/>
      </w:pPr>
      <w:r>
        <w:t>Recurso de amparo 8141-2005. Promovido por doña Silvia Elena Serafín Torres frente al Auto de un Juzgado de Primera Instancia de Elche que confirmó la denegación de su solicitud de asistencia jurídica gratuita para formular oposición en procedimiento de ejecución de títulos no judiciales.</w:t>
      </w:r>
    </w:p>
    <w:p w:rsidR="0052098F" w:rsidRDefault="0052098F" w:rsidP="0052098F">
      <w:pPr>
        <w:pStyle w:val="SntesisDescriptiva"/>
      </w:pPr>
    </w:p>
    <w:p w:rsidR="0052098F" w:rsidRDefault="0052098F" w:rsidP="0052098F">
      <w:pPr>
        <w:pStyle w:val="SntesisAnaltica"/>
      </w:pPr>
      <w:r>
        <w:t>Vulneración del derecho a la tutela judicial efectiva (acceso al proceso): denegación de la justicia gratuita, con nombramiento de abogado y procurador de oficio, en litigio civil porque no se volvieron a aportar documentos que se encontraban en poder de la Administración, al haberlos presentado en el colegio de abogados con una solicitud anterior.</w:t>
      </w:r>
    </w:p>
    <w:p w:rsidR="0052098F" w:rsidRDefault="0052098F" w:rsidP="0052098F">
      <w:pPr>
        <w:pStyle w:val="SntesisAnaltica"/>
      </w:pPr>
    </w:p>
    <w:p w:rsidR="0052098F" w:rsidRDefault="0052098F" w:rsidP="0052098F">
      <w:pPr>
        <w:pStyle w:val="Extracto"/>
      </w:pPr>
      <w:r>
        <w:t>1.</w:t>
      </w:r>
      <w:r>
        <w:tab/>
        <w:t>La denegación de asistencia jurídica gratuita a quien mantiene que carece de recursos para litigar y afirma haber entregado la documentación acreditativa en una solicitud anterior es contraria al principio pro actione y vulnera el derecho a la justicia gratuita, en su aspecto de derecho de acceso al proceso y como aspecto instrumental del derecho a la tutela judicial efectiva sin indefensión [FJ 3].</w:t>
      </w:r>
    </w:p>
    <w:p w:rsidR="0052098F" w:rsidRDefault="0052098F" w:rsidP="0052098F">
      <w:pPr>
        <w:pStyle w:val="Extracto"/>
      </w:pPr>
    </w:p>
    <w:p w:rsidR="0052098F" w:rsidRDefault="0052098F" w:rsidP="0052098F">
      <w:pPr>
        <w:pStyle w:val="Extracto"/>
      </w:pPr>
      <w:r>
        <w:t>2.</w:t>
      </w:r>
      <w:r>
        <w:tab/>
        <w:t>Es un criterio formalista y desproporcionado el considerar incumplida la carga de la aportación de la documentación exigida por no haberse entregado de nuevo, sin la previa advertencia de la ineficacia para la sustentación de la nueva solicitud de la documentación que constaba ya en el organismo actuante [FJ 3].</w:t>
      </w:r>
    </w:p>
    <w:p w:rsidR="0052098F" w:rsidRDefault="0052098F" w:rsidP="0052098F">
      <w:pPr>
        <w:pStyle w:val="Extracto"/>
      </w:pPr>
    </w:p>
    <w:p w:rsidR="0052098F" w:rsidRDefault="0052098F" w:rsidP="0052098F">
      <w:pPr>
        <w:pStyle w:val="Extracto"/>
      </w:pPr>
      <w:r>
        <w:t>3.</w:t>
      </w:r>
      <w:r>
        <w:tab/>
        <w:t>La libertad de configuración del legislador que deriva del art. 119 CE no es absoluta, pues obliga a reconocer ineludiblemente el derecho a la gratuidad de la justicia a las personas que justifiquen la carencia de los medios necesarios para pleitear (SSTC 117/1998, 127/2005) [FJ 2].</w:t>
      </w:r>
    </w:p>
    <w:p w:rsidR="0052098F" w:rsidRDefault="0052098F" w:rsidP="0052098F">
      <w:pPr>
        <w:pStyle w:val="Extracto"/>
      </w:pPr>
    </w:p>
    <w:p w:rsidR="0052098F" w:rsidRDefault="0052098F" w:rsidP="0052098F">
      <w:pPr>
        <w:pStyle w:val="Extracto"/>
      </w:pPr>
      <w:r>
        <w:t>4.</w:t>
      </w:r>
      <w:r>
        <w:tab/>
        <w:t>Si se denegara la gratuidad de la justicia a quien cumple los requisitos legalmente previstos y pretende formular sus pretensiones u oponerse a las contrarias en vía procesal, se estaría quebrantando al propio tiempo su derecho de acceso a la justicia, por lo que es plenamente aplicable el principio pro actione (SSTC 144/2001, 180/2003)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8141-2005, promovido por doña Silvia Elena Serafín Torres, representada por el Procurador de los Tribunales don Juan Carlos Estévez Fernández-Novoa y asistida por el Abogado don Óscar Baeza Chibel, contra el Auto del Juzgado de Primera Instancia núm. 1 de Elche de 28 de octubre de 2005, que desestimó el recurso interpuesto contra la Resolución de la Comisión de Asistencia Jurídica Gratuita de Alicante de 7 de marzo de 2005, sobre nombramiento de Abogado y Procurador de oficio. Han intervenido la Letrada de la Generalitat Valenciana y el Ministerio Fiscal. Ha sido Ponente el Magistrado don Javier Delgado Barrio,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Por escrito registrado en este Tribunal el 16 de noviembre de 2005 doña Silvia Elena Serafín Torres solicitó la designación de Abogado y Procurador de oficio con el fin de interponer recurso de amparo contra el Auto del Juzgado de Primera Instancia núm. 1 de Elche citado en el encabezamiento. Verificada la designación de los profesionales del turno de oficio, el día 4 de abril de 2006 don Juan Carlos Estévez Fernández-Novoa, Procurador de los Tribunales, en nombre y representación de doña Silvia Elena Serafín Torres, interpuso recurso de amparo contra el mencionado Auto.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más relevantes de los que trae causa la demanda de amparo son, concisamente expuestos, los siguientes: </w:t>
      </w:r>
    </w:p>
    <w:p w:rsidR="0052098F" w:rsidRDefault="0052098F" w:rsidP="0052098F">
      <w:pPr>
        <w:pStyle w:val="TextoNormal"/>
      </w:pPr>
      <w:r>
        <w:t xml:space="preserve">a) Con fecha de 15 de noviembre de 2004 la demandante de amparo dirigió escrito al Ilustre Colegio de Abogados de Elche solicitando el nombramiento de Abogado y Procurador del turno de oficio para formular la oposición núm. 1079-2004 dimanante del procedimiento de ejecución de títulos no judiciales núm. 840-2004 iniciado contra ella y seguido en el Juzgado de Primera Instancia núm. 1 de Elche. </w:t>
      </w:r>
    </w:p>
    <w:p w:rsidR="0052098F" w:rsidRDefault="0052098F" w:rsidP="0052098F">
      <w:pPr>
        <w:pStyle w:val="TextoNormal"/>
      </w:pPr>
      <w:r>
        <w:t xml:space="preserve">b) Iniciado así el expediente de justicia gratuita, seguidamente fue requerida por el Colegio de Abogados para la remisión al Servicio de Orientación Jurídica de la documentación oportuna, presentando la recurrente escrito el 15 de diciembre de 2004 en el que, en observancia del anterior requerimiento, adjuntaba el formulario cumplimentado, remitiéndose, en lo que al resto de la documentación solicitada se refiere, a la ya aportada en una solicitud anterior, indicando el número de referencia y pidiendo que se tuviera por reproducida para la presente solicitud. </w:t>
      </w:r>
    </w:p>
    <w:p w:rsidR="0052098F" w:rsidRDefault="0052098F" w:rsidP="0052098F">
      <w:pPr>
        <w:pStyle w:val="TextoNormal"/>
      </w:pPr>
      <w:r>
        <w:t xml:space="preserve">c) Con fecha de 21 de diciembre de 2004 el Decano del Ilustre Colegio de Abogados de Elche dirigió escrito al Juzgado de Primera Instancia núm. 1 de la misma ciudad en el que manifestaba que habiéndose remitido carta certificada con acuse de recibo el día 18 de noviembre de 2004 a doña Silvia Elena Serafín Torres por el Servicio de Orientación Jurídica y no haberse aportado la documentación exigida, y habiendo transcurrido el plazo establecido, se procedía al archivo de la solicitud con remisión del expediente a la Comisión de </w:t>
      </w:r>
      <w:r>
        <w:lastRenderedPageBreak/>
        <w:t xml:space="preserve">Asistencia Jurídica Gratuita de Alicante, que por Resolución de 7 de marzo de 2005 acordó el archivo del expediente, teniendo por desistida a la solicitante por no haber aportado los documentos y datos necesarios para apreciar su situación económica y la de los demás miembros integrantes de la unidad familiar, así como sus circunstancias personales y familiares. </w:t>
      </w:r>
    </w:p>
    <w:p w:rsidR="0052098F" w:rsidRDefault="0052098F" w:rsidP="0052098F">
      <w:pPr>
        <w:pStyle w:val="TextoNormal"/>
      </w:pPr>
      <w:r>
        <w:t xml:space="preserve">d) La demandante presentó escrito de impugnación de la resolución precitada alegando que, pese a lo afirmado por la Comisión, había remitido la documentación solicitada; y que en caso de que hubiera faltado alguno de los documentos exigidos, el Colegio de Abogados, en aras de preservar su derecho de defensa, debió requerirla para la oportuna subsanación antes de proceder al archivo. Con esta base, impugna la denegación de la asistencia jurídica gratuita, solicitando nuevamente que le sean designados Abogado y Procurador de oficio para el ejercicio de su defensa procesal. </w:t>
      </w:r>
    </w:p>
    <w:p w:rsidR="0052098F" w:rsidRDefault="0052098F" w:rsidP="0052098F">
      <w:pPr>
        <w:pStyle w:val="TextoNormal"/>
      </w:pPr>
      <w:r>
        <w:t xml:space="preserve">e) Iniciado en el Juzgado de Primera Instancia núm. 1 de Elche el procedimiento de justicia gratuita núm. 1028-2005, se citó para la oportuna comparecencia a las partes interesadas, presentando la recurrente escrito ante dicho Juzgado en el que esencialmente reiteraba los argumentos expuestos en su impugnación y expresaba su disposición a aportar la información o documentación complementaria que fuera precisa. Posteriormente, acudió a la comparencia ratificando su impugnación. </w:t>
      </w:r>
    </w:p>
    <w:p w:rsidR="0052098F" w:rsidRDefault="0052098F" w:rsidP="0052098F">
      <w:pPr>
        <w:pStyle w:val="TextoNormal"/>
      </w:pPr>
      <w:r>
        <w:t xml:space="preserve">El Letrado de la Generalitat de Valencia, que no compareció, formuló alegaciones por escrito oponiéndose a la impugnación de la solicitante, señalando que ésta no había aportado los documentos que con carácter preceptivo fija la normativa vigente. </w:t>
      </w:r>
    </w:p>
    <w:p w:rsidR="0052098F" w:rsidRDefault="0052098F" w:rsidP="0052098F">
      <w:pPr>
        <w:pStyle w:val="TextoNormal"/>
      </w:pPr>
      <w:r>
        <w:t>El 28 de octubre de 2005 el Juzgado de Primera Instancia núm. 1 de Elche dicta el Auto 808/2005 en el que desestima la impugnación formulada por doña Silvia Elena Serafín Torres por entender que la resolución de la Comisión de Asistencia Jurídica Gratuita se ajustaba a Derecho al fundamentarse en que la interesada no atendió la carga procedimental que pesaba sobre ella de aportar los datos y documentos que permitieran conocer su situación económica.</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La demanda de amparo invoca los derechos a la tutela judicial efectiva sin indefensión (art. 24.1 CE) en relación con las garantías del proceso justo y, en particular, del derecho a la defensa y a la asistencia letrada (art. 24.2 CE). Así, se alega que el Auto impugnado cierra el acceso a la jurisdicción en tanto la demandante se ve imposibilitada para personarse en forma en el procedimiento seguido en su contra y, en consecuencia, de defenderse con las debidas garantías. Se afirma, de otra parte, que el órgano judicial resolvió sin la suficiente motivación y sin haber examinado el expediente administrativo en que se fundamentó la decisión de la Comisión de Asistencia Jurídica Gratuita. Y se añade que la recurrente no ha actuado de forma negligente, puesto que la alegada falta de acreditación de la situación económica y la falta de atención del requerimiento que se le imputa debió ser probada por la Administración con la aportación en sede judicial de la totalidad de las actuaciones administrativas, particularmente de los documentos que acreditaban que se había requerido la subsanación y a qué extremos se refería. En cualquier caso, se concluye, la demandante desconocía que el expediente administrativo no existía formalmente o no había sido remitido, ni era responsabilidad suya aportarlo al procedimiento. </w:t>
      </w:r>
    </w:p>
    <w:p w:rsidR="0052098F" w:rsidRDefault="0052098F" w:rsidP="0052098F">
      <w:pPr>
        <w:pStyle w:val="TextoNormal"/>
      </w:pPr>
      <w:r>
        <w:t>Igualmente, mediante otrosí, al amparo del art. 56 LOTC se interesó la suspensión de la ejecución del Auto recurrido así como la del procedimiento principal, esto es, el procedimiento de ejecución de títulos no judiciales 840-2004 seguido en el Juzgado de Primera Instancia núm. 1 de Elche.</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4</w:t>
      </w:r>
      <w:r>
        <w:t xml:space="preserve">. Por providencia de 4 de octubre de 2006 la Sección Primera del Tribunal Constitucional, constando ya las actuaciones al haber sido requeridas a tenor de lo dispuesto en el art. 88 LOTC, acordó, conforme al art. 51 de la misma Ley, requerir al órgano judicial para que en el plazo de diez días emplazara a quienes fueron parte en el procedimiento de justicia gratuita núm. 1028-2005, con excepción de la recurrente en amparo, para que pudieran comparecer en este proceso constitucional. </w:t>
      </w:r>
    </w:p>
    <w:p w:rsidR="0052098F" w:rsidRDefault="0052098F" w:rsidP="0052098F">
      <w:pPr>
        <w:pStyle w:val="TextoNormal"/>
      </w:pPr>
      <w:r>
        <w:t>Asimismo, de conformidad con lo instado por la actora, se acordó formar la correspondiente pieza separada de suspensión y, tras las alegaciones pertinentes, por ATC 36/2007, de 12 de febrero, se denegó la suspensión solicitada.</w:t>
      </w:r>
    </w:p>
    <w:p w:rsidR="0052098F" w:rsidRDefault="0052098F" w:rsidP="0052098F">
      <w:pPr>
        <w:pStyle w:val="TextoNormal"/>
      </w:pPr>
    </w:p>
    <w:p w:rsidR="0052098F" w:rsidRDefault="0052098F" w:rsidP="0052098F">
      <w:pPr>
        <w:pStyle w:val="TextoNormal"/>
      </w:pPr>
      <w:r w:rsidRPr="0052098F">
        <w:rPr>
          <w:rStyle w:val="NumeroAFNegritaCaracter"/>
        </w:rPr>
        <w:t>5</w:t>
      </w:r>
      <w:r>
        <w:t>. Habiéndose recibido el oportuno escrito, por diligencia de ordenación de 11 de diciembre de 2006 se tuvo por personada a la Letrada de la Generalitat Valenciana doña Elisa de Vera Almenar, en nombre y representación de dicha institución, acordándose asimismo, al amparo del art. 52 LOTC, dar vista de las actuaciones por un plazo común de veinte días al Ministerio Fiscal y a las partes para que en dicho plazo presentaran las alegaciones que a su derecho conviniera.</w:t>
      </w:r>
    </w:p>
    <w:p w:rsidR="0052098F" w:rsidRDefault="0052098F" w:rsidP="0052098F">
      <w:pPr>
        <w:pStyle w:val="TextoNormal"/>
      </w:pPr>
    </w:p>
    <w:p w:rsidR="0052098F" w:rsidRDefault="0052098F" w:rsidP="0052098F">
      <w:pPr>
        <w:pStyle w:val="TextoNormal"/>
      </w:pPr>
      <w:r w:rsidRPr="0052098F">
        <w:rPr>
          <w:rStyle w:val="NumeroAFNegritaCaracter"/>
        </w:rPr>
        <w:t>6</w:t>
      </w:r>
      <w:r>
        <w:t>. La demandante de amparo presentó sus alegaciones el día 15 de enero de 2007, ratificándose en todo lo expuesto en el escrito de demanda.</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La Letrada de la Generalitat Valenciana presentó su escrito de alegaciones el día 16 de enero, oponiéndose a la estimación del recurso de amparo planteado por la demandante. </w:t>
      </w:r>
    </w:p>
    <w:p w:rsidR="0052098F" w:rsidRDefault="0052098F" w:rsidP="0052098F">
      <w:pPr>
        <w:pStyle w:val="TextoNormal"/>
      </w:pPr>
      <w:r>
        <w:t xml:space="preserve">Señala aquélla que ha sido respetado escrupulosamente el procedimiento previsto en la Ley de asistencia jurídica gratuita, ya que ante la falta de la documentación acreditativa de su situación económica, la solicitante fue requerida para que la aportara y no atendió dicho requerimiento, lo que revela una clara muestra de falta de diligencia de la misma. </w:t>
      </w:r>
    </w:p>
    <w:p w:rsidR="0052098F" w:rsidRDefault="0052098F" w:rsidP="0052098F">
      <w:pPr>
        <w:pStyle w:val="TextoNormal"/>
      </w:pPr>
      <w:r>
        <w:t xml:space="preserve">Por otro lado, y respecto de la queja de la recurrente referida a la falta de revisión por el órgano judicial del expediente administrativo en que se fundamentó la Resolución de la Administración, señala la Letrada de la Generalitat Valenciana que, por el contrario, aquél examinó los hechos y circunstancias obrantes en el expediente y declaró que la decisión administrativa era ajustada a Derecho. Por lo demás, añade que tampoco en la comparecencia que tuvo lugar en la sustanciación del procedimiento judicial la recurrente desplegó actividad probatoria alguna tendente a acreditar que había aportado la documentación, sino que se limitó a darla por reproducida. </w:t>
      </w:r>
    </w:p>
    <w:p w:rsidR="0052098F" w:rsidRDefault="0052098F" w:rsidP="0052098F">
      <w:pPr>
        <w:pStyle w:val="TextoNormal"/>
      </w:pPr>
      <w:r>
        <w:t>En suma, la Letrada de la Generalitat Valenciana estima que no existe vulneración alguna de los derechos invocados y que, en su caso, la indefensión tendría su origen en la propia negligencia de quien la alega, por lo que ha de denegarse el amparo solicitado.</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25 de enero de 2007 se registró la entrada del escrito de alegaciones del Ministerio Fiscal, interesando el otorgamiento del amparo solicitado. </w:t>
      </w:r>
    </w:p>
    <w:p w:rsidR="0052098F" w:rsidRDefault="0052098F" w:rsidP="0052098F">
      <w:pPr>
        <w:pStyle w:val="TextoNormal"/>
      </w:pPr>
      <w:r>
        <w:t xml:space="preserve">Observa el Ministerio Fiscal que el elemento esencial a considerar es que la denegación, primero en sede administrativa y posteriormente en sede judicial, de la petición de asistencia jurídica gratuita vino determinada por la consideración de que la demandante no había aportado la documentación que le fue requerida para comprobar si reunía los requisitos legales para ello. Sin embargo, se advierte que cuando la recurrente cumplimentó el impreso oportuno señaló que dicha documentación ya había sido aportada en un expediente similar, con indicación del número de tal expediente, no recibiendo en momento alguno respuesta a tal </w:t>
      </w:r>
      <w:r>
        <w:lastRenderedPageBreak/>
        <w:t xml:space="preserve">alegación, esto es, ni se solicitó el citado expediente para comprobar la validez o no de los documentos ya aportados ni, al menos, al examinar tal alegación se le requirió para su subsanación ni, finalmente, fue valorada la referencia a ese otro expediente. Esta insuficiente respuesta se reprodujo en sede judicial, en la que se observa una falta de motivación en el Auto impugnado, de donde se concluye que el órgano judicial no dio una respuesta motivada y razonada en Derecho, ni implícita ni explícitamente. Ello implica la vulneración del derecho fundamental a la motivación de las resoluciones judiciales ínsito en el derecho a la tutela judicial efectiva (art. 24.1 CE), que en este caso además ha impedido el acceso al proceso a alguien que solicita la asistencia letrada gratuita por motivos de insuficiencia económica. </w:t>
      </w:r>
    </w:p>
    <w:p w:rsidR="0052098F" w:rsidRDefault="0052098F" w:rsidP="0052098F">
      <w:pPr>
        <w:pStyle w:val="TextoNormal"/>
      </w:pPr>
      <w:r>
        <w:t>En definitiva, el Fiscal ante el Tribunal Constitucional insta la estimación de la demanda de amparo, con anulación de la resolución judicial recurrida, a fin de que se dicte otra respetuosa con el “derecho fundamental a la motivación de las resoluciones judiciales”.</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17 de enero de 2008, se señaló para la deliberación y votación de la presente Sentencia el día 21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Se recurre en esta vía de amparo el Auto del Juzgado de Primera Instancia núm. 1 de Elche, dictado en procedimiento de justicia gratuita núm. 1028-2005, que desestima la impugnación de la Resolución de la Comisión de Asistencia Jurídica Gratuita de Alicante de 7 de marzo de 2005.</w:t>
      </w:r>
    </w:p>
    <w:p w:rsidR="0052098F" w:rsidRDefault="0052098F" w:rsidP="0052098F">
      <w:pPr>
        <w:pStyle w:val="TextoNormal"/>
      </w:pPr>
      <w:r>
        <w:t>La demandante de amparo denuncia la vulneración del derecho de acceso a la jurisdicción y a la tutela judicial efectiva (art. 24.1 CE) en relación con las garantías de un proceso justo y con la defensa y asistencia letrada (art. 24.2 CE), resaltando que en el Auto recurrido se resuelve sin tener en cuenta sus alegaciones y sin examinar el expediente en que se basó la decisión administrativa que la tuvo por desistida y archivó su solicitud de asistencia jurídica gratuita, lo que le habría impedido ejercer la oposición en el procedimiento de ejecución de títulos no judiciales instado en su contra. Coincide con tales consideraciones el Ministerio Fiscal, que interesa que se dicte Sentencia otorgando el amparo solicitado, mientras que, por el contrario, la Letrada de la Generalitat Valenciana estima que no existe vulneración alguna de los derechos invocados y que, en su caso, la indefensión tendría su origen en la propia negligencia de quien la alega, por lo que pide que el amparo sea denegado.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jurisprudencia constitucional ha destacado reiteradamente la relación existente entre el derecho a la asistencia jurídica gratuita de quien carece de recursos económicos para litigar (art. 119 CE) y el derecho a la tutela judicial efectiva (art.  24.1 CE). Así, aquel derecho tiene un carácter instrumental respecto del derecho de acceso a la jurisdicción, ya que su objetivo directo es permitir que aquella persona que no tenga los medios económicos suficientes actúe en el proceso para ejercitar pretensiones o bien combatir las contrarias, esto es, trata de asegurar que nadie quede procesalmente indefenso por estar falto de recursos para litigar. Así, aunque este derecho se haya considerado como prestacional y de configuración legal, lo que implica que la determinación de su contenido y específicas condiciones de ejercicio sean atribución del legislador, es de subrayar que la libertad de configuración del legislador que deriva del art. 119 CE no es absoluta, pues también en dicho precepto se afirma expresamente que en todo caso la justicia será gratuita para quien acredite la insuficiencia de recursos para litigar. Estamos, pues, ante un contenido constitucional </w:t>
      </w:r>
      <w:r>
        <w:lastRenderedPageBreak/>
        <w:t>indisponible para el legislador que obliga a reconocer ineludiblemente el derecho a la gratuidad de la justicia a las personas que justifiquen la carencia de los medios necesarios para pleitear (SSTC 117/1998, de 2 de junio, FJ 3; 183/2001, de 17 de septiembre, FJ 2; 180/2003, de 13 de octubre, FJ 2, y 127/2005, de 23 de mayo, FJ 3), y ello porque se satisfacen así no sólo el interés particular, sino también los intereses generales de la justicia, quedando preservados los principios de contradicción e igualdad procesal, facilitando al propio tiempo al órgano judicial la adopción de una decisión ajustada a Derecho (SSTC 97/2001, de 5 de abril, FJ 5, y 187/2004, de 2 de noviembre, FJ 3).</w:t>
      </w:r>
    </w:p>
    <w:p w:rsidR="0052098F" w:rsidRDefault="0052098F" w:rsidP="0052098F">
      <w:pPr>
        <w:pStyle w:val="TextoNormal"/>
      </w:pPr>
      <w:r>
        <w:t>De otro lado, e incidiendo en la relación entre el derecho a la asistencia jurídica gratuita y el derecho de acceso a la jurisdicción —núcleo esencial de la queja de la demandante, en tanto le era exigible la postulación para formular oposición a la ejecución seguida en su contra—, ha de indicarse que si se denegara la gratuidad de la justicia a quien cumple los requisitos legalmente previstos y pretende formular sus pretensiones u oponerse a las contrarias en la vía procesal, se estaría quebrantando al propio tiempo su derecho de acceso a la justicia, por lo que es plenamente aplicable el principio pro actione, que se opone a toda interpretación de los requisitos de procedibilidad que carezca de motivación o sea arbitraria, irrazonable o incursa en error patente, imponiendo asimismo la prohibición de las decisiones de inadmisión que por su rigorismo, por su formalismo excesivo o por cualquier otra causa muestren una palpable desproporción entre los fines que aquellos motivos protegen y los intereses que sacrifican (SSTC 144/2001, de 18 de junio, FJ 2, y 180/2003, de 13 de octubre, FJ 4).</w:t>
      </w:r>
    </w:p>
    <w:p w:rsidR="0052098F" w:rsidRDefault="0052098F" w:rsidP="0052098F">
      <w:pPr>
        <w:pStyle w:val="TextoNormal"/>
      </w:pPr>
    </w:p>
    <w:p w:rsidR="0052098F" w:rsidRDefault="0052098F" w:rsidP="0052098F">
      <w:pPr>
        <w:pStyle w:val="TextoNormal"/>
      </w:pPr>
      <w:r w:rsidRPr="0052098F">
        <w:rPr>
          <w:rStyle w:val="NumeroAFNegritaCaracter"/>
        </w:rPr>
        <w:t>3</w:t>
      </w:r>
      <w:r>
        <w:t>. En el caso aquí examinado, el Juez de Primera Instancia desestimó la impugnación de la resolución de la Comisión de Asistencia Jurídica Gratuita por considerar que ésta se ajustaba a Derecho habida cuenta de que la misma se basaba en que la interesada no cumplió con la carga de aportar los datos y documentos que permitieran conocer su situación económica. La decisión, pues, de no reconocer a la demandante el derecho a la asistencia jurídica gratuita a fin de sostener la oposición en la ejecución iniciada contra ella se fundamentó en la consideración de que efectivamente la solicitante no había atendido el requerimiento que se le efectuó por el Colegio de Abogados para que presentase la documentación precisa para la determinación de su situación económica.</w:t>
      </w:r>
    </w:p>
    <w:p w:rsidR="0052098F" w:rsidRDefault="0052098F" w:rsidP="0052098F">
      <w:pPr>
        <w:pStyle w:val="TextoNormal"/>
      </w:pPr>
      <w:r>
        <w:t>Ahora bien, analizando el expediente administrativo se observa que cuando la recurrente, atendiendo al requerimiento que se le había hecho al efecto, remitió escrito al citado Colegio adjuntando el formulario cumplimentado, señalaba expresamente respecto a la documentación también requerida que se hallaba ya en poder de aquél por haberle sido enviada en una solicitud anterior de fecha de 22 de noviembre de 2004, precisando su número de referencia y rogando que se tuviera la misma por reproducida para la actual solicitud. Ante tal proceder, y sin más mayores trámites —esto es, como subraya el Ministerio Fiscal, sin que se solicitara el expediente para confrontar la validez o no de la documentación allí aportada, sin instar subsanación alguna y sin tomar en consideración la referencia a dicho expediente—, la Comisión de Asistencia Jurídica Gratuita resuelve archivar la solicitud, teniendo por desistida a la demandante.</w:t>
      </w:r>
    </w:p>
    <w:p w:rsidR="0052098F" w:rsidRDefault="0052098F" w:rsidP="0052098F">
      <w:pPr>
        <w:pStyle w:val="TextoNormal"/>
      </w:pPr>
      <w:r>
        <w:t xml:space="preserve">El Juzgado, con una motivación ciertamente escueta pero no inexistente, ratifica esta decisión por considerarla conforme a Derecho, afirmando que “la decisión impugnada ha de ser confirmada en cuanto se considera plenamente ajustada a derecho, toda vez que la misma se fundamenta en que la interesada no atendió la carga procedimental que pesaba sobre la misma … aportando los datos y documentos que permitieran conocer su situación económica”. Se advierte, así, que si el órgano judicial valoró la indicación de la recurrente </w:t>
      </w:r>
      <w:r>
        <w:lastRenderedPageBreak/>
        <w:t>en el sentido de que la documentación había sido ya aportada con anterioridad y su petición de que se tuviera por reproducida, la estimó insuficiente en orden a tener por cumplida la carga de aportar los datos necesarios para acreditar la insuficiencia de recursos, dando por buena, de otro lado, la falta de un subsiguiente requerimiento por parte del Colegio de Abogados para la enmienda de tal situación.</w:t>
      </w:r>
    </w:p>
    <w:p w:rsidR="0052098F" w:rsidRDefault="0052098F" w:rsidP="0052098F">
      <w:pPr>
        <w:pStyle w:val="TextoNormal"/>
      </w:pPr>
      <w:r>
        <w:t>De este modo, con la definitiva denegación del derecho a la justicia gratuita, el órgano judicial vulneró el derecho a la tutela judicial efectiva de la demandante por resultar su decisión formalista y desproporcionada. En efecto, porque, atendiendo a la doctrina anteriormente reseñada acerca del carácter instrumental del derecho a la asistencia jurídica gratuita respecto del derecho a la tutela judicial efectiva, y más específicamente en su aspecto de derecho de acceso al proceso —que es el que hemos de considerar en tanto la demandante solicitaba el reconocimiento del derecho para oponerse por vez primera a la ejecución de un título no judicial que pendía sobre ella—, ha de concluirse que la resolución judicial se adoptó con un formalismo excesivo puesto que la denegación no se basó en motivos de fondo, sino que, sin dar nuevamente oportunidad de aportar la documentación necesaria haciendo saber a la solicitante que la ya remitida para otro expediente, aunque de fecha muy próxima, no era válida para el que se estaba tramitando, se la tuvo por desistida en su solicitud con el consiguiente archivo, ratificando tal proceder el órgano judicial.</w:t>
      </w:r>
    </w:p>
    <w:p w:rsidR="0052098F" w:rsidRDefault="0052098F" w:rsidP="0052098F">
      <w:pPr>
        <w:pStyle w:val="TextoNormal"/>
      </w:pPr>
      <w:r>
        <w:t>Por lo demás, no se ponderaron dos relevantes circunstancias, lo que acentúa el rigorismo de la decisión judicial: en primer término, el requisito de la aportación de la documentación pudo entenderse razonablemente cumplido si se repara en lo dispuesto en el art. 35 f) de la Ley 30/1992, de 26 noviembre, de régimen jurídico de las Administraciones públicas y del procedimiento administrativo común, según el cual los ciudadanos tienen derecho a no presentar documentos que ya se encuentren en poder de la Administración actuante, lo que se refuerza con lo establecido en el art. 12 del Decreto de la Generalitat Valencia 29/2001, de 30 de enero, que aprueba el Reglamento de asistencia jurídica gratuita, aplicable en este supuesto, según el cual “en ningún caso, la documentación podrá llevar fecha anterior a los tres meses de la presentación de la solicitud”, exigencia que se cumplía en este caso pues, como ya se señaló, la petición precedente en la que se adjuntó la documentación tenía fecha de 22 de noviembre de 2004 y, por tanto, tan sólo había transcurrido un lapso de tres semanas, ya que la solicitud en que se hace la remisión se registró el 15 de diciembre siguiente. Y, en segundo lugar, resulta desproporcionado que se tuviera por desistida a la recurrente, pues de un somero análisis de su conducta cabe razonablemente inferir que si hubiera tenido conocimiento de la inoperancia de los documentos que obraban ya en poder del Colegio de Abogados los habría aportado de nuevo, en tanto reiteradamente alegó que carecía de medios económicos, dando cuenta de sus circunstancias personales, y manifestó asimismo al órgano judicial, en escrito que dirigió al Juzgado previamente a la comparecencia y aun partiendo de la consideración de que había ya proporcionado los documentos requeridos, su disposición para facilitar la información o documentación adicional que fuera necesaria.</w:t>
      </w:r>
    </w:p>
    <w:p w:rsidR="0052098F" w:rsidRDefault="0052098F" w:rsidP="0052098F">
      <w:pPr>
        <w:pStyle w:val="TextoNormal"/>
      </w:pPr>
      <w:r>
        <w:t xml:space="preserve">En suma, la denegación de la asistencia jurídica gratuita a quien mantiene que carece de recursos para litigar y afirma haber entregado la documentación acreditativa al respecto en una solicitud inmediatamente anterior en el tiempo constituye una decisión contraria al principio pro actione pues, como ya se ha señalado, para quien carece de los recursos económicos necesarios el reconocimiento del derecho a la asistencia jurídica gratuita es el medio a través del cual se hace posible el ejercicio de su derecho a la tutela judicial efectiva. Y en el caso aquí examinado aquella decisión se asentó en un criterio formalista y desproporcionado cual es considerar incumplida la carga de aportación de la documentación exigida por no haberse entregado de nuevo, sin la previa advertencia, por otra parte, de la ineficacia para </w:t>
      </w:r>
      <w:r>
        <w:lastRenderedPageBreak/>
        <w:t>la sustanciación de la nueva solicitud de la documentación que debía constar ya en el organismo actuante.</w:t>
      </w:r>
    </w:p>
    <w:p w:rsidR="0052098F" w:rsidRDefault="0052098F" w:rsidP="0052098F">
      <w:pPr>
        <w:pStyle w:val="TextoNormal"/>
      </w:pPr>
      <w:r>
        <w:t>Procedente será, por tanto, el pronunciamiento estimatorio del amparo previsto en el art. 53 a) LOTC.</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doña Silvia Elena Serafín Torres y, en consecuencia:</w:t>
      </w:r>
    </w:p>
    <w:p w:rsidR="0052098F" w:rsidRDefault="0052098F" w:rsidP="0052098F">
      <w:pPr>
        <w:pStyle w:val="TextoNormal"/>
      </w:pPr>
      <w:r>
        <w:t>1º Reconocer su derecho a la tutela judicial efectiva sin indefensión (art. 24.1 CE).</w:t>
      </w:r>
    </w:p>
    <w:p w:rsidR="0052098F" w:rsidRDefault="0052098F" w:rsidP="0052098F">
      <w:pPr>
        <w:pStyle w:val="TextoNormal"/>
      </w:pPr>
      <w:r>
        <w:t>2º Anular el Auto del Juzgado de Primera Instancia núm. 1 de Elche de 28 de octubre de 2005, recaído en procedimiento de justicia gratuita núm. 1028-2005, desestimatorio de la impugnación de la Resolución de la Comisión de Asistencia Jurídica Gratuita de Alicante de 7 de marzo de 2005, y</w:t>
      </w:r>
    </w:p>
    <w:p w:rsidR="0052098F" w:rsidRDefault="0052098F" w:rsidP="0052098F">
      <w:pPr>
        <w:pStyle w:val="TextoNormal"/>
      </w:pPr>
      <w:r>
        <w:t>3º Retrotraer las actuaciones a fin de que proceda a dictarse nueva resolución respetuosa con el derecho fundamental reconocido.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veintiuno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4" w:name="SENTENCIA_2008_11"/>
      <w:r>
        <w:lastRenderedPageBreak/>
        <w:t>SENTENCIA 11/2008, de 21 de enero de 2008</w:t>
      </w:r>
    </w:p>
    <w:bookmarkEnd w:id="14"/>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40, de 15 de febrero de 2008)</w:t>
      </w:r>
    </w:p>
    <w:p w:rsidR="0052098F" w:rsidRDefault="0052098F" w:rsidP="0052098F">
      <w:pPr>
        <w:pStyle w:val="TtuloBOE"/>
      </w:pPr>
    </w:p>
    <w:p w:rsidR="0052098F" w:rsidRDefault="0052098F" w:rsidP="0052098F">
      <w:pPr>
        <w:pStyle w:val="SntesisDescriptiva"/>
      </w:pPr>
      <w:r>
        <w:t>ECLI:ES:TC:2008:11</w:t>
      </w:r>
    </w:p>
    <w:p w:rsidR="0052098F" w:rsidRDefault="0052098F" w:rsidP="0052098F">
      <w:pPr>
        <w:pStyle w:val="SntesisDescriptiva"/>
      </w:pPr>
    </w:p>
    <w:p w:rsidR="0052098F" w:rsidRDefault="0052098F" w:rsidP="0052098F">
      <w:pPr>
        <w:pStyle w:val="SntesisDescriptiva"/>
      </w:pPr>
      <w:r>
        <w:t>Recurso de amparo 1140-2006. Promovido por la Junta de Andalucía frente a los Autos de la Audiencia Provincial de Sevilla que, en apelación de un litigio sobre desamparo de menores, elevó la cuantía debida a la madre biológica como indemnización sustitutoria de la entrega de sus hijos (STC 124/2002).</w:t>
      </w:r>
    </w:p>
    <w:p w:rsidR="0052098F" w:rsidRDefault="0052098F" w:rsidP="0052098F">
      <w:pPr>
        <w:pStyle w:val="SntesisDescriptiva"/>
      </w:pPr>
    </w:p>
    <w:p w:rsidR="0052098F" w:rsidRDefault="0052098F" w:rsidP="0052098F">
      <w:pPr>
        <w:pStyle w:val="SntesisAnaltica"/>
      </w:pPr>
      <w:r>
        <w:t>Supuesta vulneración del derecho a la tutela judicial efectiva (ejecución): derechos fundamentales de los entes públicos; indemnización sustitutoria de la entrega de hijos biológicos, cuya cuantía no se desvía del fallo que había anulado la declaración de desamparo.</w:t>
      </w:r>
    </w:p>
    <w:p w:rsidR="0052098F" w:rsidRDefault="0052098F" w:rsidP="0052098F">
      <w:pPr>
        <w:pStyle w:val="SntesisAnaltica"/>
      </w:pPr>
    </w:p>
    <w:p w:rsidR="0052098F" w:rsidRDefault="0052098F" w:rsidP="0052098F">
      <w:pPr>
        <w:pStyle w:val="Extracto"/>
      </w:pPr>
      <w:r>
        <w:t>1.</w:t>
      </w:r>
      <w:r>
        <w:tab/>
        <w:t>En las resoluciones impugnadas no se observa la quiebra lógica e incoherente que determina la irrazonabilidad manifiesta de motivación, dado que la Sala sentenciadora adoptó unos criterios indemnizatorios que toman el daño causado a la actora por la separación de sus hijos como premisa de la determinación de la indemnización sustitutoria de la ejecución que le reconoce el fallo ejecutado [FJ 9].</w:t>
      </w:r>
    </w:p>
    <w:p w:rsidR="0052098F" w:rsidRDefault="0052098F" w:rsidP="0052098F">
      <w:pPr>
        <w:pStyle w:val="Extracto"/>
      </w:pPr>
    </w:p>
    <w:p w:rsidR="0052098F" w:rsidRDefault="0052098F" w:rsidP="0052098F">
      <w:pPr>
        <w:pStyle w:val="Extracto"/>
      </w:pPr>
      <w:r>
        <w:t>2.</w:t>
      </w:r>
      <w:r>
        <w:tab/>
        <w:t>No pueden considerarse razonadas ni motivadas las resoluciones judiciales que se comprueba que parten de premisas inexistentes o patentemente erróneas o siguen un desarrollo argumental que incurre en quiebras lógicas de tan magnitud que las conclusiones alcanzadas o pueden considerarse basadas en ninguna de las razones aducidas (SSTC 164/2002, 215/2006) [FJ 9].</w:t>
      </w:r>
    </w:p>
    <w:p w:rsidR="0052098F" w:rsidRDefault="0052098F" w:rsidP="0052098F">
      <w:pPr>
        <w:pStyle w:val="Extracto"/>
      </w:pPr>
    </w:p>
    <w:p w:rsidR="0052098F" w:rsidRDefault="0052098F" w:rsidP="0052098F">
      <w:pPr>
        <w:pStyle w:val="Extracto"/>
      </w:pPr>
      <w:r>
        <w:t>3.</w:t>
      </w:r>
      <w:r>
        <w:tab/>
        <w:t>No puede ponerse en cuestión la competencia de la jurisdicción civil para ejecutar sus propios pronunciamientos, dictados en un procedimiento civil en el que la Administración recurrente era parte demandada, sometida a las resoluciones dictadas por los Jueces y Tribunales del orden civil [FJ 8].</w:t>
      </w:r>
    </w:p>
    <w:p w:rsidR="0052098F" w:rsidRDefault="0052098F" w:rsidP="0052098F">
      <w:pPr>
        <w:pStyle w:val="Extracto"/>
      </w:pPr>
    </w:p>
    <w:p w:rsidR="0052098F" w:rsidRDefault="0052098F" w:rsidP="0052098F">
      <w:pPr>
        <w:pStyle w:val="Extracto"/>
      </w:pPr>
      <w:r>
        <w:t>4.</w:t>
      </w:r>
      <w:r>
        <w:tab/>
        <w:t>La determinación del contenido indemnizable por la inejecutabilidad del fallo y por el defectuoso funcionamiento de la Administración es materia que compete discernir autónomamente en los correspondientes órdenes jurisdiccionales, en los cuales la Administración ejecutada y demandada contemporáneamente en concepto de responsable por un defectuoso funcionamiento de sus servicios puede oponer la efectiva compensación del daño que pudiera reclamársele por ambas prestaciones indemnizatorias independientes [FJ 8].</w:t>
      </w:r>
    </w:p>
    <w:p w:rsidR="0052098F" w:rsidRDefault="0052098F" w:rsidP="0052098F">
      <w:pPr>
        <w:pStyle w:val="Extracto"/>
      </w:pPr>
    </w:p>
    <w:p w:rsidR="0052098F" w:rsidRDefault="0052098F" w:rsidP="0052098F">
      <w:pPr>
        <w:pStyle w:val="Extracto"/>
      </w:pPr>
      <w:r>
        <w:t>5.</w:t>
      </w:r>
      <w:r>
        <w:tab/>
        <w:t>La intangibilidad, inmodificabilidad o invariabilidad de las resoluciones judiciales firmes constituye presupuesto lógico del derecho a la ejecución de las Sentencias firmes en sus propios términos (STC 209/2005) [FJ 5].</w:t>
      </w:r>
    </w:p>
    <w:p w:rsidR="0052098F" w:rsidRDefault="0052098F" w:rsidP="0052098F">
      <w:pPr>
        <w:pStyle w:val="Extracto"/>
      </w:pPr>
    </w:p>
    <w:p w:rsidR="0052098F" w:rsidRDefault="0052098F" w:rsidP="0052098F">
      <w:pPr>
        <w:pStyle w:val="Extracto"/>
      </w:pPr>
      <w:r>
        <w:t>6.</w:t>
      </w:r>
      <w:r>
        <w:tab/>
        <w:t>Doctrina en relación con el derecho a la ejecución de las resoluciones judiciales firmes en sus propios términos, como contenido del derecho a la tutela judicial efectiva sin indefensión [FJ 6].</w:t>
      </w:r>
    </w:p>
    <w:p w:rsidR="0052098F" w:rsidRDefault="0052098F" w:rsidP="0052098F">
      <w:pPr>
        <w:pStyle w:val="Extracto"/>
      </w:pPr>
    </w:p>
    <w:p w:rsidR="0052098F" w:rsidRDefault="0052098F" w:rsidP="0052098F">
      <w:pPr>
        <w:pStyle w:val="Extracto"/>
      </w:pPr>
      <w:r>
        <w:t>7.</w:t>
      </w:r>
      <w:r>
        <w:tab/>
        <w:t>Nuestro control sobre la motivación de las resoluciones impugnadas debe limitarse a comprobar si por su arbitrariedad, manifiesta irrazonabilidad o ser resultado de un patente error de hecho, vulneran el derecho fundamental invocado [FJ 7].</w:t>
      </w:r>
    </w:p>
    <w:p w:rsidR="0052098F" w:rsidRDefault="0052098F" w:rsidP="0052098F">
      <w:pPr>
        <w:pStyle w:val="Extracto"/>
      </w:pPr>
    </w:p>
    <w:p w:rsidR="0052098F" w:rsidRDefault="0052098F" w:rsidP="0052098F">
      <w:pPr>
        <w:pStyle w:val="Extracto"/>
      </w:pPr>
      <w:r>
        <w:t>8.</w:t>
      </w:r>
      <w:r>
        <w:tab/>
        <w:t>Un hipotético error con relevancia constitucional resulta intrascendente en este caso, ya que no fue aducido por la Administración recurrente en su escrito de demanda, siendo éste el instrumento que delimita en contenido del recurso de amparo (SSTC 250/2000, 57/2003) [FJ 9].</w:t>
      </w:r>
    </w:p>
    <w:p w:rsidR="0052098F" w:rsidRDefault="0052098F" w:rsidP="0052098F">
      <w:pPr>
        <w:pStyle w:val="Extracto"/>
      </w:pPr>
    </w:p>
    <w:p w:rsidR="0052098F" w:rsidRDefault="0052098F" w:rsidP="0052098F">
      <w:pPr>
        <w:pStyle w:val="Extracto"/>
      </w:pPr>
      <w:r>
        <w:t>9.</w:t>
      </w:r>
      <w:r>
        <w:tab/>
        <w:t>Doctrina sobre la titularidad de la tutela judicial efectiva por parte de las personas jurídico-públicas (SSTC 19/1983, 175/2001) [FJ 3].</w:t>
      </w:r>
    </w:p>
    <w:p w:rsidR="0052098F" w:rsidRDefault="0052098F" w:rsidP="0052098F">
      <w:pPr>
        <w:pStyle w:val="Extracto"/>
      </w:pPr>
    </w:p>
    <w:p w:rsidR="0052098F" w:rsidRDefault="0052098F" w:rsidP="0052098F">
      <w:pPr>
        <w:pStyle w:val="Extracto"/>
      </w:pPr>
      <w:r>
        <w:t>10.</w:t>
      </w:r>
      <w:r>
        <w:tab/>
        <w:t>La apreciabilidad de la imparcialidad judicial, debió plantearse en el momento procesal oportuno dentro de la vía judicial ordinaria, y al no haberse hecho resulta inadmisible la alegada vulneración del art. 24.2 CE en su vertiente de derecho a un juez imparcial [FJ 4].</w:t>
      </w:r>
    </w:p>
    <w:p w:rsidR="0052098F" w:rsidRDefault="0052098F" w:rsidP="0052098F">
      <w:pPr>
        <w:pStyle w:val="Extracto"/>
      </w:pPr>
    </w:p>
    <w:p w:rsidR="0052098F" w:rsidRDefault="0052098F" w:rsidP="0052098F">
      <w:pPr>
        <w:pStyle w:val="Extracto"/>
      </w:pPr>
      <w:r>
        <w:t>11.</w:t>
      </w:r>
      <w:r>
        <w:tab/>
        <w:t>El recurso de aclaración interpuesto en paralelo con el recurso de amparo no hace inviable la solicitud de amparo (STC 304/1993) [FJ 4].</w:t>
      </w:r>
    </w:p>
    <w:p w:rsidR="0052098F" w:rsidRDefault="0052098F" w:rsidP="0052098F">
      <w:pPr>
        <w:pStyle w:val="Extracto"/>
      </w:pPr>
    </w:p>
    <w:p w:rsidR="0052098F" w:rsidRDefault="0052098F" w:rsidP="0052098F">
      <w:pPr>
        <w:pStyle w:val="Extracto"/>
      </w:pPr>
      <w:r>
        <w:t>12.</w:t>
      </w:r>
      <w:r>
        <w:tab/>
        <w:t>No puede prosperar la objeción de falta de agotamiento de la vía judicial por no haber hecho uso la demandante del incidente de nulidad de actuaciones, pues los motivos de la denuncia de vulneración del art. 24.1 CE, relativos a la irrazonabilidad de la motivación de las resoluciones impugnadas y a su inadecuación al contenido del fallo ejecutado no se encuentran entre los que permiten el acceso a dicho remedio procesal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1140-2006, promovido por la Junta de Andalucía, representada por Letrada de su Gabinete Jurídico, contra el Auto de 30 de diciembre de 2005 dictado por la Sección Sexta de la Audiencia Provincial de Sevilla en el rollo de apelación núm. 5785-2005, que estimó parcialmente el recurso interpuesto contra la resolución dictada por el Juzgado de Primera Instancia núm. 7 (Familia) de Sevilla en autos de incidente de ejecución núm. 67-2004, sobre indemnización sustitutoria, y contra el Auto de 14 de marzo </w:t>
      </w:r>
      <w:r>
        <w:lastRenderedPageBreak/>
        <w:t>de 2006, de aclaración y rectificación del anterior. Han comparecido doña Carmen Fernández Fernández, representada por el Procurador de los Tribunales don Luis Santías Viada y asistida por el Abogado don Gabriel Velamazán Perdomo, y el Abogado del Estado. Ha intervenido el Ministerio Fiscal. Ha sido Ponente el Magistrado don Guillermo Jiménez Sánchez,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6 de febrero de 2006 se interpuso por Letrada de la Junta de Andalucía, en la representación legal por ella ostentada, recurso de amparo contra la resolución mencionada en primer lugar en el encabezamiento, ampliándose posteriormente el recurso, mediante escrito presentado el 19 de abril de 2006, contra la resolución que aclara y rectifica la anterior, por considerar que ambas resoluciones judiciales vulneran su derecho fundamental a la tutela judicial efectiva (art. 24.1 CE) y su derecho a un proceso con todas las garantías en su vertiente de derecho a un juez imparcial (art. 24.2 CE).</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que originan la demanda de amparo son, en síntesis, los siguientes: </w:t>
      </w:r>
    </w:p>
    <w:p w:rsidR="0052098F" w:rsidRDefault="0052098F" w:rsidP="0052098F">
      <w:pPr>
        <w:pStyle w:val="TextoNormal"/>
      </w:pPr>
      <w:r>
        <w:t xml:space="preserve">a) En septiembre de 1996 los menores S. S. F. e I. S. F., nacidos los días 22 de febrero de 1991 y 13 de febrero de 1992, fueron ingresados en el Centro de Acogida de la Diputación Provincial de Sevilla, a instancia del Ministerio público, por hallarse en estado de abandono. </w:t>
      </w:r>
    </w:p>
    <w:p w:rsidR="0052098F" w:rsidRDefault="0052098F" w:rsidP="0052098F">
      <w:pPr>
        <w:pStyle w:val="TextoNormal"/>
      </w:pPr>
      <w:r>
        <w:t xml:space="preserve">b) Tras la remisión de las correspondientes diligencias policiales por parte de la Fiscalía de Menores a la Delegación Provincial de la Consejería de Asuntos Sociales de la Junta de Andalucía, en Resolución de 12 de noviembre de 1996 se declaró el desamparo de los menores. Este desamparo fue ratificado por Resolución de 2 de junio de 1997, que acordó acogimiento provisional con familia sustitutoria al descartarse el acogimiento por parientes. </w:t>
      </w:r>
    </w:p>
    <w:p w:rsidR="0052098F" w:rsidRDefault="0052098F" w:rsidP="0052098F">
      <w:pPr>
        <w:pStyle w:val="TextoNormal"/>
      </w:pPr>
      <w:r>
        <w:t xml:space="preserve">c) Por Sentencia de 8 de septiembre de 1998 el Juez de Primera Instancia núm. 7 (familia) de Sevilla (autos acumulados 408-1997 y 878-1997) desestimó la oposición formulada a la declaración de desamparo y acordó constituir el acogimiento familiar preadoptivo. </w:t>
      </w:r>
    </w:p>
    <w:p w:rsidR="0052098F" w:rsidRDefault="0052098F" w:rsidP="0052098F">
      <w:pPr>
        <w:pStyle w:val="TextoNormal"/>
      </w:pPr>
      <w:r>
        <w:t xml:space="preserve">d) Contra la anterior Sentencia se interpuso recurso de apelación, tramitado con el núm. 3004-1999 ante la Sección Sexta de la Audiencia Provincial de Sevilla, en el cual se dictó Auto el 5 de junio de 2000, desestimatorio de la pretensión de los acogedores de ser tenidos por parte en el expediente, pronunciándose seguidamente Sentencia de fecha 12 de junio de 2000, por la que se estimó el recurso de apelación, cuyo fallo señala expresamente: </w:t>
      </w:r>
    </w:p>
    <w:p w:rsidR="0052098F" w:rsidRDefault="0052098F" w:rsidP="0052098F">
      <w:pPr>
        <w:pStyle w:val="TextoNormal"/>
      </w:pPr>
      <w:r>
        <w:t xml:space="preserve">“Fallamos: estimamos el recurso de apelación interpuesto por Carmen Fernández Fernández frente a la Sentencia del Juzgado de Primera Instancia núm. 7 de Sevilla, recaída en autos núm. 408-1997, promovidos por la recurrente citada, la que revocamos y dejamos sin efecto, y, en su lugar, y previa estimación de la oposición a la situación de desamparo declarada por la Junta de Andalucía, Consejería de Asuntos Sociales, declaramos la inexistencia de situación legal de desamparo, dejamos sin efecto el acogimiento preadoptivo realizado y ordenamos que los dos menores hijos de la recurrente sean devueltos y colocados bajo la guarda y custodia de la misma, recuperando así la patria potestad, lo que se llevará a cabo de inmediato. No hacemos especial pronunciamiento respecto de las costas de esta alzada”. </w:t>
      </w:r>
    </w:p>
    <w:p w:rsidR="0052098F" w:rsidRDefault="0052098F" w:rsidP="0052098F">
      <w:pPr>
        <w:pStyle w:val="TextoNormal"/>
      </w:pPr>
      <w:r>
        <w:t xml:space="preserve">e) Iniciados los trámites de ejecución de la Sentencia pronunciada en apelación, el 23 de octubre de 2000 se dictó Auto por el Juez de Primera Instancia núm. 7 (Familia) de Sevilla, </w:t>
      </w:r>
      <w:r>
        <w:lastRenderedPageBreak/>
        <w:t xml:space="preserve">en el cual se acordó una reinserción progresiva de los menores con la madre de cuya evolución debía informarse transcurridos tres meses; todo ello sin perjuicio de la suspensión de la ejecución de la Sentencia, pedida por los acogedores al formular recurso de amparo ante el Tribunal Constitucional contra el Auto de 5 de junio y la Sentencia de 12 de junio de 2002 por haberse denegado su personación el procedimiento. La STC 124/2002, de 20 de mayo, estimó el amparo solicitado y declaró la nulidad de la Sentencia dictada por la Sección Sexta de la Audiencia Provincial de Sevilla, con retroacción de las actuaciones para que, personados los acogedores de los menores, se pronunciara nueva Sentencia por aquélla. </w:t>
      </w:r>
    </w:p>
    <w:p w:rsidR="0052098F" w:rsidRDefault="0052098F" w:rsidP="0052098F">
      <w:pPr>
        <w:pStyle w:val="TextoNormal"/>
      </w:pPr>
      <w:r>
        <w:t xml:space="preserve">f) Con fecha 26 de diciembre de 2002 la Sección Sexta de la Audiencia Provincial de Sevilla dictó nueva Sentencia, revocatoria de la pronunciada por el Juez de Primera Instancia núm. 7 (Familia) de Sevilla el 8 de septiembre de 1998, en la cual se acordó que los menores quedaran bajo la guarda y custodia de la madre, pero, al mismo tiempo, se declaró la imposibilidad de ejecución de lo acordado y se ordenó que se iniciara el expediente para la determinación de la indemnización sustitutoria (art. 18.2 LOPJ). Dice el fallo de esta Sentencia: </w:t>
      </w:r>
    </w:p>
    <w:p w:rsidR="0052098F" w:rsidRDefault="0052098F" w:rsidP="0052098F">
      <w:pPr>
        <w:pStyle w:val="TextoNormal"/>
      </w:pPr>
      <w:r>
        <w:t xml:space="preserve">“Fallamos: </w:t>
      </w:r>
    </w:p>
    <w:p w:rsidR="0052098F" w:rsidRDefault="0052098F" w:rsidP="0052098F">
      <w:pPr>
        <w:pStyle w:val="TextoNormal"/>
      </w:pPr>
      <w:r>
        <w:t xml:space="preserve">1º Inadmitir a trámite el recurso de reposición interpuesto por la procuradora Sra. Pulido Gómez frente al proveído de esta Sala de fecha 17 de julio del corriente. </w:t>
      </w:r>
    </w:p>
    <w:p w:rsidR="0052098F" w:rsidRDefault="0052098F" w:rsidP="0052098F">
      <w:pPr>
        <w:pStyle w:val="TextoNormal"/>
      </w:pPr>
      <w:r>
        <w:t xml:space="preserve">2º Estimar el recurso de apelación deducido por la representación procesal de Carmen Fernández Fernández frente a la Sentencia del Juzgado de Primera Instancia (Familia) núm. 7 de Sevilla de fecha 8 de septiembre de 1998 recaída en autos núm. 408-1997, la que revocamos y dejamos sin efecto. </w:t>
      </w:r>
    </w:p>
    <w:p w:rsidR="0052098F" w:rsidRDefault="0052098F" w:rsidP="0052098F">
      <w:pPr>
        <w:pStyle w:val="TextoNormal"/>
      </w:pPr>
      <w:r>
        <w:t xml:space="preserve">3º Declaramos que no ha existido situación legal de desamparo respecto de sus hijos menores S. e I. S. F., por lo que dejamos sin efecto la declaración hecha al respecto, y denegamos asimismo el acogimiento preadoptivo interesado. </w:t>
      </w:r>
    </w:p>
    <w:p w:rsidR="0052098F" w:rsidRDefault="0052098F" w:rsidP="0052098F">
      <w:pPr>
        <w:pStyle w:val="TextoNormal"/>
      </w:pPr>
      <w:r>
        <w:t xml:space="preserve">4º Acordamos que, en consecuencia, los menores referidos vuelvan a convivir con su indicada madre bajo cuya guarda y custodia quedarán. </w:t>
      </w:r>
    </w:p>
    <w:p w:rsidR="0052098F" w:rsidRDefault="0052098F" w:rsidP="0052098F">
      <w:pPr>
        <w:pStyle w:val="TextoNormal"/>
      </w:pPr>
      <w:r>
        <w:t xml:space="preserve">5º Declaramos la imposibilidad de ejecución de lo aquí resuelto en el punto cuarto de este fallo. </w:t>
      </w:r>
    </w:p>
    <w:p w:rsidR="0052098F" w:rsidRDefault="0052098F" w:rsidP="0052098F">
      <w:pPr>
        <w:pStyle w:val="TextoNormal"/>
      </w:pPr>
      <w:r>
        <w:t xml:space="preserve">6º Acordamos que por parte del Juzgado del que proceden estas actuaciones y al que corresponde su ejecución, se incoe incidente para la determinación de la indemnización sustitutoria que ha de corresponder a la recurrente por la imposibilidad de la ejecución señalada. </w:t>
      </w:r>
    </w:p>
    <w:p w:rsidR="0052098F" w:rsidRDefault="0052098F" w:rsidP="0052098F">
      <w:pPr>
        <w:pStyle w:val="TextoNormal"/>
      </w:pPr>
      <w:r>
        <w:t xml:space="preserve">7º No hacemos especial pronunciamiento respecto de las costas causadas en esta alzada”. </w:t>
      </w:r>
    </w:p>
    <w:p w:rsidR="0052098F" w:rsidRDefault="0052098F" w:rsidP="0052098F">
      <w:pPr>
        <w:pStyle w:val="TextoNormal"/>
      </w:pPr>
      <w:r>
        <w:t xml:space="preserve">g) Con fecha 19 de diciembre de 2003 se dedujo demanda de ejecución por doña Carmen Fernández Fernández reclamando la suma de 2.168.600 euros de indemnización por diversos conceptos. Tras su tramitación bajo el número de autos 67-2004 se dictó Sentencia por el Juez de Primera Instancia núm. 7 (Familia) de Sevilla, con fecha de 28 de marzo de 2005, que contiene el siguiente fallo: </w:t>
      </w:r>
    </w:p>
    <w:p w:rsidR="0052098F" w:rsidRDefault="0052098F" w:rsidP="0052098F">
      <w:pPr>
        <w:pStyle w:val="TextoNormal"/>
      </w:pPr>
      <w:r>
        <w:t xml:space="preserve">“Que estimando parcialmente la demanda formulada por el Procurador don Rafael Quiroga Ruiz, en nombre y representación de Carmen Fernández Fernández, promoviendo juicio incidental al objeto de que, al amparo de lo prevenido en el art. 18.2 LOPJ, se establezca indemnización sustitutoria conforme a lo ordenado por la Sentencia de 26 de diciembre de 2002 dictada por la Sección Sexta de la Audiencia Provincial de Sevilla, y en el que han sido parte el Ministerio Fiscal, la Junta de Andalucía, el Estado y los Sres. don Juan Sánchez Mancebo y doña Josefa Rivas Gómez, debo declarar y declaro: </w:t>
      </w:r>
    </w:p>
    <w:p w:rsidR="0052098F" w:rsidRDefault="0052098F" w:rsidP="0052098F">
      <w:pPr>
        <w:pStyle w:val="TextoNormal"/>
      </w:pPr>
      <w:r>
        <w:t xml:space="preserve">-Absolver al Estado de todo pronunciamiento condenatorio en este procedimiento. </w:t>
      </w:r>
    </w:p>
    <w:p w:rsidR="0052098F" w:rsidRDefault="0052098F" w:rsidP="0052098F">
      <w:pPr>
        <w:pStyle w:val="TextoNormal"/>
      </w:pPr>
      <w:r>
        <w:lastRenderedPageBreak/>
        <w:t xml:space="preserve">-Condenar a la Junta de Andalucía, Consejería de Igualdad y Bienestar Social, Delegación Provincial de Sevilla, a que abone a Carmen Fernández Fernández la suma de setenta y dos mil seiscientos setenta euros (72.670 euros). </w:t>
      </w:r>
    </w:p>
    <w:p w:rsidR="0052098F" w:rsidRDefault="0052098F" w:rsidP="0052098F">
      <w:pPr>
        <w:pStyle w:val="TextoNormal"/>
      </w:pPr>
      <w:r>
        <w:t xml:space="preserve">-Que el menor I. S. F. quede bajo la guarda y custodia del matrimonio constituido entre Juan S. M. y Josefa R. G., quienes compartirán el resto de las funciones derivadas del ejercicio de la patria potestad sobre el mismo, con doña Carmen Fernández Fernández. No cabe en la actualidad, fijar ningún régimen de relación y contacto entre el menor I. y su madre y hermana. </w:t>
      </w:r>
    </w:p>
    <w:p w:rsidR="0052098F" w:rsidRDefault="0052098F" w:rsidP="0052098F">
      <w:pPr>
        <w:pStyle w:val="TextoNormal"/>
      </w:pPr>
      <w:r>
        <w:t xml:space="preserve">Todo ello sin imponer las costas del procedimiento a ninguna de las partes litigantes”. </w:t>
      </w:r>
    </w:p>
    <w:p w:rsidR="0052098F" w:rsidRDefault="0052098F" w:rsidP="0052098F">
      <w:pPr>
        <w:pStyle w:val="TextoNormal"/>
      </w:pPr>
      <w:r>
        <w:t xml:space="preserve">h) Contra la anterior Sentencia interpusieron recurso el Ministerio público, respecto al tercero de los pronunciamientos del fallo, por cuanto entendía que el menor I. quedaba en una situación de indefenición, doña Carmen Fernández Fernández, respecto a todos los pronunciamientos, y la Junta de Andalucía, exclusivamente respecto al segundo de los pronunciamientos, relativo a la indemnización impuesta ex art. 18.2 LOPJ, por considerar excesiva la cuantía. </w:t>
      </w:r>
    </w:p>
    <w:p w:rsidR="0052098F" w:rsidRDefault="0052098F" w:rsidP="0052098F">
      <w:pPr>
        <w:pStyle w:val="TextoNormal"/>
      </w:pPr>
      <w:r>
        <w:t xml:space="preserve">i) La Sección Sexta de la Audiencia Provincial de Sevilla optó por dividir la resolución de los recursos frente a la Sentencia, y en el mismo rollo de apelación núm. 5785-2005 procedió a dictar dos resoluciones: </w:t>
      </w:r>
    </w:p>
    <w:p w:rsidR="0052098F" w:rsidRDefault="0052098F" w:rsidP="0052098F">
      <w:pPr>
        <w:pStyle w:val="TextoNormal"/>
      </w:pPr>
      <w:r>
        <w:t xml:space="preserve">De una parte, el Auto de 30 de diciembre de 2005, por el que se desestimó la pretensión revocatoria de la Junta de Andalucía y, estimando parcialmente el recurso de apelación interpuesto por la representación procesal de doña Carmen Fernández Fernández, se fijó como importe de la indemnización que la Junta de Andalucía debía pagar a la referida recurrente la suma de un millón cuatrocientos mil euros. </w:t>
      </w:r>
    </w:p>
    <w:p w:rsidR="0052098F" w:rsidRDefault="0052098F" w:rsidP="0052098F">
      <w:pPr>
        <w:pStyle w:val="TextoNormal"/>
      </w:pPr>
      <w:r>
        <w:t xml:space="preserve">De otra parte, el Auto de 19 de enero de 2006, por el que acordó mantener la situación de acogimiento familiar con carácter indefinido del menor I. S. F., bajo la vigilancia de la entidad pública de protección, así como establecer un régimen de visitas entre I., su madre biológica, doña Carmen Fernández Fernández, y su hermana S. S. F., de forma progresiva </w:t>
      </w:r>
    </w:p>
    <w:p w:rsidR="0052098F" w:rsidRDefault="0052098F" w:rsidP="0052098F">
      <w:pPr>
        <w:pStyle w:val="TextoNormal"/>
      </w:pPr>
      <w:r>
        <w:t>j) Por la representación de doña Carmen Fernández Fernández se solicitó aclaración y rectificación del Auto de 30 de diciembre de 2005, estimada por Auto de 14 de marzo de 2006 de la misma Sección Sexta de la Audiencia de Sevilla, en el cual se fijó el importe de la indemnización en 1.703.600 euros.</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La Administración autonómica recurrente alega que el Auto impugnado de la Sección Sexta de la Audiencia Provincial de Sevilla de 30 de diciembre de 2005 (y el posterior de aclaración de 14 de marzo de 2006) vulnera su derecho fundamental a la tutela judicial efectiva (art. 24.1 CE) porque se la condena, no sólo a que indemnice por sustitución (o por equivalente) el aspecto inejecutable del fallo relativo a la imposibilidad de reintegración de los menores a la convivencia con su madre, sino que, sin ningún tipo de apoyo legal ni motivación en Derecho, se la condena en vía civil a que indemnice los daños y perjuicios causados a la actora desde 1996 hasta finales de 2005, y por tanto los anteriores a la fecha en la cual se dictó la Sentencia declarada inejecutable (2002), lo que supone una extralimitación sin justificación alguna en la competencia jurisdiccional del Tribunal, al venir atribuida la competencia jurisdiccional para dilucidar la responsabilidad patrimonial de la Administración de manera exclusiva y excluyente a los órganos jurisdiccionales del orden contencioso-administrativo (arts. 9.4 LOPJ; 2.e de la Ley de la jurisdicción contencioso-administrativa; y 139 y siguientes de la Ley de régimen jurídico de las Administraciones públicas y del procedimiento administrativo común), por lo cual no puede considerarse la dictada </w:t>
      </w:r>
      <w:r>
        <w:lastRenderedPageBreak/>
        <w:t>una resolución secundum legem. Además aduce que el Auto impugnado incurre en irrazonabilidad en la fijación del quantum indemnizatorio, considerando y valorando aspectos que afectan a la actora pero que no guardan relación con el contenido del fallo ejecutado. Por otro lado denuncia la Administración recurrente la vulneración de su derecho a un proceso con todas las garantías en su vertiente de derecho a un Juez imparcial (art. 24.2 CE), pues se la hace responsable de los daños y perjuicios sufridos por la actora como consecuencia de la dilación de la resolución del litigio provocada por factores ajenos a la actuación de la Administración, relacionados con el ambiente de enfrentamiento existente entre los órganos judiciales de ambas instancias, por lo que no puede afirmarse que se cumplan en este caso la exigencia de imparcialidad del órgano judicial que ha dictado la resolución recurrida en amparo.</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Tras sustanciarse el incidente de admisión (art. 50.3 LOTC), abierto por providencia de 19 de septiembre de 2006 de la Sección Tercera de este Tribunal, en el cual el Ministerio público interesó la inadmisión de la demanda de amparo, al entender que carece de contenido constitucional, y la Administración recurrente solicitó su admisión, reiterando que en el caso se ha vulnerado el derecho a la tutela judicial efectiva (por la irrazonabilidad de la motivación del fallo de la resolución impugnada) en conexión con el derecho a la inmutabilidad e intangibilidad de las Sentencias firmes (por extralimitación en la ejecución), la Sala Segunda del Tribunal Constitucional, de conformidad con lo dispuesto en el art. 11.2 LOTC, acordó, por providencia de 23 de enero de 2007, admitir a trámite la demanda de amparo y recabar de la Sección Sexta de la Audiencia Provincial de Sevilla la remisión del testimonio de las actuaciones producidas en el rollo de apelación núm. 5785-2005 y del Juzgado de Primera Instancia núm. 7 (Familia) de Sevilla la del testimonio de las actuaciones correspondientes al incidente de ejecución núm. 67-2004, así como el emplazamiento de quienes hubieran sido parte en el procedimiento civil para que pudiesen comparecer en el recurso de amparo si así lo desearan. </w:t>
      </w:r>
    </w:p>
    <w:p w:rsidR="0052098F" w:rsidRDefault="0052098F" w:rsidP="0052098F">
      <w:pPr>
        <w:pStyle w:val="TextoNormal"/>
      </w:pPr>
      <w:r>
        <w:t>Al propio tiempo se acordó formar pieza separada para la tramitación de la suspensión interesada por la Administración recurrente en amparo, suspensión que fue finalmente denegada por ATC 233/2007, de 7 de mayo, en el cual se condicionó la ejecución de la prestación indemnizatoria a la prestación de garantía adecuada por la beneficiaria de la misma, quien, mediante escrito de fecha 11 de junio de 2007, formuló recurso de súplica frente al Auto de suspensión referido, cuyo trámite queda precluido por el dictado de la presente Sentencia que resuelve sobre el fondo de la queja planteada.</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fecha 25 de mayo de 2007, del Secretario de Justicia de la Sala Segunda de este Tribunal, se tuvo por personado al Procurador de los Tribunales don Luis Santías Viada en nombre y representación de doña Carmen Fernández Fernández, así como se dispuso la práctica del emplazamiento del Abogado del Estado para que pudiera comparecer en el proceso si a su derecho conviniere. Mediante nueva diligencia de ordenación, de fecha 11 de junio de 2007, se tuvo por personado al Abogado del Estado y se acordó, de conformidad con el art. 52.1 LOTC, dar vista de las actuaciones recibidas a las partes personadas y al Fiscal, por plazo de veinte días, para que pudieran formular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En escrito registrado el 19 de julio de 2007 formuló alegaciones el Abogado del Estado solicitando la estimación de la demanda de amparo. Tras expresar el interés que justifica su </w:t>
      </w:r>
      <w:r>
        <w:lastRenderedPageBreak/>
        <w:t>intervención en el procedimiento de amparo, considera el representante de la Administración General del Estado que la resolución judicial impugnada vulnera el derecho a la tutela judicial efectiva (art. 24.1 CE) de la Administración recurrente por la inmotivada, arbitraria e irrazonable inaplicación de los arts. 9.4 LOPJ y 2 e) LJCA que efectúa, dado que la fijación de la suma indemnizatoria a cuyo pago obliga a la recurrente no encuentra en dicha resolución fundamento o cobertura en el fallo a cuya ejecución por equivalente (art. 18.2 LOPJ) procede, sino que se sustenta sobre un criterio de responsabilidad patrimonial por defectuoso funcionamiento de la Administración.</w:t>
      </w:r>
    </w:p>
    <w:p w:rsidR="0052098F" w:rsidRDefault="0052098F" w:rsidP="0052098F">
      <w:pPr>
        <w:pStyle w:val="TextoNormal"/>
      </w:pPr>
    </w:p>
    <w:p w:rsidR="0052098F" w:rsidRDefault="0052098F" w:rsidP="0052098F">
      <w:pPr>
        <w:pStyle w:val="TextoNormal"/>
      </w:pPr>
      <w:r w:rsidRPr="0052098F">
        <w:rPr>
          <w:rStyle w:val="NumeroAFNegritaCaracter"/>
        </w:rPr>
        <w:t>7</w:t>
      </w:r>
      <w:r>
        <w:t>. Por escrito registrado el 20 de julio de 2007 evacuó el trámite de alegaciones conferido la Administración autonómica recurrente, dando por reproducidas todas las alegaciones contenidas en sus anteriores escritos de demanda y de admisibilidad de la misma.</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Mediante escrito registrado el día 24 de julio de 2007 formuló alegaciones el Procurador de los Tribunales don Luis Santías Viada, en nombre y representación de doña Carmen Fernández Fernández, interesando la denegación del amparo solicitado. </w:t>
      </w:r>
    </w:p>
    <w:p w:rsidR="0052098F" w:rsidRDefault="0052098F" w:rsidP="0052098F">
      <w:pPr>
        <w:pStyle w:val="TextoNormal"/>
      </w:pPr>
      <w:r>
        <w:t xml:space="preserve">En primer lugar mantiene la compareciente que debe inadmitirse la demanda de amparo por prematura, dado que no cumple el requisito de procedibilidad del agotamiento de la vía judicial previa exigido por el art. 44.1 a) LOTC para su admisión a trámite, puesto que, por una parte, la demanda se dirigió contra el Auto dictado el 30 de diciembre de 2005 por la Sección Sexta de la Audiencia Provincial de Sevilla estando pendiente de resolución un recurso de aclaración y rectificación, en el cual se dictó por la misma Sala el posterior Auto de 14 de marzo de 2006, por el que se acordó aclarar y rectificar el Auto recurrido; por otra parte, la Administración recurrente no promovió contra la resolución impugnada el incidente de nulidad de actuaciones (art. 241 LOPJ) cuya utilización había sido preceptiva en el caso para tener por consumada la vía judicial previa al amparo constitucional. </w:t>
      </w:r>
    </w:p>
    <w:p w:rsidR="0052098F" w:rsidRDefault="0052098F" w:rsidP="0052098F">
      <w:pPr>
        <w:pStyle w:val="TextoNormal"/>
      </w:pPr>
      <w:r>
        <w:t>En segundo lugar, añade la compareciente, en el caso que no se estimara la concurrencia de los vicios de procedibilidad aducidos debería desestimarse la demanda de amparo en su fondo por inexistencia de las vulneraciones constitucionales denunciadas, ya que la resolución impugnada y la posterior que la aclara y rectifica satisfacen plenamente las exigencias del derecho a la tutela judicial efectiva, por cuanto son respuestas motivadas y fundadas en Derecho en las cuales no cabe apreciar arbitrariedad, manifiesta irrazonabilidad o error patente, de manera que la crítica que se efectúa desde la Administración no es sino una discrepancia acerca del modo en que se han interpretado los preceptos aplicados en relación con la determinación del quantum indemnizatorio, cuyo importe aparece justificado y razonado ampliamente en consideración de los graves daños infligidos a la compareciente, valorados conforme a criterios empleados por los Tribunales para la determinación de la indemnización en casos de muerte o de indebida privación de libertad.</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A través de escrito presentado el 5 de septiembre de 2007 evacuó el trámite de alegaciones conferido el Fiscal ante el Tribunal Constitucional, interesando la desestimación de la demanda de amparo. </w:t>
      </w:r>
    </w:p>
    <w:p w:rsidR="0052098F" w:rsidRDefault="0052098F" w:rsidP="0052098F">
      <w:pPr>
        <w:pStyle w:val="TextoNormal"/>
      </w:pPr>
      <w:r>
        <w:t xml:space="preserve">La denuncia de vulneración del derecho al Juez imparcial (art. 24.2 CE) considera Ministerio público que debe ser inadmitida por extemporánea, dado que adolece de falta de agotamiento de la vía judicial previa y de falta de invocación en aquélla del derecho fundamental vulnerado [art. 44.1 a) y c) LOTC, respectivamente]. A esta alegación añade la de la </w:t>
      </w:r>
      <w:r>
        <w:lastRenderedPageBreak/>
        <w:t xml:space="preserve">inconsistencia del denunciado enfrentamiento entre los distintos órganos judiciales (el de primera instancia y el de apelación) para sustentar la existencia de la lesión aducida. </w:t>
      </w:r>
    </w:p>
    <w:p w:rsidR="0052098F" w:rsidRDefault="0052098F" w:rsidP="0052098F">
      <w:pPr>
        <w:pStyle w:val="TextoNormal"/>
      </w:pPr>
      <w:r>
        <w:t xml:space="preserve">La denuncia de vulneración del derecho a la tutela judicial efectiva (art. 24.1 CE), en lo relativo a la aducida falta de jurisdicción para efectuar el juicio de responsabilidad de la Administración, advierte el Fiscal que no fue objeto de alegación por la recurrente en el trámite procesal en el cual se dictó la resolución impugnada, por lo que sería extemporáneo su planteamiento en amparo, puesto que no se habría producido el agotamiento de la vía judicial que exige el art. 44.1 a) LOTC. </w:t>
      </w:r>
    </w:p>
    <w:p w:rsidR="0052098F" w:rsidRDefault="0052098F" w:rsidP="0052098F">
      <w:pPr>
        <w:pStyle w:val="TextoNormal"/>
      </w:pPr>
      <w:r>
        <w:t>Por último rechaza el Ministerio público que pueda calificarse de irracional o irrazonable la motivación que sustenta la resolución impugnada en lo relativo a los criterios de determinación de la indemnización, puesto que el art. 18.2 LOPJ se refiere de modo específico al concepto de indemnización como contenido necesario de la Sentencia o Auto sustitutorio, lo que permite el “llenado” de tal concepto por el Tribunal encargado de la ejecución. En su opinión la suscitada no es sino una cuestión de interpretación e integración de normas, y no resulta arbitrario que el juzgador entienda que el sufrimiento moral, la pérdida de los hijos o los padecimientos físicos y psíquicos integren la indemnización que se concede dentro del margen de discrecionalidad que la norma confiere al juzgador.</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17 de enero de 2008 se señaló para la deliberación y votación de la presente Sentencia el día 21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Conforme se ha dejado expuesto en los antecedentes de esta Sentencia, la Administración autonómica demandante de amparo dirigió inicialmente su recurso contra el Auto de 30 de diciembre de 2005 dictado por la Sección Sexta de la Audiencia Provincial de Sevilla, por el que se determinó el contenido de la ejecución por sustitución (art. 18.2 de la Ley Orgánica del Poder Judicial: LOPJ) del fallo pronunciado por dicha Sala en Sentencia de 26 de diciembre de 2002, que declaró inejecutable la parte del fallo que disponía la reintegración de unos menores a la guarda y custodia de su madre biológica al declararse inexistente una situación legal de desamparo. La demanda de amparo fue ampliada con posterioridad contra el Auto de 14 de marzo de 2006, de aclaración y rectificación del anterior.</w:t>
      </w:r>
    </w:p>
    <w:p w:rsidR="0052098F" w:rsidRDefault="0052098F" w:rsidP="0052098F">
      <w:pPr>
        <w:pStyle w:val="TextoNormal"/>
      </w:pPr>
      <w:r>
        <w:t xml:space="preserve">Denuncia la Administración recurrente la vulneración por las resoluciones impugnadas de su derecho fundamental a la tutela judicial efectiva (art. 24.1 CE) porque la condenan, no sólo a que indemnice por sustitución (o por equivalente) el aspecto inejecutable del fallo relativo a la imposibilidad de reintegración de los menores a la convivencia con su madre, sino que, sin ningún tipo de apoyo legal ni motivación en Derecho, se la condena en vía civil a que indemnice los daños y perjuicios causados a ésta desde 1996 hasta finales de 2005, y por tanto los anteriores a la fecha (26 de diciembre de 2002) en la cual se dictó la Sentencia a cuya ejecucución proceden, lo que en su opinión supone una extralimitación sin justificación alguna de la competencia jurisdiccional de la Sala, por venir atribuida la competencia jurisdiccional para dilucidar la responsabilidad patrimonial de la Administración de manera exclusiva y excluyente a los órganos jurisdiccionales del orden contencioso-administrativo (arts 9.4 LOPJ; 2.e de la Ley de la jurisdicción contencioso- administrativa; y 139 y siguientes de la Ley de régimen jurídico de las Administraciones públicas y del procedimiento administrativo común). Además aduce que el Auto impugnado incurre en irrazonabilidad en la fijación del quantum indemnizatorio, considerando y valorando aspectos </w:t>
      </w:r>
      <w:r>
        <w:lastRenderedPageBreak/>
        <w:t>que afectan a la actora que no guardan relación con el contenido del fallo ejecutado, lo cual afecta a la inmutabilidad e intangibilidad de las resoluciones judiciales firmes. Por último denuncia la vulneración de su derecho a un proceso con todas las garantías en su dimensión de derecho a un Juez imparcial (art. 24.2 CE), por cuanto se la hace responsable de daños y perjuicios sufridos como consecuencia de la dilación en la resolución de un litigio provocada por el ambiente de grave enfrentamiento existente entre los órganos judiciales de ambas instancias, por lo cual no puede afirmarse que se cumplan en este caso las exigencias de imparcialidad del órgano juzgador.</w:t>
      </w:r>
    </w:p>
    <w:p w:rsidR="0052098F" w:rsidRDefault="0052098F" w:rsidP="0052098F">
      <w:pPr>
        <w:pStyle w:val="TextoNormal"/>
      </w:pPr>
      <w:r>
        <w:t>Frente a las quejas aquí formuladas, la actora en el proceso civil, madre biológica de los menores sobre cuya guarda y custodia se debatía, entiende que la demanda de amparo debe inadmitirse por prematura, en cuanto no cumple con el requisito del agotamiento de la vía judicial previa exigido por el art. 44.1 a) LOTC para su admisión a trámite, dado que la demanda contra el Auto de 30 de diciembre de 2005 se presentó estando aún pendiente de resolución un recurso de aclaración y rectificación, en el cual recayó un posterior Auto, de 14 de marzo de 2006, de la misma Sala; por otra parte se pone asimismo de relieve que la Administración recurrente no promovió contra la resolución impugnada el incidente de nulidad de actuaciones (art. 241 LOPJ) que habría sido preceptivo en el caso. Entiende, además, que debe desestimarse la demanda en cuanto al fondo por inexistencia de las vulneraciones constitucionales denunciadas, ya que la resolución impugnada, y la posterior que la aclara y rectifica, satisfacen plenamente las exigencias del derecho a la tutela judicial efectiva, por cuanto se trata de respuestas motivadas y fundadas en Derecho, en las que no cabe apreciar arbitrariedad, manifiesta irrazonabilidad o error patente, de manera que la queja que expresa la Administración no es sino la manifestación de su discrepancia acerca del modo en que se han interpretado los preceptos aplicados en relación con la determinación del quantum indemnizatorio en las resoluciones impugnadas, cuantía que aparece justificada y razonada ampliamente en consideración a los graves daños sufridos por la compareciente.</w:t>
      </w:r>
    </w:p>
    <w:p w:rsidR="0052098F" w:rsidRDefault="0052098F" w:rsidP="0052098F">
      <w:pPr>
        <w:pStyle w:val="TextoNormal"/>
      </w:pPr>
      <w:r>
        <w:t>Comparte esta última apreciación el Ministerio público, para quien no puede calificarse como irracional o irrazonable la motivación que sustenta la resolución impugnada en lo relativo a los criterios de determinación de la indemnización, puesto que el art. 18.2 LOPJ se refiere de modo específico a la noción de indemnización como contenido necesario de la Sentencia o Auto sustitutorio, por lo cual la planteada en el presente recurso se trata de una cuestión de interpretación e integración de normas, sin que resulte arbitrario que el juzgador entienda que el sufrimiento moral, la pérdida de los hijos o los padecimientos físicos y psíquicos integren la indemnización, que se concede dentro del margen de discrecionalidad que la norma confiere al juzgador.  Considera además el Fiscal que la denuncia de vulneración del derecho al Juez imparcial (art.  24.2 CE) debe ser inadmitida por extemporánea, dado que adolece de falta de agotamiento de la vía judicial previa y de falta de invocación en dicha vía del derecho fundamental vulnerado [art. 44.1 a) y c) LOTC, respectivamente]. Asimismo advierte que la denuncia de falta de jurisdicción para efectuar el juicio de responsabilidad de la Administración no fue objeto de alegación por la Administración recurrente en el trámite procesal en el que se dictó la resolución impugnada, por lo cual resulta también inadmisible. Por todo ello interesa la desestimación de la demanda de amparo.</w:t>
      </w:r>
    </w:p>
    <w:p w:rsidR="0052098F" w:rsidRDefault="0052098F" w:rsidP="0052098F">
      <w:pPr>
        <w:pStyle w:val="TextoNormal"/>
      </w:pPr>
      <w:r>
        <w:t xml:space="preserve">El Abogado del Estado solicita la estimación del amparo por considerar inmotivada, arbitraria e irrazonable la inaplicación en las resoluciones recurridas de los arts. 9.4 de la Ley Orgánica del Poder Judicial (LOPJ) y 2 e) de la Ley reguladora de la jurisdicción contencioso-administrativa (LJCA), dado que la suma indemnizatoria fijada no encuentra fundamento en el fallo que se ejecuta por equivalencia (art. 18.2 LOPJ), sino que se sustenta sobre </w:t>
      </w:r>
      <w:r>
        <w:lastRenderedPageBreak/>
        <w:t>un criterio de responsabilidad patrimonial por defectuoso funcionamiento de la Administración que no encuentra cobertura en el fallo ejecutado.</w:t>
      </w:r>
    </w:p>
    <w:p w:rsidR="0052098F" w:rsidRDefault="0052098F" w:rsidP="0052098F">
      <w:pPr>
        <w:pStyle w:val="TextoNormal"/>
      </w:pPr>
    </w:p>
    <w:p w:rsidR="0052098F" w:rsidRDefault="0052098F" w:rsidP="0052098F">
      <w:pPr>
        <w:pStyle w:val="TextoNormal"/>
      </w:pPr>
      <w:r w:rsidRPr="0052098F">
        <w:rPr>
          <w:rStyle w:val="NumeroAFNegritaCaracter"/>
        </w:rPr>
        <w:t>2</w:t>
      </w:r>
      <w:r>
        <w:t>. Delimitados de este modo los términos del debate por las partes intervinientes procede comenzar el examen de la demanda de amparo analizando la legitimación de la Administración pública demandante a efectos de interponer el recurso sometido a nuestro enjuiciamiento; pasar seguidamente, de ser el caso, a considerar los óbices de procedibilidad de la demanda aducidos por la representación de doña Carmen Fernández Fernández y por el Ministerio público; y abordar por último, si así procediera, el examen de fondo de las quejas formuladas.</w:t>
      </w:r>
    </w:p>
    <w:p w:rsidR="0052098F" w:rsidRDefault="0052098F" w:rsidP="0052098F">
      <w:pPr>
        <w:pStyle w:val="TextoNormal"/>
      </w:pPr>
    </w:p>
    <w:p w:rsidR="0052098F" w:rsidRDefault="0052098F" w:rsidP="0052098F">
      <w:pPr>
        <w:pStyle w:val="TextoNormal"/>
      </w:pPr>
      <w:r w:rsidRPr="0052098F">
        <w:rPr>
          <w:rStyle w:val="NumeroAFNegritaCaracter"/>
        </w:rPr>
        <w:t>3</w:t>
      </w:r>
      <w:r>
        <w:t>. De conformidad con el orden sistemático indicado hemos, ante todo, de verificar si la Junta de Andalucía puede demandar amparo ante la jurisdicción constitucional denunciando la vulneración de la tutela judicial efectiva (art. 24.1 CE); o, dicho de otro modo, si la Junta, como persona jurídico-pública, es titular del derecho fundamental a la tutela judicial efectiva invocado en su demanda.</w:t>
      </w:r>
    </w:p>
    <w:p w:rsidR="0052098F" w:rsidRDefault="0052098F" w:rsidP="0052098F">
      <w:pPr>
        <w:pStyle w:val="TextoNormal"/>
      </w:pPr>
      <w:r>
        <w:t>Esta cuestión encuentra adecuada respuesta en la doctrina establecida por la STC 175/2001, de 26 de julio. En dicha Sentencia hemos advertido que, aun cuando el derecho a la tutela judicial efectiva “protege, antes que nada, a los individuos frente al poder” y, por extensión, “ampara a otros sujetos privados que son creación y expresión de las libertades de los ciudadanos” (FJ 4), “en supuestos excepcionales una organización jurídico pública disfruta —ante los órganos judiciales del Estado— del derecho fundamental a la tutela judicial efectiva; y por lo tanto … excepcionalmente podemos considerar el recurso de amparo como cauce idóneo para que las personas públicas denuncien una defectuosa tutela de los Jueces y Tribunales” (FJ 5).</w:t>
      </w:r>
    </w:p>
    <w:p w:rsidR="0052098F" w:rsidRDefault="0052098F" w:rsidP="0052098F">
      <w:pPr>
        <w:pStyle w:val="TextoNormal"/>
      </w:pPr>
      <w:r>
        <w:t>Al especificar los supuestos excepcionales en los que debe reconocerse a los entes públicos la titularidad del derecho a la tutela judicial efectiva, y por tanto su legitimación para recurrir en amparo ante su vulneración, hemos hecho referencia en la misma citada STC 175/2001 (FJ 8) a:</w:t>
      </w:r>
    </w:p>
    <w:p w:rsidR="0052098F" w:rsidRDefault="0052098F" w:rsidP="0052098F">
      <w:pPr>
        <w:pStyle w:val="TextoNormal"/>
      </w:pPr>
      <w:r>
        <w:t xml:space="preserve">“aquellos litigios en los cuales la situación procesal de las personas públicas ‘es análoga a la de los particulares’. En este sentido, ya en la STC 19/1983, de 18 de marzo, FJ 2, declaramos que un sujeto público (la Diputación Foral de Navarra) estaba amparado por el art. 24.1 CE ‘en sus relaciones laborales’ y en un proceso en el orden social.  Siguiendo aquel precedente, en otras Sentencias hemos otorgado el amparo pedido frente a vulneraciones del art. 24.1 CE en procesos donde la situación jurídica de las personas públicas era equiparable a la de las personas privadas (entre otras, SSTC 120/1986, de 22 de octubre; 162/1990, de 22 de octubre; 117/1991, de 23 de mayo; 91/1991, de 25 de abril; 27/1992,de 9 de marzo; 168/1992, de 26 de octubre; 58/1993, de 15 de febrero; 96/1993, 22 de marzo; 278/1994, de 17 de octubre; 4/1995,de 10 de enero; 30/1995, de 6 de febrero; 189/1995, de 18 de diciembre; 124/1997, de 1 de julio; 68/1999 de 26 de abril; 179/1999, de 11 de octubre; 100/2000, de 10 de abril).  Se trataba de litigios donde las personas públicas no gozaban de privilegios o prerrogativas procesales y pedían justicia como cualquier particular. No es necesario detenerse ahora en el fundamento, en cada caso, de aquella situación procesal ordinaria, constituido bien por la existencia de una personificación jurídico privada para el cumplimiento de tareas públicas, bien por un mandato legal de sometimiento al Derecho privado y a los órdenes jurisdiccionales correspondientes, o bien por una decisión legal a favor del foro procesal ordinario, con independencia del Derecho material que en él había de aplicarse. Lo relevante ahora es destacar que en todos aquellos casos donde la posición procesal de los </w:t>
      </w:r>
      <w:r>
        <w:lastRenderedPageBreak/>
        <w:t>sujetos públicos es equivalente a la de las personas privadas el art. 24.1 CE también ampara a las personas públicas …</w:t>
      </w:r>
    </w:p>
    <w:p w:rsidR="0052098F" w:rsidRDefault="0052098F" w:rsidP="0052098F">
      <w:pPr>
        <w:pStyle w:val="TextoNormal"/>
      </w:pPr>
      <w:r>
        <w:t>También, como excepción, las personas públicas están amparadas por el derecho a no sufrir indefensión en el proceso (art. 24.1 CE). Así lo hemos entendido en relación con procesos donde una defectuosa contradicción entre las partes conducía a un vicio de incongruencia en la resolución del litigio (SSTC 150/1995, de 23 de octubre; y 82/1998, de 20 de abril). Y ello con independencia de qué derechos o competencias se hagan valer, quiénes sean las otras partes procesales y el orden jurisdiccional ante el que actúen. Tiene sentido destacar aquí que la prohibición de indefensión procesal a las personas públicas protege inmediatamente a éstas, pero mediatamente también a otros intereses: al interés objetivo en que el proceso sirva de forma idónea a la función jurisdiccional atribuida por la Constitución a Jueces y Tribunales (art. 117.1 CE). Y también al interés de las otras partes de que el proceso en el que actúan esté desprovisto de toda indefensión; de esta forma queda reforzada la confianza de las demás partes en la estabilidad de las resoluciones que pongan fin al proceso.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w:t>
      </w:r>
    </w:p>
    <w:p w:rsidR="0052098F" w:rsidRDefault="0052098F" w:rsidP="0052098F">
      <w:pPr>
        <w:pStyle w:val="TextoNormal"/>
      </w:pPr>
      <w:r>
        <w:t>A tenor de la doctrina reseñada no cabe apreciar obstáculo alguno al reconocimiento a la Administración autonómica recurrente, que se queja sustancialmente de la indefensión sufrida como parte en un procedimiento civil por la indebida ejecución de una Sentencia firme, de legitimación para la interposición del presente recurso de amparo.</w:t>
      </w:r>
    </w:p>
    <w:p w:rsidR="0052098F" w:rsidRDefault="0052098F" w:rsidP="0052098F">
      <w:pPr>
        <w:pStyle w:val="TextoNormal"/>
      </w:pPr>
    </w:p>
    <w:p w:rsidR="0052098F" w:rsidRDefault="0052098F" w:rsidP="0052098F">
      <w:pPr>
        <w:pStyle w:val="TextoNormal"/>
      </w:pPr>
      <w:r w:rsidRPr="0052098F">
        <w:rPr>
          <w:rStyle w:val="NumeroAFNegritaCaracter"/>
        </w:rPr>
        <w:t>4</w:t>
      </w:r>
      <w:r>
        <w:t>. Resuelta la cuestión relativa a la capacidad de la Administración recurrente para demandar en el presente caso el amparo constitucional, debemos abordar seguidamente el examen de las objeciones de procedibilidad de la demanda aducidas tanto por el Ministerio público como por la representación de la compareciente, doña Carmen Fernández Fernández.</w:t>
      </w:r>
    </w:p>
    <w:p w:rsidR="0052098F" w:rsidRDefault="0052098F" w:rsidP="0052098F">
      <w:pPr>
        <w:pStyle w:val="TextoNormal"/>
      </w:pPr>
      <w:r>
        <w:t xml:space="preserve">Hemos de compartir el criterio del Fiscal al considerar inadmisible la denuncia de la vulneración del derecho a un juicio con todas las garantías (art. 24.2 CE), en su vertiente de derecho a un juez imparcial, como consecuencia de las dudas de parcialidad del órgano judicial que ha dictado las resoluciones impugnadas (la Sección Sexta de la Audiencia Provincial de Sevilla) por el clima de enfrentamiento existente entre el citado órgano jurisdiccional y un Juez de familia (el de Primera Instancia núm. 7 de Sevilla) tanto en relación con el presente procedimiento como en otros anteriores (lo que se aduce se traduciría en una pérdida de imparcialidad objetiva). La queja debe ser inadmitida por no satisfacer los requisitos de procedibilidad que exige el art.  44 LOTC en relación con el agotamiento de la vía judicial previa y la invocación en el proceso judicial, pues, de una parte, no se interesó por la Administración recurrente la recusación de los Magistrados que integraban la Sala que había de resolver la apelación del incidente de ejecución, ni se invocó en momento oportuno la lesión del derecho fundamental que ahora se denuncia ex novo ante este Tribunal Constitucional, siendo así que la pretendida causa de falta de imparcialidad (la dilatada situación de enfrentamiento existente entre los órganos judiciales de ambas instancias) era pública y notoria con anterioridad a la resolución del incidente en cuestión (al respecto es de aplicación la doctrina establecida en la STC 306/2005, de 12 de diciembre, FJ 2, y en las allí citadas). No desmiente la conclusión alcanzada el argumento esgrimido por la Junta de Andalucía en su escrito de demanda para justificar la omisión de la recusación: que la predisposición de ánimo del órgano judicial, que excluye su imparcialidad, no lo sería con la parte </w:t>
      </w:r>
      <w:r>
        <w:lastRenderedPageBreak/>
        <w:t>ahora demandante, sino con respecto del Juez a quo, lo que impediría su encuadramiento en una causa legal de recusación. Este Tribunal ha reiterado que, respecto del derecho a la imparcialidad judicial, debe distinguirse entre una “imparcialidad subjetiva”, que garantiza que el Juez no ha mantenido relaciones indebidas con las partes, y una “imparcialidad objetiva”, referida al objeto del proceso, por la cual se asegura que el Juez o Tribunal no ha tenido un contacto previo con el thema decidendi y, por tanto, se acerca al objeto del mismo sin prevenciones en su ánimo (por todas, STC 38/2003, de 27 de febrero, FJ 3). Siendo esta última expresión de la imparcialidad (imparcialidad objetiva) la que suscita la denuncia deducida por la demandante de amparo, su apreciabilidad en el caso debió plantearse en el momento procesal oportuno (art. 223 LOPJ) dentro de la vía judicial ordinaria a fin de preservar, de este modo, el carácter subsidiario del recurso constitucional de amparo, para cuya operatividad efectiva resultan establecidos los requisitos de procedibilidad de la demanda especificados en el art. 44.1, a) y c), LOTC.</w:t>
      </w:r>
    </w:p>
    <w:p w:rsidR="0052098F" w:rsidRDefault="0052098F" w:rsidP="0052098F">
      <w:pPr>
        <w:pStyle w:val="TextoNormal"/>
      </w:pPr>
      <w:r>
        <w:t>Por el contrario no puede compartirse con el Ministerio público el criterio de inadmisibilidad “por falta de su invocación ante la jurisdicción ordinaria y la consiguiente extemporaneidad de su formulación en esta sede de amparo constitucional (art.  44 LOTC)”, de la queja que denuncia la irracionalidad de la motivación de las resoluciones de ejecución impugnadas al no ajustarse a Derecho por venir a deducir de facto la responsabilidad patrimonial de la Administración demandante como consecuencia de su defectuoso funcionamiento, materia reservada en exclusiva al conocimiento a los órganos del orden jurisdiccional contencioso-administrativo, pues cabe advertir que, al tratarse la anomalía denunciada de un vicio in iudicando imputado al contenido de las resoluciones impugnadas con las que pone término al procedimiento de ejecución, la lesión denunciada aflora con el dictado de las resoluciones frente a la que se alza el amparo, sin que se señale por parte del Fiscal ni se aprecie en el presente caso la existencia de una vía de recurso o de un remedio procesal idóneos para corregir dentro del propio cauce procesal el vicio aducido.</w:t>
      </w:r>
    </w:p>
    <w:p w:rsidR="0052098F" w:rsidRDefault="0052098F" w:rsidP="0052098F">
      <w:pPr>
        <w:pStyle w:val="TextoNormal"/>
      </w:pPr>
      <w:r>
        <w:t>La representación de la compareciente en el procedimiento de amparo, doña Carmen Fernández Fernández, mantiene que la demanda de amparo debe ser rechazada al considerarla prematura por falta de previo agotamiento de la vía judicial exigido por el art.  44.1 a) LOTC, de un lado porque fue presentada encontrándose pendiente de resolución en ese momento un recurso de aclaración y rectificación (art. 215 de la Ley de enjuiciamiento civil: LEC) del Auto de 30 de diciembre de 2005 (la resolución recurrida ante la jurisdicción constitucional), en el que recayó posterior Auto, de 14 de marzo de 2006, de la misma Sala; de otro lado porque la Administración recurrente no promovió contra la resolución impugnada incidente de nulidad de actuaciones (art. 241 LOPJ), preceptivo para poder tener por satisfecho el requisito del previo agotamiento de la vía judicial.</w:t>
      </w:r>
    </w:p>
    <w:p w:rsidR="0052098F" w:rsidRDefault="0052098F" w:rsidP="0052098F">
      <w:pPr>
        <w:pStyle w:val="TextoNormal"/>
      </w:pPr>
      <w:r>
        <w:t xml:space="preserve">Ambas objeciones de procedibilidad de la demanda de amparo por falta de agotamiento deben ser rechazadas. Por lo que se refiere al aducido carácter prematuro de la presentación de la demanda de amparo al hallarse pendiente de resolución el recurso de aclaración y rectificación del Auto impugnado de 30 de diciembre de 2005, es de aplicación en el presente caso el criterio afirmado en la STC 304/1993, de 25 de octubre, en la que se abordaba un supuesto semejante al que ahora nos ocupa (con el añadido de que la solicitud de aclaración fue instada por los propios demandantes de amparo), en la cual afirmamos que: “el recurso de aclaración interpuesto en paralelo con el presente recurso, cuya existencia por cierto fue puesta en conocimiento de este Tribunal por los demandantes de amparo mediante un escrito posterior a la demanda, no hace inviable a la solicitud de amparo, pues lo cierto es que el recurso fue resuelto más tarde y la parte demandante de amparo presentó un nuevo </w:t>
      </w:r>
      <w:r>
        <w:lastRenderedPageBreak/>
        <w:t>escrito poniendo en conocimiento del Tribunal el Auto de aclaración dictado al efecto, escrito en el que daba por reproducidas las anteriores alegaciones del escrito de demanda. El amparo no puede, por ello, conceptuarse como prematuro o contrario al principio de subsidiariedad” (FJ 5).</w:t>
      </w:r>
    </w:p>
    <w:p w:rsidR="0052098F" w:rsidRDefault="0052098F" w:rsidP="0052098F">
      <w:pPr>
        <w:pStyle w:val="TextoNormal"/>
      </w:pPr>
      <w:r>
        <w:t>De modo similar a lo allí acontecido, en el caso que nos ocupa consta en las actuaciones que al tiempo de la presentación de la demanda, el 6 de febrero de 2006, no se había dado traslado a la Administración autonómica de la solicitud de aclaración y rectificación interesadas de contrario (art. 215 LEC), y que tras el dictado del Auto de 14 de marzo de 2006, por el que se aclaró y rectificó el Auto anterior, al apreciar simple omisión y error material en la resolución aclarada, la Administración demandante de amparo se dirigió a este Tribunal mediante escrito registrado el 19 de abril de 2006, en el que daba cuenta de la nueva resolución recaída al tiempo que manifestaba que la misma, por su naturaleza y contenido, no alteraba el contenido material de la resolución firme aclarada a la que se imputaban las lesiones constitucionales denunciadas en la demanda de amparo, por lo que no se veía afectado el contenido ni la viabilidad del recurso de amparo, no obstante lo cual la recurrente en el citado escrito dedujo de nuevo subsidiariamente demanda de amparo con remisión a los mismos fundamentos contenidos en su inicial escrito de demanda registrado el 6 de febrero de 2006, dando íntegramente por reproducidas todas las alegaciones formuladas en su día debido a la persistencia de las vulneraciones constitucionales denunciadas. En las circunstancias reseñadas no puede considerarse prematura o contraria al principio de subsidiariedad la petición de amparo, conforme sostuvimos en la Sentencia antes recordada.</w:t>
      </w:r>
    </w:p>
    <w:p w:rsidR="0052098F" w:rsidRDefault="0052098F" w:rsidP="0052098F">
      <w:pPr>
        <w:pStyle w:val="TextoNormal"/>
      </w:pPr>
      <w:r>
        <w:t>Tampoco puede prosperar la objeción de falta de agotamiento de la vía judicial [art. 44.1 a) LOTC] por no haber hecho uso la Administración demandante, antes de formalizar su demanda de amparo, del incidente de nulidad de actuaciones (art. 241 LOPJ) frente a la resolución impugnada, pues los motivos de la denuncia de vulneración del derecho a la tutela judicial efectiva sin indefensión (art. 24.1 CE), relativos a la irrazonabilidad de la motivación de las resoluciones impugnadas y a su inadecuación al contenido del fallo ejecutado, no se encuentran entre los que permiten el acceso a dicho remedio procesal (defecto formal causante de indefensión o incongruencia del fallo).</w:t>
      </w:r>
    </w:p>
    <w:p w:rsidR="0052098F" w:rsidRDefault="0052098F" w:rsidP="0052098F">
      <w:pPr>
        <w:pStyle w:val="TextoNormal"/>
      </w:pPr>
    </w:p>
    <w:p w:rsidR="0052098F" w:rsidRDefault="0052098F" w:rsidP="0052098F">
      <w:pPr>
        <w:pStyle w:val="TextoNormal"/>
      </w:pPr>
      <w:r w:rsidRPr="0052098F">
        <w:rPr>
          <w:rStyle w:val="NumeroAFNegritaCaracter"/>
        </w:rPr>
        <w:t>5</w:t>
      </w:r>
      <w:r>
        <w:t>. Despejados los obstáculos procesales aducidos procede entrar a enjuiciar el fondo de la denuncia de la vulneración del derecho a la tutela judicial efectiva sin indefensión (art. 24.1 CE) como consecuencia de la irrazonabilidad de la motivación de las resoluciones impugnadas.</w:t>
      </w:r>
    </w:p>
    <w:p w:rsidR="0052098F" w:rsidRDefault="0052098F" w:rsidP="0052098F">
      <w:pPr>
        <w:pStyle w:val="TextoNormal"/>
      </w:pPr>
      <w:r>
        <w:t xml:space="preserve">En síntesis, de lo que la Administración autonómica demandante en amparo se queja es de que en estas resoluciones se ejecuta cosa distinta de la ejecución por sustitución o por equivalente (art. 18.2 LOPJ) del aspecto inejecutable del fallo (relativo a la reintegración de los menores a la convivencia con su madre biológica), ordenada por la Sentencia firme objeto de ejecución (la Sentencia de 26 de diciembre de 2002), ya que, por el enfoque y conceptos indemnizatorios considerados en aquéllas (enfermedades y padecimientos físicos y psíquicos sufridos a los largo de diez años), lo que la Audiencia está determinando en realidad es la responsabilidad patrimonial de la Administración autonómica por los daños y perjuicios causados a la demandante del procedimiento civil como consecuencia de la indebida separación de sus hijos por el defectuoso funcionamiento de la Administración (también el de la Administración de Justicia), concepto éste que no se corresponde con el contenido dispositivo del fallo ejecutado y cuyo enjuiciamiento supone (en opinión de la recurrente en amparo) una extralimitación de la competencia jurisdiccional de la Sala, por estar atribuida </w:t>
      </w:r>
      <w:r>
        <w:lastRenderedPageBreak/>
        <w:t>dicha materia de modo exclusivo y excluyente a los órganos jurisdiccionales del orden contencioso-administrativo [arts 9.4 LOPJ; 2 e) de la Ley de la jurisdicción contencioso- administrativa; y 139 y siguientes de la Ley de régimen jurídico de las Administraciones públicas y del procedimiento administrativo común]. Al propio tiempo se advierte que las resoluciones impugnadas eluden la circunstancia de que el fallo había devenido parcialmente ejecutado, al haber decidido voluntariamente la menor S. volver a convivir con su madre biológica.</w:t>
      </w:r>
    </w:p>
    <w:p w:rsidR="0052098F" w:rsidRDefault="0052098F" w:rsidP="0052098F">
      <w:pPr>
        <w:pStyle w:val="TextoNormal"/>
      </w:pPr>
      <w:r>
        <w:t>Por el contrario tanto el Ministerio público, en su informe, como la demandante en el proceso civil, en su escrito de alegaciones, rechazan que los razonamientos empleados y la solución alcanzada en las resoluciones frente a las que se demanda amparo puedan calificarse de arbitrarios, de manifiestamente irrazonables o de carentes de apoyo jurídico, independientemente del grado de adhesión que puedan suscitar, concluyendo que la queja no es sino expresión de la mera discrepancia de la Administración recurrente con los criterios de legalidad empleados por aquellas resoluciones para la determinación de la suma indemnizatoria sustitutoria del pronunciamiento inejecutable, lo que carece de relevancia constitucional.</w:t>
      </w:r>
    </w:p>
    <w:p w:rsidR="0052098F" w:rsidRDefault="0052098F" w:rsidP="0052098F">
      <w:pPr>
        <w:pStyle w:val="TextoNormal"/>
      </w:pPr>
      <w:r>
        <w:t>En suma, la cuestión que se nos plantea es la consideración del adecuado ajuste o, por el contrario, la desviación de las resoluciones impugnadas, dictadas en fase de ejecución, respecto de los términos del fallo de la Sentencia firme para cuya ejecución por equivalencia se pronuncian, cuestión que en el plano constitucional del derecho fundamental a la tutela judicial efectiva sin indefensión proclamado en el art. 24. 1 CE se proyecta sobre uno de sus contenidos típicos, el derecho a la ejecución en sus propios términos de las resoluciones judiciales firmes, al que debe reconducirse en el presente caso la aducida lesión del derecho fundamental en su vertiente de derecho a la intangibilidad e inmodificabilidad de aquéllas, puesto que, aun siendo evidente la conexión entre ambas facetas del derecho fundamental invocado, por cuanto la intangibilidad, inmodificabilidad o invariabilidad de las resoluciones judiciales firmes constituye presupuesto lógico del derecho a la ejecución de las Sentencias firmes en sus propios términos (STC 209/2005, de 18 de julio, FJ 2, y las allí citadas), en el caso enjuiciado los Autos impugnados en amparo se dictaron en la fase de ejecución de la Sentencia, cuestionándose ahora su respecto y acomodación al sentido del fallo ejecutado, por lo que nuestra reflexión ha de discurrir por el cauce propio del derecho a la ejecución.</w:t>
      </w:r>
    </w:p>
    <w:p w:rsidR="0052098F" w:rsidRDefault="0052098F" w:rsidP="0052098F">
      <w:pPr>
        <w:pStyle w:val="TextoNormal"/>
      </w:pPr>
    </w:p>
    <w:p w:rsidR="0052098F" w:rsidRDefault="0052098F" w:rsidP="0052098F">
      <w:pPr>
        <w:pStyle w:val="TextoNormal"/>
      </w:pPr>
      <w:r w:rsidRPr="0052098F">
        <w:rPr>
          <w:rStyle w:val="NumeroAFNegritaCaracter"/>
        </w:rPr>
        <w:t>6</w:t>
      </w:r>
      <w:r>
        <w:t>. Precisado de este modo el alcance de la queja de la Administración autonómica recurrente resulta insoslayable traer a colación la consolidada doctrina establecida por este Tribunal en relación con el derecho a la ejecución de las resoluciones judiciales firmes en sus propios términos, como contenido del derecho a la tutela judicial efectiva sin indefensión (art. 24.1 CE), puesto que hemos de orientar nuestro enjuiciamiento conforme a ella.</w:t>
      </w:r>
    </w:p>
    <w:p w:rsidR="0052098F" w:rsidRDefault="0052098F" w:rsidP="0052098F">
      <w:pPr>
        <w:pStyle w:val="TextoNormal"/>
      </w:pPr>
      <w:r>
        <w:t xml:space="preserve">Hemos declarado reiteradamente que el derecho a la ejecución de las resoluciones judiciales forma parte del derecho a la tutela judicial efectiva, ya que, en caso contrario, las decisiones judiciales y los derechos que en ellas se reconocen no serían más que meras declaraciones de intenciones, sin alcance práctico ni efectividad alguna, y por tanto no estaría garantizada la efectividad de la tutela judicial. Ahora bien, el alcance del control a efectuar por parte de este Tribunal del cumplimiento de la potestad jurisdiccional de hacer ejecutar lo juzgado (art. 117.3 CE) no es ilimitado, pues también hemos advertido que a los órganos judiciales corresponde, en el ejercicio de la función jurisdiccional que constitucionalmente les resulta conferida, la interpretación de los términos del fallo y la del alcance que quepa atribuir a la cosa juzgada, así como la decisión de si aquél ha sido ejecutado o no </w:t>
      </w:r>
      <w:r>
        <w:lastRenderedPageBreak/>
        <w:t>correctamente y la adopción de las medidas oportunas para asegurar (cuando así resulte procedente) su ejecución, apreciaciones todas ellas que únicamente resultan revisables en sede constitucional cuando han incurrido en incongruencia, arbitrariedad, carecen de razonabilidad o evidencian la dejación por parte del órgano judicial de su obligación de hacer ejecutar lo juzgado. Así pues el control que este Tribunal puede realizar sobre el modo en que los Jueces y Tribunales ejercen esta potestad se limita a comprobar si las correspondientes decisiones adoptadas por ellos al efecto se toman o no de forma razonablemente coherente con el contenido de la resolución que se ejecuta, y sólo cuando sean incongruentes, arbitrarias, irrazonables o incurran en error patente resultarán lesivas del derecho declarado en el art. 24.1 CE.</w:t>
      </w:r>
    </w:p>
    <w:p w:rsidR="0052098F" w:rsidRDefault="0052098F" w:rsidP="0052098F">
      <w:pPr>
        <w:pStyle w:val="TextoNormal"/>
      </w:pPr>
      <w:r>
        <w:t>Por tanto en el recurso de amparo no puede debatirse de nuevo el contenido de la Sentencia que se ejecuta, ni la interpretación y consecuencia de su fallo (tarea ésta de exclusiva competencia de los órganos jurisdiccionales). Nuestro control es sólo de tipo negativo, y se ciñe al examen de la razonabilidad de la interpretación que los titulares de la potestad de ejecución realicen del fallo en el marco de la legalidad ordinaria. Lo que nos corresponde es garantizar que, en aras precisamente de la efectividad del derecho a la tutela judicial efectiva, los Jueces y Tribunales no lleven a cabo interpretaciones de los fallos que, por alterarlos o apartarse de ellos, incurran en arbitrariedad, incongruencia, irrazonabilidad o error (SSTC 116/2003, de 16 de junio, FJ 3;140/2003, de 14 de julio, FJ 6; 223/2004, de 29 de noviembre, FJ 6; STC 96/2005, de 18 de abril, FJ 5, entre otras). El marco en el que debe operar el canon constitucional de control del ajuste de la actividad jurisdiccional de ejecución al fallo se integra pues, por el propio fallo (interpretado de acuerdo con la fundamentación y con el resto de los extremos del pleito) y por lo posteriormente resuelto para ejecutarlo.Y lo que hemos de verificar es si hubo o no un apartamiento irrazonable, arbitrario o erróneo en relación con el significado y con el alcance de los pronunciamientos de la parte dispositiva de la resolución que se ejecuta (SSTC 116/2003, de 16 de junio, FJ 3; 83/2001, de 26 de marzo, FJ 4; y 146/2002, de 15 de julio, FJ 3; entre otras).</w:t>
      </w:r>
    </w:p>
    <w:p w:rsidR="0052098F" w:rsidRDefault="0052098F" w:rsidP="0052098F">
      <w:pPr>
        <w:pStyle w:val="TextoNormal"/>
      </w:pPr>
      <w:r>
        <w:t>Ahora bien, el ejercicio de nuestro control sobre si las resoluciones de ejecución se han apartado o no del fallo de cuya ejecución se trata no debe limitarse de forma literal o restrictiva al texto del mismo. En este sentido hemos señalado que,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en ésta contenidos.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 (STC 240/1998, de 15 de diciembre, FJ 3, posteriormente reproducida por las SSTC 83/2001, de 26 de marzo, FJ 4, y 121/2007, de 21 de mayo, FJ 1, entre otras).</w:t>
      </w:r>
    </w:p>
    <w:p w:rsidR="0052098F" w:rsidRDefault="0052098F" w:rsidP="0052098F">
      <w:pPr>
        <w:pStyle w:val="TextoNormal"/>
      </w:pPr>
    </w:p>
    <w:p w:rsidR="0052098F" w:rsidRDefault="0052098F" w:rsidP="0052098F">
      <w:pPr>
        <w:pStyle w:val="TextoNormal"/>
      </w:pPr>
      <w:r w:rsidRPr="0052098F">
        <w:rPr>
          <w:rStyle w:val="NumeroAFNegritaCaracter"/>
        </w:rPr>
        <w:t>7</w:t>
      </w:r>
      <w:r>
        <w:t>. La aplicación de la doctrina reseñada al caso examinado hace necesario perfilar el sentido del fallo de la Sentencia dictada, el 26 de diciembre de 2002, por la Audiencia Provincial, a efectos de poder comprobar posteriormente la adecuación a él de lo acordado para su ejecución, que constituye el objeto de la queja formulada.</w:t>
      </w:r>
    </w:p>
    <w:p w:rsidR="0052098F" w:rsidRDefault="0052098F" w:rsidP="0052098F">
      <w:pPr>
        <w:pStyle w:val="TextoNormal"/>
      </w:pPr>
      <w:r>
        <w:lastRenderedPageBreak/>
        <w:t>En primer lugar cabe reparar en la singularidad que, por muy diversos conceptos, presenta el procedimiento del cual trae causa el presente de amparo, sobre el que este Tribunal, y más precisamente esta misma Sala Segunda, ha tenido ocasión de pronunciarse en su STC 124/2002, de 20 de mayo, en relación con anteriores quejas, que ahora se formulan respecto de la ejecución en sus propios términos de un concreto pronunciamiento del fallo examinado (ciertamente singular), por el que se declaró la imposibilidad de ejecución de la entrega de unos menores a la guarda y custodia de su madre biológica, actora en el procedimiento sobre oposición a las declaraciones de desamparo y acogimiento de aquéllos, y se ordenó la determinación de la indemnización sustitutoria acordada en razón de la señalada imposibilidad de la ejecución, de conformidad con lo dispuesto en el art. 18.2 de la Ley Orgánica del Poder Judicial (LOPJ). Aquella singularidad se plasma ahora en un pronunciamiento (no puede dejar de advertirse en el examen que realizamos del mismo) ciertamente complejo en su formulación. En efecto, siendo el interés prevalente del menor (necesariamente valorado en el momento en el cual se adopta la correspondiente decisión judicial) el criterio rector que debe orientar la decisión sobre su régimen de guarda y custodia (arts. 2, 11.2 de la Ley Orgánica 1/1996, de 15 de enero, de protección jurídica del menor; arts. 172.4, 173.3 y 4, y 173 bis del Código civil: CC; SSTC 143/1990, de 26 de septiembre, 298/1993, de 18 de octubre, 187/1996, de 25 de noviembre, 114/1997, de 16 de junio, y 141/2000, de 29 de mayo, entre otras muchas), es “imposible desconocer lo que resulta evidente, y es que los derechos en juego en este tipo de procesos de los que sean titulares los menores han de considerarse inescindibles de los de los recurrentes, por la elemental razón de que constituyen su razón de ser sustantiva, hasta el punto de que carecerían de sentido recursos como el aquí planteado si se fundasen en un interés exclusivo de quienes los interponen (padres naturales, adoptivos, acogedores, guardadores de hecho, etc.): en estos casos, su interés no resulta diferenciable del que ellos estiman interés de los menores por cuya guarda y custodia litigan” (STC 71/2004, de 19 de abril, FJ 2). Por ello resulta singular o complejo un fallo que, resolviendo sobre la situación de convivencia de los menores, acuerda la reintegración de éstos a la guarda y custodia de la actora (la madre biológica) y, sin solución de continuidad, atendiendo precisamente al propio interés de los menores, declara  la imposibilidad de la ejecución de lo acordado como consecuencia del tiempo transcurrido desde que fueron separados de su madre.</w:t>
      </w:r>
    </w:p>
    <w:p w:rsidR="0052098F" w:rsidRDefault="0052098F" w:rsidP="0052098F">
      <w:pPr>
        <w:pStyle w:val="TextoNormal"/>
      </w:pPr>
      <w:r>
        <w:t xml:space="preserve">La declaración de imposibilidad de ejecución de la devolución de los menores a su madre (que no es cuestionada en este proceso) conduce a la Sala sentenciadora a ordenar la determinación de la indemnización sustitutoria que ha de corresponder a la entonces recurrente por aplicación de lo previsto en el art. 18.2 LOPJ, es decir, la traducción a su expresión pecuniaria del contenido del acuerdo inejecutable, situando la cuestión en un plano sustancialmente patrimonial, que es en el que se inserta la queja formulada en relación con la ejecución del fallo. La peculiaridad del objeto de ejecución en el presente caso y la inexistencia (según se ha señalado) de un derecho subjetivo a la entrega de la guarda y custodia de los menores desligado o independiente de la consideración del interés prevalente del menor, ponderado en el momento en el que se decide sobre su situación de convivencia, hacen que la determinación del contenido indemnizatorio presente, en este caso, una gran complejidad, al no existir una prescripción legal expresa al respecto, correspondiendo al juzgador precisar, mediante el empleo de los pertinentes instrumentos hermenéuticos y de integración de normas, los conceptos y criterios compensatorios que permitan establecer el quantum indemnizatorio de la ejecución sustitutoria a la que se orientan efectivamente las resoluciones de ejecución impugnadas, es decir, la determinación del valor que entraña la </w:t>
      </w:r>
      <w:r>
        <w:lastRenderedPageBreak/>
        <w:t>imposibilidad de devolución (pérdida) de los hijos menores a su madre biológica. El resultado interpretativo al que se llegue en el ejercicio de esa función propiamente jurisdiccional de interpretación y aplicación de la legalidad podrá o no compartirse en todo o en parte, o considerarse acertada o desacertada la ponderación realizada, pero desde el ángulo de enjuiciamiento que nos es propio (el de su constitucionalidad) nuestro control sobre la motivación de las resoluciones impugnadas debe limitarse a comprobar si por su arbitrariedad, manifiesta irrazonabilidad o ser resultado de un patente error de hecho, las resoluciones impugnadas vulneran el derecho fundamental invocado por encubrir únicamente una apariencia de tutela judicial.</w:t>
      </w:r>
    </w:p>
    <w:p w:rsidR="0052098F" w:rsidRDefault="0052098F" w:rsidP="0052098F">
      <w:pPr>
        <w:pStyle w:val="TextoNormal"/>
      </w:pPr>
    </w:p>
    <w:p w:rsidR="0052098F" w:rsidRDefault="0052098F" w:rsidP="0052098F">
      <w:pPr>
        <w:pStyle w:val="TextoNormal"/>
      </w:pPr>
      <w:r w:rsidRPr="0052098F">
        <w:rPr>
          <w:rStyle w:val="NumeroAFNegritaCaracter"/>
        </w:rPr>
        <w:t>8</w:t>
      </w:r>
      <w:r>
        <w:t>. En este contexto ha de inscribirse y recibir respuesta la queja que denuncia la irracionalidad de la motivación de las resoluciones impugnadas por no ajustarse a Derecho al estimar sustancialmente la pretensión indemnizatoria de la actora-apelante considerando conceptos y criterios indemnizatorios que vendrían, en realidad, a precisar en el caso enjuiciado la deuda de responsabilidad de la Administración que en su caso ésta hubiera contraido por su defectuoso funcionamiento, para lo que resulta legalmente incompetente la jurisdicción civil por corresponder su exclusivo conocimiento a los órganos jurisdiccionales del orden contencioso-administrativo. A este respecto cabe advertir, de un lado, que no puede ponerse en cuestión en el caso que nos ocupa la competencia de la jurisdicción civil para ejecutar sus propios pronunciamientos, dictados en un procedimiento civil (como lo es el presente de desamparo y acogimiento de menores: art. 172.6 del Código civil y arts. 753 y 779 y ss. de la Ley de enjuiciamiento civil) en el que la Administración recurrente era parte demandada, sometida a las resoluciones dictadas por los Jueces y Tribunales del orden civil; y, de otro lado, que la determinación del contenido indemnizable en cada caso, es decir, la valoración y ponderación de cuáles sean los conceptos que haya de comprender la indemnización sustitutoria por inejecutabilidad del fallo pronunciado por el Tribunal civil, en un caso, o el contenido indemnizatorio que lleve aparejada la declaración de responsabilidad patrimonial de la Administración por su defectuoso funcionamiento, si hubieran sido deducidas una y otra pretensión a través de los oportunos cauces procesales (como parece haber ocurrido en el supuesto examinado), de otro, es materia que compete discernir autónomamente en los correspondientes órdenes jurisdiccionales, en los cuales la Administración ejecutada y demandada contemporáneamente en concepto de responsable por un defectuoso funcionamiento de sus servicios puede, cuando así proceda, oponer en el procedimiento oportuno la efectiva compensación del daño que pudiera reclamársele por ambas pretensiones indemnizatorias independientes, disipándose de este modo el riesgo de duplicidad compensatoria.</w:t>
      </w:r>
    </w:p>
    <w:p w:rsidR="0052098F" w:rsidRDefault="0052098F" w:rsidP="0052098F">
      <w:pPr>
        <w:pStyle w:val="TextoNormal"/>
      </w:pPr>
    </w:p>
    <w:p w:rsidR="0052098F" w:rsidRDefault="0052098F" w:rsidP="0052098F">
      <w:pPr>
        <w:pStyle w:val="TextoNormal"/>
      </w:pPr>
      <w:r w:rsidRPr="0052098F">
        <w:rPr>
          <w:rStyle w:val="NumeroAFNegritaCaracter"/>
        </w:rPr>
        <w:t>9</w:t>
      </w:r>
      <w:r>
        <w:t>. Rechazada, por las razones expuestas, la existencia del denunciado vicio de irracionalidad de las resoluciones impugnadas, debemos afirmar seguidamente la intranscendencia, a los efectos del enjuiciamiento que nos corresponde efectuar, de un hipotético error con relevancia constitucional, ya que no fue aducido por la Administración recurrente en su escrito de demanda, instrumento que conforme a nuestra conocida doctrina (por todas, SSTC 250/2000, de 30 de octubre, FJ 1, y 57/2003, de 24 de marzo, FJ 3) delimita el contenido del recurso de amparo, contenido que no puede ser ampliado en escritos o en momentos procesales ulteriores.</w:t>
      </w:r>
    </w:p>
    <w:p w:rsidR="0052098F" w:rsidRDefault="0052098F" w:rsidP="0052098F">
      <w:pPr>
        <w:pStyle w:val="TextoNormal"/>
      </w:pPr>
      <w:r>
        <w:t>Por ello la cuestión a afrontar ahora es la que plantea la denuncia del carácter manifiestamente irrazonable de la motivación de las resoluciones impugnadas y del resultado al que conducen.</w:t>
      </w:r>
    </w:p>
    <w:p w:rsidR="0052098F" w:rsidRDefault="0052098F" w:rsidP="0052098F">
      <w:pPr>
        <w:pStyle w:val="TextoNormal"/>
      </w:pPr>
      <w:r>
        <w:lastRenderedPageBreak/>
        <w:t>Al respecto cabe recordar que este Tribunal Constitucional ha declarado reiteradamente que no pueden considerarse razonadas ni motivadas 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164/2002, de 17 de septiembre, FJ 4; 214/1999, de 29 de noviembre, FJ 4; 228/2005, de 12 de septiembre, FJ 3; 59/2006, de 27 de febrero, FJ 3; 109/2006, de 3 de abril, FJ 5; y 215/2006, de 3 de julio, FJ 3, entre otras).</w:t>
      </w:r>
    </w:p>
    <w:p w:rsidR="0052098F" w:rsidRDefault="0052098F" w:rsidP="0052098F">
      <w:pPr>
        <w:pStyle w:val="TextoNormal"/>
      </w:pPr>
      <w:r>
        <w:t>En las resoluciones ahora impugnadas no se observa (conforme advierte el Fiscal) aquella quiebra lógica e incoherencia que determina, a efectos exclusivos del control de constitucionalidad, la irrazonabilidad manifiesta de la motivación, dado que la Sala sentenciadora adopta unos criterios indemnizatorios que, independientemente de su grado de acierto, toman el daño (físico y moral) causado a la actora por la separación de sus hijos como premisa de la determinación de la indemnización sustitutoria de la ejecución que le reconoce el fallo ejecutado; daño que viene a consolidar y a actualizar el pronunciamiento firme que declara la imposibilidad de reintegración de los menores a la convivencia con su madre, haciendo definitiva la situación de separación de los menores. Ello se desprende claramente del fundamento jurídico quinto del Auto impugnado, de 30 de diciembre de 2005, en el que la Sala indica expresamente los dos criterios que ha seguido para fijar el quantum indemnizatorio: “el de la enfermedad padecida por la solicitante a causa del sufrimiento, y el de la pérdida de los hijos, y este segundo criterio a su vez ha de tener en cuenta, por una parte, el tiempo que ha estado apartada de los mismos, que se puede hacer equivalente a una privación de libertad indebida a los solos efectos indemnizatorios, claro está; por otra, el específico sufrimiento como consecuencia de la razonable expectativa que tenía de recuperación de los mismos como consecuencia de las sucesivas resoluciones a su favor; y finalmente la definitiva pérdida de toda esperanza y expectativa cuando recae nuestra resolución del año 2002 en la que se acuerda la inejecutividad”. Por la razón apuntada no puede considerarse irracional o manifiestamente irrazonable, en el grado en que ha de desarrollarse el escrutinio constitucional que nos es propio, el proceder del órgano judicial que pondera los daños ocasionados por una separación que se transforma, finalmente, en pérdida de la expectativa de reintegración de los menores a la situación de convivencia con la actora, su madre biológica.</w:t>
      </w:r>
    </w:p>
    <w:p w:rsidR="0052098F" w:rsidRDefault="0052098F" w:rsidP="0052098F">
      <w:pPr>
        <w:pStyle w:val="TextoNormal"/>
      </w:pPr>
      <w:r>
        <w:t>Por lo demás cabe observar que, contrariamente a lo denunciado por la Administración recurrente como fundamento de su pretensión, no puede afirmarse que en el Auto impugnado, de 30 de diciembre de 2005, la Audiencia desconozca en absoluto o considere irrelevante el hecho de la ejecución parcial sobrevenida del pronunciamiento declarado inejecutable, al haberse reintegrado voluntariamente la hija menor a la convivencia con su madre biológica, pues tal circunstancia es considerada expresamente por el Tribunal para reducir a la mitad el quantum indemnizatorio inicialmente estimado en concepto de pérdida definitiva de la expectativa de recuperación de los menores por la declaración de inejecutabilidad del fallo.</w:t>
      </w:r>
    </w:p>
    <w:p w:rsidR="0052098F" w:rsidRDefault="0052098F" w:rsidP="0052098F">
      <w:pPr>
        <w:pStyle w:val="TextoNormal"/>
      </w:pPr>
      <w:r>
        <w:t>En suma, hemos de concluir que la queja ahora examinada no alcanza los umbrales de la motivación manifiestamente irrazonable que exige la doctrina constitucional para estimar vulnerado el derecho fundamental a la tutela judicial efectiva proclamado por el art. 24.1 CE, por lo que el rechazo de este último motivo de impugnación ha de conducir, finalmente, a la desestimación de la demanda de amparo formulada por la Junta de Andalucía.</w:t>
      </w:r>
    </w:p>
    <w:p w:rsidR="0052098F" w:rsidRDefault="0052098F" w:rsidP="0052098F">
      <w:pPr>
        <w:pStyle w:val="TextoNormal"/>
      </w:pPr>
    </w:p>
    <w:p w:rsidR="0052098F" w:rsidRDefault="0052098F" w:rsidP="0052098F">
      <w:pPr>
        <w:pStyle w:val="TextoNormalCentrado"/>
        <w:keepNext/>
      </w:pPr>
      <w:r>
        <w:lastRenderedPageBreak/>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Desestimar la demanda de amparo interpuesta por la Junta de Andalucía.</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5" w:name="SENTENCIA_2008_12"/>
      <w:r>
        <w:lastRenderedPageBreak/>
        <w:t>SENTENCIA 12/2008, de 29 de enero de 2008</w:t>
      </w:r>
    </w:p>
    <w:bookmarkEnd w:id="15"/>
    <w:p w:rsidR="0052098F" w:rsidRDefault="0052098F" w:rsidP="0052098F">
      <w:pPr>
        <w:pStyle w:val="TtuloResolucin"/>
      </w:pPr>
      <w:r>
        <w:t>Pleno</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ECLI:ES:TC:2008:12</w:t>
      </w:r>
    </w:p>
    <w:p w:rsidR="0052098F" w:rsidRDefault="0052098F" w:rsidP="0052098F">
      <w:pPr>
        <w:pStyle w:val="SntesisDescriptiva"/>
      </w:pPr>
    </w:p>
    <w:p w:rsidR="0052098F" w:rsidRDefault="0052098F" w:rsidP="0052098F">
      <w:pPr>
        <w:pStyle w:val="SntesisDescriptiva"/>
      </w:pPr>
      <w:r>
        <w:t>Cuestión de inconstitucionalidad 4069-2007 y recurso de inconstitucionalidad 5653-2007 (acumulados). Promovidos por el Juzgado de lo Contencioso-Administrativo núm. 1 de Santa Cruz de Tenerife y por más de cincuenta Diputados del Grupo Parlamentario Popular del Congreso de los Diputados, en relación con el artículo 44 bis y concordantes de la Ley Orgánica 5/1985, del régimen electoral general, redactados por la disposición adicional segunda de la Ley Orgánica 3/2007, para la igualdad efectiva de mujeres y hombres.</w:t>
      </w:r>
    </w:p>
    <w:p w:rsidR="0052098F" w:rsidRDefault="0052098F" w:rsidP="0052098F">
      <w:pPr>
        <w:pStyle w:val="SntesisDescriptiva"/>
      </w:pPr>
    </w:p>
    <w:p w:rsidR="0052098F" w:rsidRDefault="0052098F" w:rsidP="0052098F">
      <w:pPr>
        <w:pStyle w:val="SntesisAnaltica"/>
      </w:pPr>
      <w:r>
        <w:t>Supuesta vulneración de los derechos a la igualdad en la ley, a la participación en los asuntos públicos y de asociación en partidos políticos, a la libertad ideológica y de expresión y al principio de unidad del cuerpo electoral: candidaturas electorales equilibradas por sexos. Voto particular.</w:t>
      </w:r>
    </w:p>
    <w:p w:rsidR="0052098F" w:rsidRDefault="0052098F" w:rsidP="0052098F">
      <w:pPr>
        <w:pStyle w:val="SntesisAnaltica"/>
      </w:pPr>
    </w:p>
    <w:p w:rsidR="0052098F" w:rsidRDefault="0052098F" w:rsidP="0052098F">
      <w:pPr>
        <w:pStyle w:val="Extracto"/>
      </w:pPr>
      <w:r>
        <w:t>1.</w:t>
      </w:r>
      <w:r>
        <w:tab/>
        <w:t>El art. 44 bis LOREG cuando exige una composición equilibrada de mujeres y hombres en la composición de las candidaturas que se presenten para determinadas elecciones persigue la efectividad del art. 14 CE en el ámbito de la representación política [FJ 5].</w:t>
      </w:r>
    </w:p>
    <w:p w:rsidR="0052098F" w:rsidRDefault="0052098F" w:rsidP="0052098F">
      <w:pPr>
        <w:pStyle w:val="Extracto"/>
      </w:pPr>
    </w:p>
    <w:p w:rsidR="0052098F" w:rsidRDefault="0052098F" w:rsidP="0052098F">
      <w:pPr>
        <w:pStyle w:val="Extracto"/>
      </w:pPr>
      <w:r>
        <w:t>2.</w:t>
      </w:r>
      <w:r>
        <w:tab/>
        <w:t>El art. 9.2 CE no impone una regulación como la cuestionada, ni obliga a que esa regulación se exija en todos los casos, correspondiendo a la libertad de configuración del legislador democrático el diseño del régimen electoral, por lo que las excepciones a la exigibilidad del principio de presencia o composición equilibrada de las listas electorales de los arts. 187.2 y 201.3 LOREG resultan legítimas [FJ 8].</w:t>
      </w:r>
    </w:p>
    <w:p w:rsidR="0052098F" w:rsidRDefault="0052098F" w:rsidP="0052098F">
      <w:pPr>
        <w:pStyle w:val="Extracto"/>
      </w:pPr>
    </w:p>
    <w:p w:rsidR="0052098F" w:rsidRDefault="0052098F" w:rsidP="0052098F">
      <w:pPr>
        <w:pStyle w:val="Extracto"/>
      </w:pPr>
      <w:r>
        <w:t>3.</w:t>
      </w:r>
      <w:r>
        <w:tab/>
        <w:t>Las medidas impugnadas, en su aplicación a las agrupaciones de electores, desde la perspectiva de las limitaciones a la libertad de los partidos políticos en la confección y presentación de candidaturas, superan el canon de proporcionalidad por ser su fin legítimo de acuerdo con el art. 9.2 CE y resultar razonables y adecuadas a la finalidad perseguida [FJ 7].</w:t>
      </w:r>
    </w:p>
    <w:p w:rsidR="0052098F" w:rsidRDefault="0052098F" w:rsidP="0052098F">
      <w:pPr>
        <w:pStyle w:val="Extracto"/>
      </w:pPr>
    </w:p>
    <w:p w:rsidR="0052098F" w:rsidRDefault="0052098F" w:rsidP="0052098F">
      <w:pPr>
        <w:pStyle w:val="Extracto"/>
      </w:pPr>
      <w:r>
        <w:t>4.</w:t>
      </w:r>
      <w:r>
        <w:tab/>
        <w:t>Doctrina sobre la igualdad como valor superior del ordenamiento jurídico y, en particular, sobre la obligación de los poderes públicos de promover las condiciones para que la igualdad de los individuos y de los grupos sea real y efectiva (SSTC 23/1984, 216/1991, 206/1992) [FJ 4].</w:t>
      </w:r>
    </w:p>
    <w:p w:rsidR="0052098F" w:rsidRDefault="0052098F" w:rsidP="0052098F">
      <w:pPr>
        <w:pStyle w:val="Extracto"/>
      </w:pPr>
    </w:p>
    <w:p w:rsidR="0052098F" w:rsidRDefault="0052098F" w:rsidP="0052098F">
      <w:pPr>
        <w:pStyle w:val="Extracto"/>
      </w:pPr>
      <w:r>
        <w:t>5.</w:t>
      </w:r>
      <w:r>
        <w:tab/>
        <w:t>No cabe apreciar que una medida legal como la impugnada pueda suponer una infracción de la igualdad de los ciudadanos, ya que, por el contrario es justamente esa igualdad la que la propia medida asegura [FJ 9].</w:t>
      </w:r>
    </w:p>
    <w:p w:rsidR="0052098F" w:rsidRDefault="0052098F" w:rsidP="0052098F">
      <w:pPr>
        <w:pStyle w:val="Extracto"/>
      </w:pPr>
    </w:p>
    <w:p w:rsidR="0052098F" w:rsidRDefault="0052098F" w:rsidP="0052098F">
      <w:pPr>
        <w:pStyle w:val="Extracto"/>
      </w:pPr>
      <w:r>
        <w:t>6.</w:t>
      </w:r>
      <w:r>
        <w:tab/>
        <w:t>El art. 23.2 CE no incorpora entre sus contenidos un pretendido derecho fundamental a ser propuesto o presentado, por las formaciones políticas, como candi</w:t>
      </w:r>
      <w:r>
        <w:lastRenderedPageBreak/>
        <w:t>dato en unas elecciones, por lo que no puede entenderse quebrantado, por la medida legal impugnada, el contenido esencial del derecho de sufragio pasivo (STC 78/1987) [FJ 9].</w:t>
      </w:r>
    </w:p>
    <w:p w:rsidR="0052098F" w:rsidRDefault="0052098F" w:rsidP="0052098F">
      <w:pPr>
        <w:pStyle w:val="Extracto"/>
      </w:pPr>
    </w:p>
    <w:p w:rsidR="0052098F" w:rsidRDefault="0052098F" w:rsidP="0052098F">
      <w:pPr>
        <w:pStyle w:val="Extracto"/>
      </w:pPr>
      <w:r>
        <w:t>7.</w:t>
      </w:r>
      <w:r>
        <w:tab/>
        <w:t>El derecho de sufragio activo recogido en el art. 23.1 CE se ejerce por los ciudadanos mediante la elección entre las opciones presentadas por las formaciones políticas habilitadas al efecto, no formando parte de ese derecho la facultad de otorgar la condición de candidato a quien no fue propuesto como tal [FJ 9].</w:t>
      </w:r>
    </w:p>
    <w:p w:rsidR="0052098F" w:rsidRDefault="0052098F" w:rsidP="0052098F">
      <w:pPr>
        <w:pStyle w:val="Extracto"/>
      </w:pPr>
    </w:p>
    <w:p w:rsidR="0052098F" w:rsidRDefault="0052098F" w:rsidP="0052098F">
      <w:pPr>
        <w:pStyle w:val="Extracto"/>
      </w:pPr>
      <w:r>
        <w:t>8.</w:t>
      </w:r>
      <w:r>
        <w:tab/>
        <w:t>Solo los ciudadanos son titulares de los derechos de sufragio pasivo y activo, y no los partidos políticos ni tampoco las agrupaciones electorales [FJ 7].</w:t>
      </w:r>
    </w:p>
    <w:p w:rsidR="0052098F" w:rsidRDefault="0052098F" w:rsidP="0052098F">
      <w:pPr>
        <w:pStyle w:val="Extracto"/>
      </w:pPr>
    </w:p>
    <w:p w:rsidR="0052098F" w:rsidRDefault="0052098F" w:rsidP="0052098F">
      <w:pPr>
        <w:pStyle w:val="Extracto"/>
      </w:pPr>
      <w:r>
        <w:t>9.</w:t>
      </w:r>
      <w:r>
        <w:tab/>
        <w:t>El requisito de la paridad de sexos en las candidaturas electorales no perjudica a la unidad del pueblo soberano ya que, aunque la voluntad del pueblo español se expresa a través del cuerpo electoral, éste no se confunde con el titular de la soberanía (art. 1.2 CE) [FJ 10].</w:t>
      </w:r>
    </w:p>
    <w:p w:rsidR="0052098F" w:rsidRDefault="0052098F" w:rsidP="0052098F">
      <w:pPr>
        <w:pStyle w:val="Extracto"/>
      </w:pPr>
    </w:p>
    <w:p w:rsidR="0052098F" w:rsidRDefault="0052098F" w:rsidP="0052098F">
      <w:pPr>
        <w:pStyle w:val="Extracto"/>
      </w:pPr>
      <w:r>
        <w:t>10.</w:t>
      </w:r>
      <w:r>
        <w:tab/>
        <w:t>La libertad de los partidos y agrupaciones de electores para confeccionar y presentar candidaturas no es un derecho fundamental, sino una atribución, implícita en la Constitución (art. 6 CE), conferida por el legislador, que puede ser limitada en atención a otros valores y bienes constitucionales protegidos [FJ 5].</w:t>
      </w:r>
    </w:p>
    <w:p w:rsidR="0052098F" w:rsidRDefault="0052098F" w:rsidP="0052098F">
      <w:pPr>
        <w:pStyle w:val="Extracto"/>
      </w:pPr>
    </w:p>
    <w:p w:rsidR="0052098F" w:rsidRDefault="0052098F" w:rsidP="0052098F">
      <w:pPr>
        <w:pStyle w:val="Extracto"/>
      </w:pPr>
      <w:r>
        <w:t>11.</w:t>
      </w:r>
      <w:r>
        <w:tab/>
        <w:t>El art. 44 bis LOREG no hace innecesarios los partidos o idearios feministas, pero, a partir de ese precepto, el art. 9.2 CE convierte en constitucionalmente lícita la imposibilidad de presentar candidaturas que quieran hacer testimonio feminista con la presentación de listas integradas únicamente por mujeres [FJ 6].</w:t>
      </w:r>
    </w:p>
    <w:p w:rsidR="0052098F" w:rsidRDefault="0052098F" w:rsidP="0052098F">
      <w:pPr>
        <w:pStyle w:val="Extracto"/>
      </w:pPr>
    </w:p>
    <w:p w:rsidR="0052098F" w:rsidRDefault="0052098F" w:rsidP="0052098F">
      <w:pPr>
        <w:pStyle w:val="Extracto"/>
      </w:pPr>
      <w:r>
        <w:t>12.</w:t>
      </w:r>
      <w:r>
        <w:tab/>
        <w:t>Un ideario feminista radical no podrá ser constitucionalmente prohibido, al no regir en España un sistema de democracia militante, pero tampoco podrá sustraerse al mandato constitucional de la igualdad formal (art. 14 CE) ni a las normas dictadas por el legislador para hacer efectiva la igualdad material del art. 9.2 CE (SSTC 48/2003, 235/2007) [FJ 6].</w:t>
      </w:r>
    </w:p>
    <w:p w:rsidR="0052098F" w:rsidRDefault="0052098F" w:rsidP="0052098F">
      <w:pPr>
        <w:pStyle w:val="Extracto"/>
      </w:pPr>
    </w:p>
    <w:p w:rsidR="0052098F" w:rsidRDefault="0052098F" w:rsidP="0052098F">
      <w:pPr>
        <w:pStyle w:val="Extracto"/>
      </w:pPr>
      <w:r>
        <w:t>13.</w:t>
      </w:r>
      <w:r>
        <w:tab/>
        <w:t>No corresponde a este Tribunal efectuar pronunciamientos preventivos sobre legislaciones hipotéticas que no son objeto del presente proceso tales como la habilitación que la norma cuestionada da a la posibilidad de establecimiento de normas que eleven la cuota de mujeres en las listas electorales para las elecciones a las Asambleas Legislativas de las Comunidades Autónomas [FJ 8].</w:t>
      </w:r>
    </w:p>
    <w:p w:rsidR="0052098F" w:rsidRDefault="0052098F" w:rsidP="0052098F">
      <w:pPr>
        <w:pStyle w:val="Extracto"/>
      </w:pPr>
    </w:p>
    <w:p w:rsidR="0052098F" w:rsidRDefault="0052098F" w:rsidP="0052098F">
      <w:pPr>
        <w:pStyle w:val="Extracto"/>
      </w:pPr>
      <w:r>
        <w:t>14.</w:t>
      </w:r>
      <w:r>
        <w:tab/>
        <w:t>Los Tratados internacionales no constituyen canon para el enjuiciamiento de la adecuación a la Constitución de normas dotadas de rango legal, lo que no puede ser óbice para subrayar la importancia que reviste la remisión constitucional (art. 10.2 CE) a determinados instrumentos de Derecho internacional como criterio interpretativo de los derechos fundamentales (SSTC 49/1988, 235/2000, 236/2007) [FJ 2].</w:t>
      </w:r>
    </w:p>
    <w:p w:rsidR="0052098F" w:rsidRDefault="0052098F" w:rsidP="0052098F">
      <w:pPr>
        <w:pStyle w:val="Extracto"/>
      </w:pPr>
    </w:p>
    <w:p w:rsidR="0052098F" w:rsidRDefault="0052098F" w:rsidP="0052098F">
      <w:pPr>
        <w:pStyle w:val="Extracto"/>
      </w:pPr>
      <w:r>
        <w:lastRenderedPageBreak/>
        <w:t>15.</w:t>
      </w:r>
      <w:r>
        <w:tab/>
        <w:t>Fuera de los mandatos genéricos en favor de la igualdad entre hombres y mujeres, los convenios internacionales no se pronuncian, en principio, sobre los concretos instrumentos utilizables por los Estados para darles cumplimiento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la cuestión de inconstitucionalidad núm. 4069-2007, promovida por el Juzgado de lo Contencioso-Administrativo núm. 1 de Santa Cruz de Tenerife, en relación con el artículo 44 bis de la Ley Orgánica 5/1985, de 19 de junio, del régimen electoral general, introducido por la disposición adicional segunda de la Ley Orgánica 3/2007, de 22 de marzo, para la igualdad efectiva de mujeres y hombres, y en el recurso de inconstitucionalidad, acumulado a la anterior, núm. 5653-2007, interpuesto por más de cincuenta Diputados del Grupo Parlamentario Popular del Congreso de los Diputados, frente a la disposición adicional segunda de la Ley Orgánica 3/2007, de 22 de marzo. Han intervenido y formulado alegaciones el Abogado del Estado y el Fiscal General del Estado. Ha sido Ponente la Magistrada doña Elisa Pérez Vera, quien expresa el parecer del Tribunal.</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Cuestión de inconstitucionalidad núm. 4069-2007. </w:t>
      </w:r>
    </w:p>
    <w:p w:rsidR="0052098F" w:rsidRDefault="0052098F" w:rsidP="0052098F">
      <w:pPr>
        <w:pStyle w:val="TextoNormal"/>
      </w:pPr>
      <w:r>
        <w:t>El 7 de mayo de 2007 se registró en este Tribunal Constitucional un escrito del Juzgado de lo Contencioso-Administrativo núm. 1 de Santa Cruz de Tenerife del día 5 anterior, al que se acompaña Auto del mismo órgano judicial de esa misma fecha, por el que se plantea cuestión de inconstitucionalidad en relación con el artículo 44 bis de la Ley Orgánica 5/1985, de 19 de junio, del régimen electoral general, introducido por la disposición adicional segunda de la Ley Orgánica 3/2007, de 22 de marzo, para la igualdad efectiva de mujeres y hombres (en adelante, LOIMH), por posible vulneración del art. 23, en relación con los arts. 6 y 14, todos ellos de la Constitución.</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antecedentes procesales de la presente cuestión de inconstitucionalidad son, sucintamente expuestos, los siguientes: </w:t>
      </w:r>
    </w:p>
    <w:p w:rsidR="0052098F" w:rsidRDefault="0052098F" w:rsidP="0052098F">
      <w:pPr>
        <w:pStyle w:val="TextoNormal"/>
      </w:pPr>
    </w:p>
    <w:p w:rsidR="0052098F" w:rsidRDefault="0052098F" w:rsidP="0052098F">
      <w:pPr>
        <w:pStyle w:val="TextoNormal"/>
      </w:pPr>
      <w:r>
        <w:lastRenderedPageBreak/>
        <w:t xml:space="preserve">a) Mediante Resolución de 27 de abril de 2007 la Junta Electoral de Zona de Icod de los Vinos denegó la proclamación de la candidatura presentada por el Partido Popular para el municipio de Garachico en las elecciones del 27 de mayo siguiente. La denegación se fundamentó en que la referida candidatura no se adaptaba a lo previsto en el art. 44 bis.1 LOREG. </w:t>
      </w:r>
    </w:p>
    <w:p w:rsidR="0052098F" w:rsidRDefault="0052098F" w:rsidP="0052098F">
      <w:pPr>
        <w:pStyle w:val="TextoNormal"/>
      </w:pPr>
    </w:p>
    <w:p w:rsidR="0052098F" w:rsidRDefault="0052098F" w:rsidP="0052098F">
      <w:pPr>
        <w:pStyle w:val="TextoNormal"/>
      </w:pPr>
      <w:r>
        <w:t xml:space="preserve">b) El 28 de abril de 2007 el representante legal del Partido Popular ante la Junta Electoral de Zona antes mencionada alegó que la candidatura presentada por dicha formación política era adecuada a la Constitución y no cabía rectificación o subsanación de su composición. Consecuentemente solicitaba de la Junta Electoral de Zona de Icod de los Vinos la proclamación de la candidatura. </w:t>
      </w:r>
    </w:p>
    <w:p w:rsidR="0052098F" w:rsidRDefault="0052098F" w:rsidP="0052098F">
      <w:pPr>
        <w:pStyle w:val="TextoNormal"/>
      </w:pPr>
    </w:p>
    <w:p w:rsidR="0052098F" w:rsidRDefault="0052098F" w:rsidP="0052098F">
      <w:pPr>
        <w:pStyle w:val="TextoNormal"/>
      </w:pPr>
      <w:r>
        <w:t xml:space="preserve">c) Con fecha 1 de mayo de 2007 la Junta Electoral de Zona procedió a la publicación oficial de las candidaturas proclamadas (“Boletín Oficial de la Provincia de Santa Cruz de Tenerife” núm. 60), entre las que no figuraba la presentada por el Partido Popular en el municipio de Garachico. </w:t>
      </w:r>
    </w:p>
    <w:p w:rsidR="0052098F" w:rsidRDefault="0052098F" w:rsidP="0052098F">
      <w:pPr>
        <w:pStyle w:val="TextoNormal"/>
      </w:pPr>
    </w:p>
    <w:p w:rsidR="0052098F" w:rsidRDefault="0052098F" w:rsidP="0052098F">
      <w:pPr>
        <w:pStyle w:val="TextoNormal"/>
      </w:pPr>
      <w:r>
        <w:t xml:space="preserve">d) Esta resolución fue objeto de recurso contencioso-electoral el siguiente día 2 de mayo de 2007. En el escrito de demanda se solicitaba, por otrosí, el planteamiento de cuestión de inconstitucionalidad en relación con el art. 44 bis LOREG al entender la actora que podría vulnerar lo dispuesto en los arts. 14 y 23 CE así como en los arts. 16 y 20.1 a) CE. </w:t>
      </w:r>
    </w:p>
    <w:p w:rsidR="0052098F" w:rsidRDefault="0052098F" w:rsidP="0052098F">
      <w:pPr>
        <w:pStyle w:val="TextoNormal"/>
      </w:pPr>
    </w:p>
    <w:p w:rsidR="0052098F" w:rsidRDefault="0052098F" w:rsidP="0052098F">
      <w:pPr>
        <w:pStyle w:val="TextoNormal"/>
      </w:pPr>
      <w:r>
        <w:t xml:space="preserve">e) Con fecha 4 de mayo de 2007 el Juzgado de lo Contencioso-Administrativo núm. 1 de Santa Cruz de Tenerife dictó providencia del siguiente tenor: “debatiéndose en este recurso electoral la constitucionalidad del artículo 44.bis de la Ley Electoral, de conformidad con lo establecido en el artículo 35 de la Ley Orgánica del Tribunal Constitucional de 3 de octubre de 1979, suscitándose dudas sobre su constitucionalidad, cuestión de la cual depende la decisión de este proceso, determinada exclusivamente por la validez de la norma cuestionada, óigase al Ministerio Fiscal para que a la mayor brevedad posible pueda alegar sobre la pertinencia de plantear la correspondiente cuestión de inconstitucionalidad ante el Tribunal Constitucional”. </w:t>
      </w:r>
    </w:p>
    <w:p w:rsidR="0052098F" w:rsidRDefault="0052098F" w:rsidP="0052098F">
      <w:pPr>
        <w:pStyle w:val="TextoNormal"/>
      </w:pPr>
    </w:p>
    <w:p w:rsidR="0052098F" w:rsidRDefault="0052098F" w:rsidP="0052098F">
      <w:pPr>
        <w:pStyle w:val="TextoNormal"/>
      </w:pPr>
      <w:r>
        <w:t xml:space="preserve">Ese mismo día el Ministerio Fiscal presentó escrito de alegaciones oponiéndose al recurso contencioso-electoral y señalado la improcedencia del planteamiento de la cuestión de inconstitucionalidad tanto por razones de fondo como por la alteración que dicho planteamiento entrañaría para la configuración legal del proceso contencioso- electoral, caracterizado, entre otras, por la nota de perentoriedad. </w:t>
      </w:r>
    </w:p>
    <w:p w:rsidR="0052098F" w:rsidRDefault="0052098F" w:rsidP="0052098F">
      <w:pPr>
        <w:pStyle w:val="TextoNormal"/>
      </w:pPr>
    </w:p>
    <w:p w:rsidR="0052098F" w:rsidRDefault="0052098F" w:rsidP="0052098F">
      <w:pPr>
        <w:pStyle w:val="TextoNormal"/>
      </w:pPr>
      <w:r>
        <w:t xml:space="preserve">También el 4 de mayo de 2007 la parte actora presentó escrito de alegaciones en el que señalaba que la cuestión de inconstitucionalidad cuyo planteamiento se postulaba “debe tramitarse conforme a los plazos establecidos en la Ley Orgánica de Régimen Electoral General, para que el restablecimiento de los citados derechos se produzca dentro del plazo habilitado para ello conforme a la misma”, añadiendo que “en el caso de que no fuese posible la tramitación de la cuestión de inconstitucionalidad según el procedimiento preferente y sumario de la Ley Orgánica de régimen electoral general, esta parte se ve obligada a desistir de su solicitud de planteamiento de cuestión de inconstitucionalidad, puesto que el restablecimiento extemporáneo de los derechos fundamentales vulnerados carecería de toda eficacia y utilidad”. </w:t>
      </w:r>
    </w:p>
    <w:p w:rsidR="0052098F" w:rsidRDefault="0052098F" w:rsidP="0052098F">
      <w:pPr>
        <w:pStyle w:val="TextoNormal"/>
      </w:pPr>
    </w:p>
    <w:p w:rsidR="0052098F" w:rsidRDefault="0052098F" w:rsidP="0052098F">
      <w:pPr>
        <w:pStyle w:val="TextoNormal"/>
      </w:pPr>
      <w:r>
        <w:t>f) Finalmente la presente cuestión de inconstitucionalidad se elevó mediante Auto de 5 de mayo de 2007.</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La parte argumentativa del referido Auto se inicia con la constatación de que el único extremo controvertido en el proceso contencioso-electoral es el relativo a la constitucionalidad del art. 44 bis LOREG, cuyas determinaciones en punto a la composición de las listas electorales la parte actora reconoce que no ha observado. Dicho lo cual y tras dejar constancia de las posiciones defendidas por las partes en el proceso, el órgano judicial señala que “lo expuesto en la demanda refleja dudas objetivas y razonables cuyo esclarecimiento no puede ser resuelto en el sentido de afirmar rotundamente la constitucionalidad de la Ley”. </w:t>
      </w:r>
    </w:p>
    <w:p w:rsidR="0052098F" w:rsidRDefault="0052098F" w:rsidP="0052098F">
      <w:pPr>
        <w:pStyle w:val="TextoNormal"/>
      </w:pPr>
    </w:p>
    <w:p w:rsidR="0052098F" w:rsidRDefault="0052098F" w:rsidP="0052098F">
      <w:pPr>
        <w:pStyle w:val="TextoNormal"/>
      </w:pPr>
      <w:r>
        <w:t xml:space="preserve">En la exposición de las razones que le mueven a dudar de la constitucionalidad del precepto legal cuestionado recuerda el juzgador que todos los derechos fundamentales precisan de desarrollo legislativo, al tiempo que existen otros conocidos como derechos de configuración legal (arts. 23 y 24 CE) que presentan una mayor indeterminación y por ello necesitan un mayor complemento legislativo que termine de diseñar su contenido y les permita alcanzar plena efectividad. </w:t>
      </w:r>
    </w:p>
    <w:p w:rsidR="0052098F" w:rsidRDefault="0052098F" w:rsidP="0052098F">
      <w:pPr>
        <w:pStyle w:val="TextoNormal"/>
      </w:pPr>
    </w:p>
    <w:p w:rsidR="0052098F" w:rsidRDefault="0052098F" w:rsidP="0052098F">
      <w:pPr>
        <w:pStyle w:val="TextoNormal"/>
      </w:pPr>
      <w:r>
        <w:t xml:space="preserve">Por otro lado recuerda que los derechos fundamentales de nuestra Constitución están íntimamente relacionados con los proclamados en los tratados internacionales (art. 10.2), señaladamente en el Convenio europeo de derechos humanos, que junto con las tradiciones constitucionales de los Estados miembros son principios generales del Derecho comunitario. Los derechos fundamentales comunitarios se han recogido en la Carta aprobada en Niza en el año 2000, donde se contiene el acervo constitucional común en la materia. Se apunta de este modo una tendencia a la uniformidad en los países de nuestro entorno cultural más próximo. </w:t>
      </w:r>
    </w:p>
    <w:p w:rsidR="0052098F" w:rsidRDefault="0052098F" w:rsidP="0052098F">
      <w:pPr>
        <w:pStyle w:val="TextoNormal"/>
      </w:pPr>
    </w:p>
    <w:p w:rsidR="0052098F" w:rsidRDefault="0052098F" w:rsidP="0052098F">
      <w:pPr>
        <w:pStyle w:val="TextoNormal"/>
      </w:pPr>
      <w:r>
        <w:t xml:space="preserve">El art. 23.2 CE reconoce el derecho de los ciudadanos a acceder en condiciones de igualdad a los cargos públicos y representativos con los requisitos que señale la Ley electoral. De suerte que este precepto constitucional prohíbe la discriminación en general, pero si la discriminación tiene lugar por alguno de los supuestos expresamente previstos en el art. 14 CE entonces es éste el precepto constitucional vulnerado (entre otras muchas, STC 75/1983). Asimismo, en la STC 161/1988 se ha declarado que cuando se viola el derecho del candidato a ser elegible también se vulnera el derecho del elector a participar en el proceso de designación de sus representantes. </w:t>
      </w:r>
    </w:p>
    <w:p w:rsidR="0052098F" w:rsidRDefault="0052098F" w:rsidP="0052098F">
      <w:pPr>
        <w:pStyle w:val="TextoNormal"/>
      </w:pPr>
    </w:p>
    <w:p w:rsidR="0052098F" w:rsidRDefault="0052098F" w:rsidP="0052098F">
      <w:pPr>
        <w:pStyle w:val="TextoNormal"/>
      </w:pPr>
      <w:r>
        <w:t xml:space="preserve">El principio de igualdad ante la Ley proclamado en el art. 14 CE impide que el legislador dé un trato distinto a personas que se hallen en la misma situación (STC 144/1988). Sin embargo, tal paridad no impide que el legislador haga distinciones siempre que puedan ser calificadas de objetivas y razonables, constituyendo discriminaciones cuando sean arbitrarias o irrazonables. En la formulación del juicio de razonabilidad debe prestarse especial atención a las diferenciaciones normativas por razón de las condiciones prohibidas expresamente en el art. 14 CE. Junto con lo expuesto se recuerda que la igualdad ha de ser real y efectiva por mor del art. 9.2 CE, lo que dota de legitimidad a las acciones positivas encaminadas a favorecer la igualdad de oportunidades, práctica que, no obstante, puede colisionar con los derechos de las personas excluidas y con el criterio meritocrático según el cual los bienes o beneficios escasos deben ser asignados según la valía individual de las personas. </w:t>
      </w:r>
      <w:r>
        <w:lastRenderedPageBreak/>
        <w:t xml:space="preserve">Lo que no ha sido óbice para que la Ley haya favorecido a las personas con discapacidad mediante la reserva de cuotas en el acceso a la función pública, “lo que constituye una discriminación positiva indirecta en méritos del artículo 49 CE”. </w:t>
      </w:r>
    </w:p>
    <w:p w:rsidR="0052098F" w:rsidRDefault="0052098F" w:rsidP="0052098F">
      <w:pPr>
        <w:pStyle w:val="TextoNormal"/>
      </w:pPr>
    </w:p>
    <w:p w:rsidR="0052098F" w:rsidRDefault="0052098F" w:rsidP="0052098F">
      <w:pPr>
        <w:pStyle w:val="TextoNormal"/>
      </w:pPr>
      <w:r>
        <w:t xml:space="preserve">En otro orden de cosas apunta el titular del órgano judicial promotor de la cuestión de inconstitucionalidad que en materia de igualdad se ha avanzado mucho en poco tiempo, a pesar de lo cual “la desigualdad de la mujer por circunstancias fundamentalmente socio-culturales sigue siendo una tarea pendiente que exige la efectividad del principio de igualdad de oportunidades”. Este objetivo puede hacerse real y efectivo con discriminaciones positivas, pero plantea la duda de constitucionalidad cuando incide en las circunstancias del art. 14 CE. En el caso sometido a la consideración del Juzgado de lo Contencioso-Administrativo núm. 1 de Santa Cruz de Tenerife las recurrentes son mujeres y se da la paradoja de que una Ley hecha para beneficiarlas les perjudica. “El límite máximo del 60 por ciento a la libre concurrencia de mujeres y hombres produce un efecto contraproducente y hay que explicarles a las mujeres recurrentes que tendrían que sacrificar su libertad política en mérito de la igualdad general de todas las mujeres, que se podrían beneficiar del equilibrio electoral, pero que no puede haber una lista electoral completa de mujeres por el hecho de serlo ya que en la concepción del mundo que muestra el legislador no cabe la aspiración a un pleno municipal en el Ayuntamiento de Garachico constituido por todas las mujeres recurrentes en caso de que fueran elegidas o de mujeres de varios partidos cuya capacidad de tomar decisiones consensuadas a lo mejor es más flexible que la que ha mostrado la gestión política mayoritariamente masculina”. </w:t>
      </w:r>
    </w:p>
    <w:p w:rsidR="0052098F" w:rsidRDefault="0052098F" w:rsidP="0052098F">
      <w:pPr>
        <w:pStyle w:val="TextoNormal"/>
      </w:pPr>
    </w:p>
    <w:p w:rsidR="0052098F" w:rsidRDefault="0052098F" w:rsidP="0052098F">
      <w:pPr>
        <w:pStyle w:val="TextoNormal"/>
      </w:pPr>
      <w:r>
        <w:t xml:space="preserve">No estamos ante un supuesto típico de diferenciación por razón de sexo, pues no hay agravio comparativo ante la Ley. Si todos los ciudadanos tienen derecho a acceder en condiciones de igualdad a los cargos públicos representativos, el término de comparación se centraría en si la persona titular de ese derecho puede ser restringida —discriminada— por razón de género que indudablemente es lo que habría ocurrido en este caso, según manifiesta el Auto de planteamiento de la cuestión de inconstitucionalidad. </w:t>
      </w:r>
    </w:p>
    <w:p w:rsidR="0052098F" w:rsidRDefault="0052098F" w:rsidP="0052098F">
      <w:pPr>
        <w:pStyle w:val="TextoNormal"/>
      </w:pPr>
    </w:p>
    <w:p w:rsidR="0052098F" w:rsidRDefault="0052098F" w:rsidP="0052098F">
      <w:pPr>
        <w:pStyle w:val="TextoNormal"/>
      </w:pPr>
      <w:r>
        <w:t xml:space="preserve">Seguidamente se reseña que tanto la Corte Constitucional italiana como el Consejo Constitucional francés han apreciado discriminación en regulaciones análogas a la ahora controvertida. En opinión del órgano judicial, “este hecho obliga a poner en duda la constitucionalidad del artículo 44 bis”. Y ello porque aun cuando la jurisprudencia constitucional extranjera no sea vinculante, debe tenerse presente que las normas constitucionales sobre igualdad son relativamente sencillas en su formulación y tienen un origen histórico común, por lo que no parece que el juicio de igualdad pueda ser diferente entre países cultural y jurídicamente tan próximos; de manera que las decisiones de esos órganos jurisdiccionales tienen, al menos, la autoridad de una cita doctrinal para suscitar dudas intelectuales al margen de convicciones políticas subjetivas. </w:t>
      </w:r>
    </w:p>
    <w:p w:rsidR="0052098F" w:rsidRDefault="0052098F" w:rsidP="0052098F">
      <w:pPr>
        <w:pStyle w:val="TextoNormal"/>
      </w:pPr>
    </w:p>
    <w:p w:rsidR="0052098F" w:rsidRDefault="0052098F" w:rsidP="0052098F">
      <w:pPr>
        <w:pStyle w:val="TextoNormal"/>
      </w:pPr>
      <w:r>
        <w:t xml:space="preserve">En el Auto se indica que “una cosa es promover condiciones, remover obstáculos y facilitar la participación en la vida pública de las mujeres (artículo 9.2 CE) y otra bien distinta imponerla e imponerla a costa de la libertad política de las mujeres recurrentes a las que la Ley garantiza unos mínimos pero también fija un techo a sus legítimas aspiraciones de participar activamente en los asuntos públicos”. El equilibrio o paridad que se refleja en el art. 44 bis LOREG no se encuentra en la Constitución, por lo que puede hablarse de un interés </w:t>
      </w:r>
      <w:r>
        <w:lastRenderedPageBreak/>
        <w:t xml:space="preserve">general o de un valor infraconstitucional cuya preponderancia sobre la igualdad en el derecho a ser candidato sin discriminación por razón de sexo es harto discutible. </w:t>
      </w:r>
    </w:p>
    <w:p w:rsidR="0052098F" w:rsidRDefault="0052098F" w:rsidP="0052098F">
      <w:pPr>
        <w:pStyle w:val="TextoNormal"/>
      </w:pPr>
    </w:p>
    <w:p w:rsidR="0052098F" w:rsidRDefault="0052098F" w:rsidP="0052098F">
      <w:pPr>
        <w:pStyle w:val="TextoNormal"/>
      </w:pPr>
      <w:r>
        <w:t xml:space="preserve">También se plantea el problema desde la perspectiva que ofrece el contenido esencial. Al respecto se señala que en el derecho fundamental de acceso a la función pública el principio de mérito y capacidad se integra en el contenido del derecho, dándose la paradoja de que cuando los procesos selectivos se basan en tales criterios no se aprecia una exclusión de la mujer, que tiene lugar, por el contrario, en los puestos de nombramiento libre o discrecional. La meritocracia es un principio de política jurídica que junto con la igualdad de oportunidades son fundamentales en la organización y funcionamiento de una sociedad progresista hacia valores de libertad, justicia, igualdad y pluralismo político (art. 1 CE); pero es discutible que la meritocracia forme parte del contenido esencial del derecho fundamental aquí concernido. </w:t>
      </w:r>
    </w:p>
    <w:p w:rsidR="0052098F" w:rsidRDefault="0052098F" w:rsidP="0052098F">
      <w:pPr>
        <w:pStyle w:val="TextoNormal"/>
      </w:pPr>
    </w:p>
    <w:p w:rsidR="0052098F" w:rsidRDefault="0052098F" w:rsidP="0052098F">
      <w:pPr>
        <w:pStyle w:val="TextoNormal"/>
      </w:pPr>
      <w:r>
        <w:t>Finalmente se apunta que el precepto legal cuestionado también restringe la libertad de los partidos políticos a la hora de nombrar a sus candidatos, señalándose que son los propios partidos políticos los destinatarios de la norma, pues de sus acuerdos depende la participación de la mujer en política. Al imponer una cantidad proporcional de hombres y mujeres se impide la legítima aspiración de las mujeres a conseguir abrumadoras mayorías de representación femenina en los cargos públicos o bien, alternativamente, la duda radica en si no resulta desproporcionado en sentido estricto que este objetivo pueda ser limitado por considerarse suficiente la flexible proporcionalidad numérica fijada por el precepto y ha de renunciarse a dicho objetivo por solidaridad con otras mujeres. Para el órgano judicial promotor de la cuestión “que al final se esté buscando candidatos de cuota y no por valía personal puede incluso ser contrario a la dignidad de la persona”.</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Mediante providencia de 24 de mayo de 2007 la Sección Cuarta de este Tribunal acordó, a los efectos que determina el art. 37.1 LOTC, oír al Fiscal General del Estado para que en el plazo de diez días alegara lo que considerase conveniente acerca de la posible falta de condiciones procesales para la admisión de la cuestión de inconstitucionalidad núm. 4069-2007. </w:t>
      </w:r>
    </w:p>
    <w:p w:rsidR="0052098F" w:rsidRDefault="0052098F" w:rsidP="0052098F">
      <w:pPr>
        <w:pStyle w:val="TextoNormal"/>
      </w:pPr>
    </w:p>
    <w:p w:rsidR="0052098F" w:rsidRDefault="0052098F" w:rsidP="0052098F">
      <w:pPr>
        <w:pStyle w:val="TextoNormal"/>
      </w:pPr>
      <w:r>
        <w:t>El Fiscal General del Estado evacuó el trámite conferido el 18 de junio de 2007, fecha en la que comunicó a este Tribunal que, a su parecer, no concurre la falta de condiciones procesales a la que se aludía en el proveído de referencia.</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Mediante providencia de 12 de julio de 2007 el Pleno de este Tribunal acordó tener por formuladas las alegaciones efectuadas por el Fiscal General del Estado, admitiendo a trámite la cuestión de inconstitucionalidad núm. 4069-2007, formulada por el Juzgado de lo Contencioso-Administrativo núm. 1 de Santa Cruz de Tenerife, reservándose para sí su conocimiento, de acuerdo con el art. 10.1 c) LOTC, en la redacción dada por la Ley Orgánica 6/2007, de 24 de mayo; dar traslado de las actuaciones recibidas, conforme establece el art. 37.2 LOTC, al Congreso de los Diputados y al Senado, por conducto de sus Presidentes, al Gobierno, por conducto del Ministerio de Justicia y al Fiscal General del Estado, al objeto de que en el plazo común e improrrogable de diez días pudieran personarse en el proceso y formular las alegaciones que estimasen pertinentes; comunicar la resolución adoptada al Juzgado de lo Contencioso- Administrativo núm. 1 de Santa Cruz de Tenerife a fin de que, de conformidad con lo dispuesto en el art. 35.3 LOTC, permanezca suspendido el proceso </w:t>
      </w:r>
      <w:r>
        <w:lastRenderedPageBreak/>
        <w:t xml:space="preserve">hasta que este Tribunal resuelva definitivamente esta cuestión y, finalmente, publicar la incoación de la cuestión en el “Boletín Oficial del Estado”. </w:t>
      </w:r>
    </w:p>
    <w:p w:rsidR="0052098F" w:rsidRDefault="0052098F" w:rsidP="0052098F">
      <w:pPr>
        <w:pStyle w:val="TextoNormal"/>
      </w:pPr>
    </w:p>
    <w:p w:rsidR="0052098F" w:rsidRDefault="0052098F" w:rsidP="0052098F">
      <w:pPr>
        <w:pStyle w:val="TextoNormal"/>
      </w:pPr>
      <w:r>
        <w:t>Dicha publicación se llevó a efecto en el “Boletín Oficial del Estado” núm. 178, de 26 de julio de 2007.</w:t>
      </w:r>
    </w:p>
    <w:p w:rsidR="0052098F" w:rsidRDefault="0052098F" w:rsidP="0052098F">
      <w:pPr>
        <w:pStyle w:val="TextoNormal"/>
      </w:pPr>
    </w:p>
    <w:p w:rsidR="0052098F" w:rsidRDefault="0052098F" w:rsidP="0052098F">
      <w:pPr>
        <w:pStyle w:val="TextoNormal"/>
      </w:pPr>
      <w:r w:rsidRPr="0052098F">
        <w:rPr>
          <w:rStyle w:val="NumeroAFNegritaCaracter"/>
        </w:rPr>
        <w:t>6</w:t>
      </w:r>
      <w:r>
        <w:t>. El 5 de septiembre de 2007 el Presidente del Senado interesó que se tuviera por personada a dicha Cámara en la cuestión de inconstitucionalidad núm. 4069-2007 y por ofrecida su colaboración a los efectos del art. 88.1 LOTC.</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Con fecha 10 de septiembre de 2007 presentó alegaciones, interesando la desestimación de la cuestión de inconstitucionalidad, el Abogado del Estado. </w:t>
      </w:r>
    </w:p>
    <w:p w:rsidR="0052098F" w:rsidRDefault="0052098F" w:rsidP="0052098F">
      <w:pPr>
        <w:pStyle w:val="TextoNormal"/>
      </w:pPr>
    </w:p>
    <w:p w:rsidR="0052098F" w:rsidRDefault="0052098F" w:rsidP="0052098F">
      <w:pPr>
        <w:pStyle w:val="TextoNormal"/>
      </w:pPr>
      <w:r>
        <w:t xml:space="preserve">a) Al respecto recuerda que la LOIMH se suma a una serie de reformas legales recientes en países de la Unión Europea tendentes a incorporar a su ordenamiento la Directiva 2002/73/CE del Parlamento Europeo y del Consejo, de 23 de septiembre de 2002, sobre igualdad de trato en el acceso al empleo, a la formación y a la promoción profesionales y, en menor grado, la Directiva 2004/113/CE, de 13 de diciembre de 2004, de igualdad de trato en el acceso a bienes y servicios y su suministro. Sin embargo, la citada Ley Orgánica no es mera transposición al Ordenamiento español de estas Directivas comunitarias. </w:t>
      </w:r>
    </w:p>
    <w:p w:rsidR="0052098F" w:rsidRDefault="0052098F" w:rsidP="0052098F">
      <w:pPr>
        <w:pStyle w:val="TextoNormal"/>
      </w:pPr>
    </w:p>
    <w:p w:rsidR="0052098F" w:rsidRDefault="0052098F" w:rsidP="0052098F">
      <w:pPr>
        <w:pStyle w:val="TextoNormal"/>
      </w:pPr>
      <w:r>
        <w:t xml:space="preserve">Para tratar de alcanzar la igualdad, la LOIMH comienza con una declaración de sumo interés, al afirmar en su art. 1 que hombres y mujeres son iguales en dignidad humana, e iguales también en derechos y deberes. La Ley pretende hacer efectivo el principio de igualdad de trato y de oportunidades, a cuyo efecto invoca los arts. 9.2 y 14 CE. Como en su exposición de motivos se reseña, la aprobación de la LOIMH era necesaria porque, a pesar de los enormes avances habidos en nuestro Ordenamiento, la realidad demuestra que no se ha asegurado todavía la igualdad formal y material entre personas de distinto sexo, siendo precisas nuevas intervenciones del legislador para garantizar una igualdad efectiva, sin privilegios ni limitaciones. </w:t>
      </w:r>
    </w:p>
    <w:p w:rsidR="0052098F" w:rsidRDefault="0052098F" w:rsidP="0052098F">
      <w:pPr>
        <w:pStyle w:val="TextoNormal"/>
      </w:pPr>
    </w:p>
    <w:p w:rsidR="0052098F" w:rsidRDefault="0052098F" w:rsidP="0052098F">
      <w:pPr>
        <w:pStyle w:val="TextoNormal"/>
      </w:pPr>
      <w:r>
        <w:t xml:space="preserve">La LOIMH nace, según se consigna en su exposición de motivos, con la vocación de erigirse en la ley-código de la igualdad entre mujeres y hombres, inspirada en las ideas de globalidad y transversalidad como integración de la igualdad en todas las políticas. Unas ideas que ya figuraban en la Ley 30/2003, de 13 de octubre, en la que se impuso la evaluación del impacto por razón de sexo en el proceso de elaboración de toda norma estatal, al efecto de evitar consecuencias negativas, intencionadas o no, que favorecieran situaciones de discriminación; se superaba así la concepción sectorial de las políticas de igualdad. También la Ley Orgánica 1/2004, de 28 de diciembre, de medidas de protección integral contra la violencia de género, contiene una regulación integral, al incluir un conjunto de medidas de diverso tipo en el tratamiento de la violencia contra la mujer. </w:t>
      </w:r>
    </w:p>
    <w:p w:rsidR="0052098F" w:rsidRDefault="0052098F" w:rsidP="0052098F">
      <w:pPr>
        <w:pStyle w:val="TextoNormal"/>
      </w:pPr>
    </w:p>
    <w:p w:rsidR="0052098F" w:rsidRDefault="0052098F" w:rsidP="0052098F">
      <w:pPr>
        <w:pStyle w:val="TextoNormal"/>
      </w:pPr>
      <w:r>
        <w:t xml:space="preserve">Pues bien, las disposiciones adicionales primera y segunda LOIMH desarrollan y hacen efectiva </w:t>
      </w:r>
    </w:p>
    <w:p w:rsidR="0052098F" w:rsidRDefault="0052098F" w:rsidP="0052098F">
      <w:pPr>
        <w:pStyle w:val="TextoNormal"/>
      </w:pPr>
    </w:p>
    <w:p w:rsidR="0052098F" w:rsidRDefault="0052098F" w:rsidP="0052098F">
      <w:pPr>
        <w:pStyle w:val="TextoNormal"/>
      </w:pPr>
      <w:r>
        <w:t xml:space="preserve">b) Seguidamente se expone el marco internacional y comunitario europeo, con expresa indicación de que en diferentes foros internacionales se ha considerado que la democracia tiene un déficit de representación que es necesario remediar, no sólo como un imperativo de </w:t>
      </w:r>
      <w:r>
        <w:lastRenderedPageBreak/>
        <w:t xml:space="preserve">justicia, sino también con apoyo en argumentos favorables a la presencia de las mujeres en la vida política y en los órganos dirigentes. Por ello diversos textos normativos han incorporado el principio de igualdad entre los derechos humanos. Así, se citan el art. 14 del Convenio europeo de derechos humanos, de 1950; el art. 2 del Convenio sobre los derechos políticos de la mujer, de 1952; el art. 25 del Pacto internacional de derechos civiles y políticos, de 1966, y el art. 7 de la Convención sobre la eliminación de todas las formas de discriminación contra la mujer. </w:t>
      </w:r>
    </w:p>
    <w:p w:rsidR="0052098F" w:rsidRDefault="0052098F" w:rsidP="0052098F">
      <w:pPr>
        <w:pStyle w:val="TextoNormal"/>
      </w:pPr>
    </w:p>
    <w:p w:rsidR="0052098F" w:rsidRDefault="0052098F" w:rsidP="0052098F">
      <w:pPr>
        <w:pStyle w:val="TextoNormal"/>
      </w:pPr>
      <w:r>
        <w:t xml:space="preserve">La idea de democracia paritaria parte del reconocimiento del hecho de que las mujeres constituyen el 50 por 100 de la sociedad. Se empieza a hablar de democracia paritaria a raíz de la llamada “Declaración de Atenas”, aprobada en la primera Cumbre Europea “Mujeres en el poder”, celebrada en la capital griega el 3 de noviembre de 1992. También en la Cuarta Conferencia Mundial sobre la Mujer celebrada en Pekín en 1995 se reiteró la necesidad de garantizar un reparto equilibrado de las responsabilidades, los poderes y los derechos. En el año 2000 tuvo lugar en Nueva York el encuentro que Naciones Unidas programó para efectuar un balance de los acuerdos adoptados en Pekín, insistiéndose en los argumentos ya expuestos en aquella Conferencia mundial. </w:t>
      </w:r>
    </w:p>
    <w:p w:rsidR="0052098F" w:rsidRDefault="0052098F" w:rsidP="0052098F">
      <w:pPr>
        <w:pStyle w:val="TextoNormal"/>
      </w:pPr>
    </w:p>
    <w:p w:rsidR="0052098F" w:rsidRDefault="0052098F" w:rsidP="0052098F">
      <w:pPr>
        <w:pStyle w:val="TextoNormal"/>
      </w:pPr>
      <w:r>
        <w:t xml:space="preserve">En el ámbito del Derecho comunitario europeo se citan las siguientes Recomendaciones y Resoluciones, “que carecen de fuerza vinculante, al afectar al ámbito de la participación política que sigue unida al concepto de ciudadanía nacional, pero que tienen un evidente autoridad moral”: Recomendación del Consejo de 2 de diciembre de 1996, sobre participación equilibrada en los procesos de toma de decisiones; Resolución del Parlamento Europeo núm. 169 de 1988, en la que se solicita de los partidos políticos adopten un sistema de cuotas para la presentación de candidaturas; Resolución de 3 de marzo de 2000, en la cual el Parlamento Europeo constata que las cuotas equilibran la participación de los hombres y las mujeres en la vida política; Resolución de 5 de julio de 2001, donde se recomienda la adopción de planes nacionales para la promoción de una participación equilibrada; Recomendación del Consejo de 12 de marzo de 2003, sobre participación equilibrada en los procesos de decisión en los ámbitos político y público, en la que se sitúa en el 40 por 100 el umbral aconsejable del equilibrio auspiciado. Asimismo se han aprobado diversas Directivas, tendentes a asegurar el derecho a la igualdad, por lo común en el ámbito laboral y el Tribunal de Justicia de las Comunidades Europeas se ha pronunciado también sobre la igualdad de trato, especialmente en sus Sentencias Kalanke, de 1995, y Marschall, de 1997, en tanto que el proyecto de Tratado de la Constitución Europea incluye diversas menciones a la igualdad entre hombres y mujeres. </w:t>
      </w:r>
    </w:p>
    <w:p w:rsidR="0052098F" w:rsidRDefault="0052098F" w:rsidP="0052098F">
      <w:pPr>
        <w:pStyle w:val="TextoNormal"/>
      </w:pPr>
    </w:p>
    <w:p w:rsidR="0052098F" w:rsidRDefault="0052098F" w:rsidP="0052098F">
      <w:pPr>
        <w:pStyle w:val="TextoNormal"/>
      </w:pPr>
      <w:r>
        <w:t xml:space="preserve">Se cita también la labor constante del Consejo de Europa, que en 1989 organizó una Conferencia sobre el tema “El principio democrático de igual representación. Cuarenta años de actividad del Consejo de Europa”, en la que se difundieron dos importantes ideas que apuntan a la promoción de este principio: el concepto de democracia paritaria y la propuesta de incluir el principio de igualdad entre hombres y mujeres en un protocolo adicional a la Convención europea de derechos humanos. De la IV Conferencia ministerial europea sobre igualdad entre hombres y mujeres, celebrada en Estambul los días 13 y 14 de noviembre de 1997 surgió una declaración sobre la igualdad como criterio fundamental de la democracia. </w:t>
      </w:r>
    </w:p>
    <w:p w:rsidR="0052098F" w:rsidRDefault="0052098F" w:rsidP="0052098F">
      <w:pPr>
        <w:pStyle w:val="TextoNormal"/>
      </w:pPr>
    </w:p>
    <w:p w:rsidR="0052098F" w:rsidRDefault="0052098F" w:rsidP="0052098F">
      <w:pPr>
        <w:pStyle w:val="TextoNormal"/>
      </w:pPr>
      <w:r>
        <w:t xml:space="preserve">Tras mencionar la Conferencia de Nueva Delhi organizada por la Unión Interparlamentaria se concluye que existe “una indudable unanimidad internacional en la necesidad de </w:t>
      </w:r>
      <w:r>
        <w:lastRenderedPageBreak/>
        <w:t xml:space="preserve">adoptar medidas orientadas a conseguir el equilibrio en la representación política entre hombres y mujeres, … y si bien es cierto que los citados textos no imponen directamente la paridad en la composición de las candidaturas electorales, no puede negarse que el precepto cuya constitucionalidad se cuestiona se enmarca, con naturalidad, en las recomendaciones y directrices señaladas, debiendo destacarse además que, en aplicación del art. 10.2 CE, éstas se incorporarán a la interpretación de los derechos fundamentales reconocidos por la Constitución”. </w:t>
      </w:r>
    </w:p>
    <w:p w:rsidR="0052098F" w:rsidRDefault="0052098F" w:rsidP="0052098F">
      <w:pPr>
        <w:pStyle w:val="TextoNormal"/>
      </w:pPr>
    </w:p>
    <w:p w:rsidR="0052098F" w:rsidRDefault="0052098F" w:rsidP="0052098F">
      <w:pPr>
        <w:pStyle w:val="TextoNormal"/>
      </w:pPr>
      <w:r>
        <w:t xml:space="preserve">c) A renglón seguido expone la Abogacía del Estado las razones en virtud de las cuales concluye que la doctrina constitucional de Derecho comparado que se alega de contrario no resulta trasladable a nuestro Ordenamiento jurídico. </w:t>
      </w:r>
    </w:p>
    <w:p w:rsidR="0052098F" w:rsidRDefault="0052098F" w:rsidP="0052098F">
      <w:pPr>
        <w:pStyle w:val="TextoNormal"/>
      </w:pPr>
    </w:p>
    <w:p w:rsidR="0052098F" w:rsidRDefault="0052098F" w:rsidP="0052098F">
      <w:pPr>
        <w:pStyle w:val="TextoNormal"/>
      </w:pPr>
      <w:r>
        <w:t xml:space="preserve">El Consejo Constitucional francés, en su Decisión de 18 de noviembre de 1982, declaró inconstitucional una reforma del Código electoral y del Código municipal, inconstitucionalidad que extendió el 24 de enero de 1999 al procedimiento de elección de los consejeros regionales. Sin embargo la reforma constitucional de 8 de julio de 1999 añadió un nuevo párrafo al art. 3 de la Constitución francesa, conforme al cual “la Ley favorece un acceso equitativo de mujeres y hombres a los mandatos electorales y a las funciones electivas”, al tiempo que el art. 4 emplaza a los partidos políticos a la consecución de este objetivo. Pues bien, un análisis comparativo de los arts. 3 y 4 de la Constitución francesa y 9.2 de la nuestra permite extraer la conclusión de su análoga potencialidad para amparar la regulación mediante ley de la composición paritaria de las candidaturas, en especial a partir de la jurisprudencia constitucional, que vincula al art. 9.2 la remoción, por parte de los poderes públicos, de los obstáculos existentes para que las mujeres participen con plenitud en la vida política, económica, social y cultural. </w:t>
      </w:r>
    </w:p>
    <w:p w:rsidR="0052098F" w:rsidRDefault="0052098F" w:rsidP="0052098F">
      <w:pPr>
        <w:pStyle w:val="TextoNormal"/>
      </w:pPr>
    </w:p>
    <w:p w:rsidR="0052098F" w:rsidRDefault="0052098F" w:rsidP="0052098F">
      <w:pPr>
        <w:pStyle w:val="TextoNormal"/>
      </w:pPr>
      <w:r>
        <w:t xml:space="preserve">También en Italia se ha discutido la constitucionalidad de las cuotas femeninas, dando lugar, tras un primer pronunciamiento de la Corte Constitucional contrario a esta previsión, a sendas reformas constitucionales en 2001 y 2003. Respecto de este país apunta el Abogado del Estado que la similitud entre el art. 9.2 CE y el 3.2 de la Constitución italiana no debe llevar a confusión puesto que “el art. 9.2 de nuestra Constitución, aunque inspirado en la Constitución italiana, es más rico y no se limita, como el italiano, a imponer la remoción de obstáculos sino que exige de los poderes públicos la activa promoción de las condiciones que garanticen que la igualdad de los individuos y de los grupos en que se integren sean reales y efectivas”. Además, no existe en nuestro texto constitucional un precepto equivalente al art. 51 de la Constitución italiana. </w:t>
      </w:r>
    </w:p>
    <w:p w:rsidR="0052098F" w:rsidRDefault="0052098F" w:rsidP="0052098F">
      <w:pPr>
        <w:pStyle w:val="TextoNormal"/>
      </w:pPr>
    </w:p>
    <w:p w:rsidR="0052098F" w:rsidRDefault="0052098F" w:rsidP="0052098F">
      <w:pPr>
        <w:pStyle w:val="TextoNormal"/>
      </w:pPr>
      <w:r>
        <w:t xml:space="preserve">En las reformas constitucionales llevadas a efecto en Europa concurren dos elementos que no se dan en España. De una parte, la falta de una definición clara en el texto constitucional —antes de su modificación— de la igualdad material; de otra, la necesidad de afirmar constitucionalmente la igualdad de mujeres y hombres. Ambos elementos condujeron en su momento a la declaración de inconstitucionalidad de las leyes que introducían las cuotas electorales. </w:t>
      </w:r>
    </w:p>
    <w:p w:rsidR="0052098F" w:rsidRDefault="0052098F" w:rsidP="0052098F">
      <w:pPr>
        <w:pStyle w:val="TextoNormal"/>
      </w:pPr>
    </w:p>
    <w:p w:rsidR="0052098F" w:rsidRDefault="0052098F" w:rsidP="0052098F">
      <w:pPr>
        <w:pStyle w:val="TextoNormal"/>
      </w:pPr>
      <w:r>
        <w:t xml:space="preserve">d) Hechas estas consideraciones generales pasa el Abogado del Estado a dar cuenta de los argumentos en virtud de los cuales defiende la constitucionalidad de la reforma de la LOREG. Argumentos que parten de la afirmación de que “la discusión sobre si la reforma introducida por la LOIMH en el Derecho electoral constituye una ‘discriminación positiva’, </w:t>
      </w:r>
      <w:r>
        <w:lastRenderedPageBreak/>
        <w:t xml:space="preserve">una ‘discriminación inversa’ o una ‘positive action’ dependerá de cómo se defina cada una de estas categorías. La definición de tales conceptos nos parece ajena a este proceso constitucional, en el que simplemente habrá de decidirse si el art. 44 bis LOREG es o no constitucional, con independencia de su categorización más o menos acertada”. </w:t>
      </w:r>
    </w:p>
    <w:p w:rsidR="0052098F" w:rsidRDefault="0052098F" w:rsidP="0052098F">
      <w:pPr>
        <w:pStyle w:val="TextoNormal"/>
      </w:pPr>
    </w:p>
    <w:p w:rsidR="0052098F" w:rsidRDefault="0052098F" w:rsidP="0052098F">
      <w:pPr>
        <w:pStyle w:val="TextoNormal"/>
      </w:pPr>
      <w:r>
        <w:t xml:space="preserve">Se entra a examinar la novedad legislativa introducida por la LOIMH desde la perspectiva que nos ofrecen los conceptos de soberanía y representación. El concepto unitario de soberanía proviene, según señala el Abogado del Estado, de la etapa preconstitucional, cuando se exige que su ejercicio se llevara a cabo por un sujeto único y excluyente. De igual manera la representación, en tanto que lo es del pueblo como unidad, tiene que ser igual, suprimiendo cualquier distinción a la hora de formar una Cámara constituyente capaz de representar a toda la nación. Sin embargo, advierte la Abogacía del Estado, no puede incurrirse en el error conceptual de equiparar la división de género a cualquier otra división de grupo o etnia, ignorando así la concepción universalista del género, que impide su reducción a minoría de una categoría universal. </w:t>
      </w:r>
    </w:p>
    <w:p w:rsidR="0052098F" w:rsidRDefault="0052098F" w:rsidP="0052098F">
      <w:pPr>
        <w:pStyle w:val="TextoNormal"/>
      </w:pPr>
    </w:p>
    <w:p w:rsidR="0052098F" w:rsidRDefault="0052098F" w:rsidP="0052098F">
      <w:pPr>
        <w:pStyle w:val="TextoNormal"/>
      </w:pPr>
      <w:r>
        <w:t xml:space="preserve">El sexo no viene determinado por causas culturales o sociales, sino que va ligado a la noción misma de ser humano, se trata de una característica irremediablemente inherente a todo individuo, e inmodificable en su conjunto. Por ello las denominadas cuotas por sexo, en términos de equilibrio entre hombres y mujeres, no pueden compararse a posibles cuotas basadas en características culturales, sociales o físicas de una parte de la población que sí podrían, en su caso, vulnerar la indivisibilidad y unidad del cuerpo electoral. Las mujeres no son una minoría ni un grupo social que defienda intereses parciales, por lo que no sería adecuado, en relación a los demás supuestos, el tertium comparationis, tal y como lo ha definido el Tribunal Constitucional en sus Sentencias 148/1986, 29/1987 y 1/2001. </w:t>
      </w:r>
    </w:p>
    <w:p w:rsidR="0052098F" w:rsidRDefault="0052098F" w:rsidP="0052098F">
      <w:pPr>
        <w:pStyle w:val="TextoNormal"/>
      </w:pPr>
    </w:p>
    <w:p w:rsidR="0052098F" w:rsidRDefault="0052098F" w:rsidP="0052098F">
      <w:pPr>
        <w:pStyle w:val="TextoNormal"/>
      </w:pPr>
      <w:r>
        <w:t xml:space="preserve">La cuota no pretende que las mujeres representen en el Parlamento intereses específicamente femeninos sino todo lo contrario, se trata de universalizar el contenido de la política eliminando las diferencias entre los sexos y, por lo tanto, el objetivo de la reforma sería eliminar las intolerables discriminaciones entre ellos. La introducción de medidas de paridad electoral no quiebra el concepto de unidad del pueblo como titular de la soberanía, al que no se pretende escindir en dos mitades. Antes bien, se respeta la existencia de una voluntad nacional única, generada por los representantes del pueblo soberano cuya elección se ve ligeramente condicionada para la consecución del incuestionable objetivo de que en las candidaturas electorales exista una presencia equilibrada de hombres y mujeres. La reforma de la LOREG actúa en el plano de la elaboración de las candidaturas y, por tanto, sólo indirectamente en el de la elección de los representantes, por lo que no tiene incidencia alguna en el sujeto representado, que sigue siendo único y titular de una única soberanía. </w:t>
      </w:r>
    </w:p>
    <w:p w:rsidR="0052098F" w:rsidRDefault="0052098F" w:rsidP="0052098F">
      <w:pPr>
        <w:pStyle w:val="TextoNormal"/>
      </w:pPr>
    </w:p>
    <w:p w:rsidR="0052098F" w:rsidRDefault="0052098F" w:rsidP="0052098F">
      <w:pPr>
        <w:pStyle w:val="TextoNormal"/>
      </w:pPr>
      <w:r>
        <w:t xml:space="preserve">La democracia paritaria no supone la quiebra de ninguno de los pilares del sistema democrático, ni puede ser equiparada a las formas de democracia corporativa. En primer lugar, porque el cuerpo electoral no se divide en función del sexo; en segundo lugar, porque no se impone a los electores votar sólo a los candidatos de su propio sexo y, finalmente, porque los hombres y mujeres que resulten elegidos representarán al conjunto de los ciudadanos y no los intereses de un grupo sexual determinado. </w:t>
      </w:r>
    </w:p>
    <w:p w:rsidR="0052098F" w:rsidRDefault="0052098F" w:rsidP="0052098F">
      <w:pPr>
        <w:pStyle w:val="TextoNormal"/>
      </w:pPr>
    </w:p>
    <w:p w:rsidR="0052098F" w:rsidRDefault="0052098F" w:rsidP="0052098F">
      <w:pPr>
        <w:pStyle w:val="TextoNormal"/>
      </w:pPr>
      <w:r>
        <w:t xml:space="preserve">Por otra parte, cualquiera que sea la caracterización que merezca la reforma de la LOREG lo cierto es que no se articula como una clásica medida de discriminación positiva que actúe </w:t>
      </w:r>
      <w:r>
        <w:lastRenderedPageBreak/>
        <w:t xml:space="preserve">sólo en beneficio de un determinado grupo escasamente representado sino que ofrece un trato igualitario a las dos mitades sociales. La norma, desde el punto de vista de su construcción abstracta, es escrupulosamente respetuosa con el principio de igualdad, dando exactamente el mismo tratamiento a hombres y mujeres. Otra cosa será que de su aplicación práctica y por razones puramente estadísticas, derivadas de la tradicional inferior presencia de las mujeres en las candidaturas de los partidos políticos, la reforma de la LOREG pueda operar inicialmente en beneficio de esta mitad social, corrigiendo una situación de desigualdad de origen. </w:t>
      </w:r>
    </w:p>
    <w:p w:rsidR="0052098F" w:rsidRDefault="0052098F" w:rsidP="0052098F">
      <w:pPr>
        <w:pStyle w:val="TextoNormal"/>
      </w:pPr>
    </w:p>
    <w:p w:rsidR="0052098F" w:rsidRDefault="0052098F" w:rsidP="0052098F">
      <w:pPr>
        <w:pStyle w:val="TextoNormal"/>
      </w:pPr>
      <w:r>
        <w:t xml:space="preserve">Para confirmar esta tesis se recuerda la doctrina elaborada por este Tribunal acerca del principio de igualdad y su proyección sobre el art. 23.1 CE. Nuestra Constitución configura la igualdad como un principio y valor que impregna todo el Ordenamiento jurídico (art. 1.1 CE), como un derecho público subjetivo (art. 14 CE), y como un referente para la acción social del Estado, que debe tender a la igualdad sustancial (art. 9.2 CE). Los valores no conciernen sólo al legislador sino a todos los poderes del Estado y el art. 9.2 CE es la norma de justificación de las posibilidades de conseguir estándares de libertad y de igualdad a través de la actuación de los poderes públicos; desde la interacción de los arts. 9.2 y 14 CE se ha entendido justificada la interacción de las desigualdades compensatorias. En efecto, este Tribunal Constitucional ha fijado su doctrina de forma evolutiva desde la STC 103/1983 hasta la actualidad, profundizando en ese concepto de igualdad material por encima de la mera apariencia formal. </w:t>
      </w:r>
    </w:p>
    <w:p w:rsidR="0052098F" w:rsidRDefault="0052098F" w:rsidP="0052098F">
      <w:pPr>
        <w:pStyle w:val="TextoNormal"/>
      </w:pPr>
    </w:p>
    <w:p w:rsidR="0052098F" w:rsidRDefault="0052098F" w:rsidP="0052098F">
      <w:pPr>
        <w:pStyle w:val="TextoNormal"/>
      </w:pPr>
      <w:r>
        <w:t xml:space="preserve">Ahora bien, el precepto ni tan siquiera aspira a remover los obstáculos que han impedido tradicionalmente la participación de las mujeres en la vida política, no impone una desigualdad compensatoria sino que, plenamente respetuoso con las dos vertientes del principio de igualdad, trata de corregir una desigualdad de partida garantizando una mínima presencia de hombres y mujeres en las candidaturas electorales y, por tanto, una efectiva igualdad de oportunidades de participación política a ambas mitades sociales. </w:t>
      </w:r>
    </w:p>
    <w:p w:rsidR="0052098F" w:rsidRDefault="0052098F" w:rsidP="0052098F">
      <w:pPr>
        <w:pStyle w:val="TextoNormal"/>
      </w:pPr>
    </w:p>
    <w:p w:rsidR="0052098F" w:rsidRDefault="0052098F" w:rsidP="0052098F">
      <w:pPr>
        <w:pStyle w:val="TextoNormal"/>
      </w:pPr>
      <w:r>
        <w:t xml:space="preserve">La igualdad del art. 14 CE es la igualdad jurídica ante la ley, noción a la que en este mismo precepto constitucional se añade la prohibición de discriminación, erigiendo al sexo en una de las categorías denominadas por la doctrina como sospechosas. Por lo que respecta a esta prohibición, en un primer momento la doctrina constitucional se atuvo al concepto puramente formal de la igualdad, dándose un giro a favor de la concepción finalista de la igualdad a partir de la STC 128/1987. </w:t>
      </w:r>
    </w:p>
    <w:p w:rsidR="0052098F" w:rsidRDefault="0052098F" w:rsidP="0052098F">
      <w:pPr>
        <w:pStyle w:val="TextoNormal"/>
      </w:pPr>
    </w:p>
    <w:p w:rsidR="0052098F" w:rsidRDefault="0052098F" w:rsidP="0052098F">
      <w:pPr>
        <w:pStyle w:val="TextoNormal"/>
      </w:pPr>
      <w:r>
        <w:t xml:space="preserve">La igualdad a la que se refiere el art. 23.2 CE no difiere de la igualdad proclamada en el art. 14 CE, existiendo entre ambos preceptos una relación de lo general (art. 14 CE) a lo especial (art. 23 CE). Al respecto se cita la doctrina contenida en las SSTC 30/1993, de 15 de enero, FJ 1, y 225/1998, de 23 de noviembre, FJ 4. </w:t>
      </w:r>
    </w:p>
    <w:p w:rsidR="0052098F" w:rsidRDefault="0052098F" w:rsidP="0052098F">
      <w:pPr>
        <w:pStyle w:val="TextoNormal"/>
      </w:pPr>
    </w:p>
    <w:p w:rsidR="0052098F" w:rsidRDefault="0052098F" w:rsidP="0052098F">
      <w:pPr>
        <w:pStyle w:val="TextoNormal"/>
      </w:pPr>
      <w:r>
        <w:t xml:space="preserve">Por otro lado se recuerda que la doctrina constitucional ha aceptado “la llamada discriminación positiva, acción afirmativa, acción positiva o acción compensatoria” a favor de la mitad femenina, como se observa en las SSTC 128/1987, de 16 de julio, FF JJ 6 y 7; 229/1992, de 14 de diciembre, FJ 2, citándose también la STC 269/1994, de 3 de octubre, FJ 4, sobre reserva de plazas a discapacitados. Sin perjuicio de recordar que el art. 14 CE “representa una explícita interdicción de mantenimiento de determinadas diferenciaciones </w:t>
      </w:r>
      <w:r>
        <w:lastRenderedPageBreak/>
        <w:t xml:space="preserve">históricamente muy arraigadas” (STC 136/1987), el Tribunal ha destacado que la Constitución no prohíbe cualquier diferenciación normativa según las categorías del art. 14 CE sino que, como bien se afirma en la STC 222/1992, estas diferenciaciones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w:t>
      </w:r>
    </w:p>
    <w:p w:rsidR="0052098F" w:rsidRDefault="0052098F" w:rsidP="0052098F">
      <w:pPr>
        <w:pStyle w:val="TextoNormal"/>
      </w:pPr>
    </w:p>
    <w:p w:rsidR="0052098F" w:rsidRDefault="0052098F" w:rsidP="0052098F">
      <w:pPr>
        <w:pStyle w:val="TextoNormal"/>
      </w:pPr>
      <w:r>
        <w:t xml:space="preserve">Pese a que la norma cuestionada es bidireccional, apunta el Abogado del Estado que una norma electoral que actuara unidireccionalmente a favor del sexo femenino sería igualmente conforme con la doctrina plasmada en las resoluciones antes citadas. Así, tendría un fin lícito y legítimo, como sería la superación de la desigualdad histórica de participación política de las mujeres, procurando que las candidaturas reflejen la distribución de la población por géneros existente, y, por otro lado, la presencia equilibrada de hombres y mujeres en las listas es una medida racional y absolutamente proporcionada al fin perseguido. Concretamente, la exigencia de composición equilibrada resulta proporcionada porque es significativamente equivalente al peso real y numérico de las mujeres en el cuerpo electoral. </w:t>
      </w:r>
    </w:p>
    <w:p w:rsidR="0052098F" w:rsidRDefault="0052098F" w:rsidP="0052098F">
      <w:pPr>
        <w:pStyle w:val="TextoNormal"/>
      </w:pPr>
    </w:p>
    <w:p w:rsidR="0052098F" w:rsidRDefault="0052098F" w:rsidP="0052098F">
      <w:pPr>
        <w:pStyle w:val="TextoNormal"/>
      </w:pPr>
      <w:r>
        <w:t xml:space="preserve">Además se destaca que la participación política se vertebra, en nuestro sistema electoral, en torno a dos conceptos fundamentales, los de territorialidad y partido político. Resultando que el derecho electoral pasivo es un derecho de los ciudadanos en los que concurran los requisitos de capacidad y no estén incursos en causa de inelegibilidad, que comprende el acceso, la permanencia y el ejercicio de sus funciones no sólo en condiciones de igualdad sino también de acuerdo con las leyes, no existe ningún motivo para pensar que entre los requisitos que satisfacen el juicio de racionalidad se encuentra la cobertura de un porcentaje de los puestos de las listas electorales con hombres y mujeres, dado que en todos los sistemas electorales hay correctores de representatividad. </w:t>
      </w:r>
    </w:p>
    <w:p w:rsidR="0052098F" w:rsidRDefault="0052098F" w:rsidP="0052098F">
      <w:pPr>
        <w:pStyle w:val="TextoNormal"/>
      </w:pPr>
    </w:p>
    <w:p w:rsidR="0052098F" w:rsidRDefault="0052098F" w:rsidP="0052098F">
      <w:pPr>
        <w:pStyle w:val="TextoNormal"/>
      </w:pPr>
      <w:r>
        <w:t xml:space="preserve">El art. 23.2 CE es un derecho de configuración legal, cuya titularidad no corresponde a todos los seres humanos y que admite, precisamente por ello, diferenciaciones normativas, correspondiendo al legislador electoral la tarea de concretar los requisitos para el ejercicio del derecho de sufragio pasivo (SSTC 161/1988, 18/1989, y 205/1990). Es decir, “el derecho de sufragio pasivo (art. 23.2 CE) es de configuración legal y admite diferenciación normativa, el derecho de sufragio activo (art.23.1 CE) es universal y necesariamente iguald, de manera absoluta”. </w:t>
      </w:r>
    </w:p>
    <w:p w:rsidR="0052098F" w:rsidRDefault="0052098F" w:rsidP="0052098F">
      <w:pPr>
        <w:pStyle w:val="TextoNormal"/>
      </w:pPr>
    </w:p>
    <w:p w:rsidR="0052098F" w:rsidRDefault="0052098F" w:rsidP="0052098F">
      <w:pPr>
        <w:pStyle w:val="TextoNormal"/>
      </w:pPr>
      <w:r>
        <w:t xml:space="preserve">La LOREG debe respetar el contenido mínimo de este derecho fundamental, pero goza de libertad para su configuración más o menos amplia. Pues bien, en la legislación electoral hay causas de inelegibilidad (arts. 6 y 7 LOREG), causas de incompatibilidad (arts. 155 y ss.) y requisitos de presentación de candidaturas (art. 46, entre otros), sin que parezca que estos requisitos o causas tengan una naturaleza distinta de los requisitos de paridad electoral. El contenido del derecho de sufragio pasivo consiste en que el candidato “que satisface los requisitos de la ley electoral, alcance la elección y se halle habilitado para tomar posesión y ejercer el cargo de representante”. Ahora bien, nadie tiene “derecho” a ser candidato, habida cuenta de que la condición de candidato no existe hasta la publicación oficial de la candidatura. De modo que las medidas de paridad entre hombres y mujeres aquí controvertidas se enmarcan en una dimensión distinta a la del estricto ejercicio del derecho fundamental de </w:t>
      </w:r>
      <w:r>
        <w:lastRenderedPageBreak/>
        <w:t xml:space="preserve">sufragio pasivo pues atañen no tanto a la condición de candidato como a la elaboración de una candidatura en su conjunto. </w:t>
      </w:r>
    </w:p>
    <w:p w:rsidR="0052098F" w:rsidRDefault="0052098F" w:rsidP="0052098F">
      <w:pPr>
        <w:pStyle w:val="TextoNormal"/>
      </w:pPr>
    </w:p>
    <w:p w:rsidR="0052098F" w:rsidRDefault="0052098F" w:rsidP="0052098F">
      <w:pPr>
        <w:pStyle w:val="TextoNormal"/>
      </w:pPr>
      <w:r>
        <w:t xml:space="preserve">Es cierto que la exigencia de una composición equilibrada de las listas incide sobre el ámbito de decisión de los partidos políticos en la elaboración de las candidaturas, pero no es menos cierto que el art. 6 CE condiciona la libertad de los partidos políticos al respeto a la Constitución y, también, a la ley. De suerte que la libertad de los partidos en este ámbito está fuertemente condicionada, habida cuenta de que en la LOREG se regulan, entre otros extremos, la confección de listas cerradas y bloqueadas, las causas de inelegibilidad, el régimen de incompatibilidades, inscripción en el censo, obligatoriedad de presentar tantos candidatos como puestos a cubrir, etc. A ello debe añadirse que los partidos políticos no son titulares del derecho fundamental de sufragio pasivo sino instrumentos para que la participación política sea efectiva y, a su través, los ciudadanos puedan ejercer los derechos que la Constitución les reconoce. La determinación de la condición de candidato es, en su integridad, obra del legislador, al que corresponde establecer los requisitos de elegibilidad y los supuestos de inelegibilidad. </w:t>
      </w:r>
    </w:p>
    <w:p w:rsidR="0052098F" w:rsidRDefault="0052098F" w:rsidP="0052098F">
      <w:pPr>
        <w:pStyle w:val="TextoNormal"/>
      </w:pPr>
    </w:p>
    <w:p w:rsidR="0052098F" w:rsidRDefault="0052098F" w:rsidP="0052098F">
      <w:pPr>
        <w:pStyle w:val="TextoNormal"/>
      </w:pPr>
      <w:r>
        <w:t>La medida satisface, finalmente, el requisito de proporcionalidad al introducir una mínima limitación en la libertad de conformación de las candidaturas electorales por los partidos políticos, las federaciones, coaliciones y agrupaciones electorales. Con esa limitación mínima se alcanza el objetivo de la composición paritaria y sin perjuicio de reconocer que existen otras alternativas, la opción del legislador no puede tildarse de excesiva o carente de ponderación.</w:t>
      </w:r>
    </w:p>
    <w:p w:rsidR="0052098F" w:rsidRDefault="0052098F" w:rsidP="0052098F">
      <w:pPr>
        <w:pStyle w:val="TextoNormal"/>
      </w:pPr>
    </w:p>
    <w:p w:rsidR="0052098F" w:rsidRDefault="0052098F" w:rsidP="0052098F">
      <w:pPr>
        <w:pStyle w:val="TextoNormal"/>
      </w:pPr>
      <w:r w:rsidRPr="0052098F">
        <w:rPr>
          <w:rStyle w:val="NumeroAFNegritaCaracter"/>
        </w:rPr>
        <w:t>8</w:t>
      </w:r>
      <w:r>
        <w:t>. El día 13 de septiembre de 2007 se registró en este Tribunal Constitucional escrito del Presidente del Congreso de los Diputados comunicando que la Mesa de la Cámara había acordado, en la reunión celebrada el día 4 anterior, dar por personada a la Cámara en la cuestión de inconstitucionalidad núm. 4069-2007 y por ofrecida su colaboración a los efectos del art. 88.1 LOTC.</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Fiscal General del Estado presentó su escrito de alegaciones el 5 de octubre de 2007. Tras una pormenorizada exposición de los antecedentes procesales de la cuestión de inconstitucionalidad núm. 4069-2007, relaciona los argumentos en virtud de los cuales postula su desestimación. </w:t>
      </w:r>
    </w:p>
    <w:p w:rsidR="0052098F" w:rsidRDefault="0052098F" w:rsidP="0052098F">
      <w:pPr>
        <w:pStyle w:val="TextoNormal"/>
      </w:pPr>
    </w:p>
    <w:p w:rsidR="0052098F" w:rsidRDefault="0052098F" w:rsidP="0052098F">
      <w:pPr>
        <w:pStyle w:val="TextoNormal"/>
      </w:pPr>
      <w:r>
        <w:t xml:space="preserve">En primer lugar recuerda que el derecho proclamado en el art. 23.2 CE es un derecho de configuración legal, de manera que compete al legislador la tarea de concretar los requisitos para el ejercicio del derecho de sufragio pasivo, en lo que se diferencia sustancialmente del derecho de sufragio activo. Sin embargo, la configuración legal del derecho fundamental no está exenta de control. </w:t>
      </w:r>
    </w:p>
    <w:p w:rsidR="0052098F" w:rsidRDefault="0052098F" w:rsidP="0052098F">
      <w:pPr>
        <w:pStyle w:val="TextoNormal"/>
      </w:pPr>
    </w:p>
    <w:p w:rsidR="0052098F" w:rsidRDefault="0052098F" w:rsidP="0052098F">
      <w:pPr>
        <w:pStyle w:val="TextoNormal"/>
      </w:pPr>
      <w:r>
        <w:t xml:space="preserve">La propia LOREG establece regulaciones restrictivas de la participación electoral. Así sucede con las causas de inelegibilidad e incompatibilidad, o con el sistema de listas cerradas. Esto es, “el propio desarrollo, la configuración legal del derecho del art. 23.2 CE no se concibe ni se plasma sino como un sistema en el que el legislador regula con restricciones el derecho a elegir y a ser elegido”. </w:t>
      </w:r>
    </w:p>
    <w:p w:rsidR="0052098F" w:rsidRDefault="0052098F" w:rsidP="0052098F">
      <w:pPr>
        <w:pStyle w:val="TextoNormal"/>
      </w:pPr>
    </w:p>
    <w:p w:rsidR="0052098F" w:rsidRDefault="0052098F" w:rsidP="0052098F">
      <w:pPr>
        <w:pStyle w:val="TextoNormal"/>
      </w:pPr>
      <w:r>
        <w:lastRenderedPageBreak/>
        <w:t xml:space="preserve">La idea orientadora de la LOIMH es la promoción real de la igualdad de la condición femenina. Con independencia de la denominación teórica que merezcan sus previsiones, lo determinante es que gozan de cobertura en instrumentos internacionales y que la idea misma de discriminación positiva ya es comúnmente aceptada y ha sido objeto, singularmente en el ámbito laboral y para la mujer trabajadora, de diversos pronunciamientos de este Tribunal (por todas, STC 229/1992, de 14 de diciembre). La valoración de este tipo de medidas cuando afecten a derechos fundamentales debe hacerse teniendo presente que la integración constitucional de la igualdad y no discriminación ha de entenderse embebida en el contenido del art. 23.2 CE, por lo que es preciso examinar si las diferenciaciones normativas obedecen a una finalidad legítima, adecuada a los fines perseguidos y concurriendo una proporcionalidad entre fines y diferencias de trato (STC 208/1998). </w:t>
      </w:r>
    </w:p>
    <w:p w:rsidR="0052098F" w:rsidRDefault="0052098F" w:rsidP="0052098F">
      <w:pPr>
        <w:pStyle w:val="TextoNormal"/>
      </w:pPr>
    </w:p>
    <w:p w:rsidR="0052098F" w:rsidRDefault="0052098F" w:rsidP="0052098F">
      <w:pPr>
        <w:pStyle w:val="TextoNormal"/>
      </w:pPr>
      <w:r>
        <w:t xml:space="preserve">El Fiscal General del Estado achaca al Auto de planteamiento que “no tiene gran sentido aceptar esa idea general de la promoción de esas políticas de igualdad y negar su presencia precisamente en aquel ámbito en que las mismas van a nacer”. Asimismo, subraya el elevado casuismo del precepto legal cuestionado, que procura distinguir situaciones, como las pequeñas poblaciones y determina condiciones aceptables y nada radicales en relación con el reflejo de condiciones de equilibrio razonables entre candidatos masculinos y femeninos. </w:t>
      </w:r>
    </w:p>
    <w:p w:rsidR="0052098F" w:rsidRDefault="0052098F" w:rsidP="0052098F">
      <w:pPr>
        <w:pStyle w:val="TextoNormal"/>
      </w:pPr>
    </w:p>
    <w:p w:rsidR="0052098F" w:rsidRDefault="0052098F" w:rsidP="0052098F">
      <w:pPr>
        <w:pStyle w:val="TextoNormal"/>
      </w:pPr>
      <w:r>
        <w:t xml:space="preserve">Tampoco acepta la crítica a la imposibilidad de que se presenten listas integradas exclusivamente por candidatas femeninas ya que el legislador puede condicionar el derecho de sufragio pasivo y el control de constitucionalidad opera sobre los límites fijados por el legislador y no antes de su establecimiento. El verdadero y único mandato que contiene el art. 23.2 CE es un mandato de igualdad para que todos puedan acceder a las funciones y cargos públicos, unas condiciones de igualdad que se fijarán por el legislador. Y, en este caso, la regulación legal trata de facilitar la participación de todos los ciudadanos en la vida política, económica, social y cultural, haciendo así efectivo el valor superior de la igualdad (art. 1.1 CE) en su concepción material (art. 9.2 CE). </w:t>
      </w:r>
    </w:p>
    <w:p w:rsidR="0052098F" w:rsidRDefault="0052098F" w:rsidP="0052098F">
      <w:pPr>
        <w:pStyle w:val="TextoNormal"/>
      </w:pPr>
    </w:p>
    <w:p w:rsidR="0052098F" w:rsidRDefault="0052098F" w:rsidP="0052098F">
      <w:pPr>
        <w:pStyle w:val="TextoNormal"/>
      </w:pPr>
      <w:r>
        <w:t xml:space="preserve">Finalmente, apunta el Fiscal General del Estado que el precepto no va en contra del pluralismo político, sustento de los partidos políticos (art. 6 CE) en la formación y manifestación de la voluntad popular y como instrumentos de participación política. El Auto de planteamiento no ofrece ninguna razón de entidad jurídico-constitucional que sustente este reproche. </w:t>
      </w:r>
    </w:p>
    <w:p w:rsidR="0052098F" w:rsidRDefault="0052098F" w:rsidP="0052098F">
      <w:pPr>
        <w:pStyle w:val="TextoNormal"/>
      </w:pPr>
      <w:r>
        <w:t>B) Recurso de inconstitucionalidad núm. 5653-2007.</w:t>
      </w:r>
    </w:p>
    <w:p w:rsidR="0052098F" w:rsidRDefault="0052098F" w:rsidP="0052098F">
      <w:pPr>
        <w:pStyle w:val="TextoNormal"/>
      </w:pPr>
    </w:p>
    <w:p w:rsidR="0052098F" w:rsidRDefault="0052098F" w:rsidP="0052098F">
      <w:pPr>
        <w:pStyle w:val="TextoNormal"/>
      </w:pPr>
      <w:r w:rsidRPr="0052098F">
        <w:rPr>
          <w:rStyle w:val="NumeroAFNegritaCaracter"/>
        </w:rPr>
        <w:t>10</w:t>
      </w:r>
      <w:r>
        <w:t xml:space="preserve">. El día 21 de junio de 2007 don Ignacio Astarloa Huarte-Mendicoa, actuando en calidad de comisionado de más de cincuenta Diputados del Grupo Popular del Congreso de los Diputados, interpuso recurso de inconstitucionalidad contra la disposición adicional segunda de la Ley Orgánica 3/2007, de 22 de marzo, para la igualdad efectiva de mujeres y hombres. </w:t>
      </w:r>
    </w:p>
    <w:p w:rsidR="0052098F" w:rsidRDefault="0052098F" w:rsidP="0052098F">
      <w:pPr>
        <w:pStyle w:val="TextoNormal"/>
      </w:pPr>
    </w:p>
    <w:p w:rsidR="0052098F" w:rsidRDefault="0052098F" w:rsidP="0052098F">
      <w:pPr>
        <w:pStyle w:val="TextoNormal"/>
      </w:pPr>
      <w:r>
        <w:t xml:space="preserve">La impugnación del precepto legal se fundamenta en los motivos que seguidamente se sintetizan: </w:t>
      </w:r>
    </w:p>
    <w:p w:rsidR="0052098F" w:rsidRDefault="0052098F" w:rsidP="0052098F">
      <w:pPr>
        <w:pStyle w:val="TextoNormal"/>
      </w:pPr>
    </w:p>
    <w:p w:rsidR="0052098F" w:rsidRDefault="0052098F" w:rsidP="0052098F">
      <w:pPr>
        <w:pStyle w:val="TextoNormal"/>
      </w:pPr>
      <w:r>
        <w:t xml:space="preserve">a) Denuncian en primer lugar los Diputados recurrentes vulneración del art. 23 CE. A este respecto señalan que la finalidad principal de la reforma “es alterar el sistema electoral español exigiendo a los partidos, federaciones, coaliciones y agrupaciones que se presenten </w:t>
      </w:r>
      <w:r>
        <w:lastRenderedPageBreak/>
        <w:t xml:space="preserve">a esos procesos de renovación institucional que incluyan un número de no menos del cuarenta por ciento de mujeres u hombres, en cada tramo de cinco nombres, en las candidaturas constituidas por listas cerradas y bloqueadas, acompañándolas con una serie de ajustes, excepciones y moratorias”. </w:t>
      </w:r>
    </w:p>
    <w:p w:rsidR="0052098F" w:rsidRDefault="0052098F" w:rsidP="0052098F">
      <w:pPr>
        <w:pStyle w:val="TextoNormal"/>
      </w:pPr>
    </w:p>
    <w:p w:rsidR="0052098F" w:rsidRDefault="0052098F" w:rsidP="0052098F">
      <w:pPr>
        <w:pStyle w:val="TextoNormal"/>
      </w:pPr>
      <w:r>
        <w:t xml:space="preserve">Pues bien, para los actores la acción compensatoria a favor de un sexo, basada generalmente en el art. 9.2 CE y en fuentes internacionales requiere de unos mínimos pilares. La protección de la mujer por sí sola no es razón suficiente para justificar la diferenciación ni suficiente es tampoco que el sujeto beneficiario de la protección sea la mujer en cuanto tal pues ello, en esos términos, es contrario al art. 14 CE según la doctrina recogida en la STC 81/1982, FJ 1. Las medidas promocionales compensatorias hacia un colectivo (art. 9.2 CE) tienen su ámbito en los campos sociales, laborales, culturales, económicos e incluso políticos con respeto en todo caso a los derechos e instituciones constitucionales que, por su naturaleza, “no son capaces de aceptar en su concepción y funcionamiento la invasión de la acción positiva, por razones de incongruencia o irrazonabilidad”, particularmente cuando se vulnera un derecho fundamental garantizado completamente por el Ordenamiento para el colectivo al que se pretende promocionar, incluso por la desproporcionalidad de la medida, pues puede llegar a perjudicar a ese colectivo en los casos en los que ya ha conseguido (o superado) una igualación en el punto de partida. </w:t>
      </w:r>
    </w:p>
    <w:p w:rsidR="0052098F" w:rsidRDefault="0052098F" w:rsidP="0052098F">
      <w:pPr>
        <w:pStyle w:val="TextoNormal"/>
      </w:pPr>
    </w:p>
    <w:p w:rsidR="0052098F" w:rsidRDefault="0052098F" w:rsidP="0052098F">
      <w:pPr>
        <w:pStyle w:val="TextoNormal"/>
      </w:pPr>
      <w:r>
        <w:t xml:space="preserve">Subrayan los Diputados recurrentes que la categoría de ciudadano, a efectos de elegibilidad, es una e indivisible, careciendo el legislador de base jurídica para establecer diferencias en su seno. Para el legislador electoral, en protección justamente de la igualdad de derechos, sólo puede ser relevante la categoría de ciudadano constitucionalmente acuñada, derivándose su estratificación en atención a “razones circunscripcionales” (por ejemplo, en las elecciones autonómicas se permite añadir el requisito de la residencia —SSTC 60/1987, FJ 2; 107/1990, FJ único, o 25/1992, FJ único—, siendo así que la residencia es una calidad de adquisición voluntaria, lo que la diferencia de las determinaciones biológicas, como el sexo). </w:t>
      </w:r>
    </w:p>
    <w:p w:rsidR="0052098F" w:rsidRDefault="0052098F" w:rsidP="0052098F">
      <w:pPr>
        <w:pStyle w:val="TextoNormal"/>
      </w:pPr>
    </w:p>
    <w:p w:rsidR="0052098F" w:rsidRDefault="0052098F" w:rsidP="0052098F">
      <w:pPr>
        <w:pStyle w:val="TextoNormal"/>
      </w:pPr>
      <w:r>
        <w:t xml:space="preserve">El legislador electoral debe ser neutral respecto al sexo, raza, edad o religión, teniendo vedada toda discriminación, positiva o negativa, basada en tales circunstancias. Si fuera constitucionalmente admisible que la mitad social femenina se reflejase obligatoriamente en las candidaturas, con igual razón podrían exigir ese beneficio otras categorías o segmentos sociales, con reservas de puestos a ancianos, jóvenes, discapacitados y así sucesivamente. Ello conllevaría la disolución del interés general en un conjunto de intereses parciales o de categorías, más cercanos al corporativismo de regímenes antidemocráticos que a la libertad de la democracia representativa. Para los actores el precepto legal recurrido representa una revisión de la democracia representativa española, lo que exigiría una previa reforma constitucional. </w:t>
      </w:r>
    </w:p>
    <w:p w:rsidR="0052098F" w:rsidRDefault="0052098F" w:rsidP="0052098F">
      <w:pPr>
        <w:pStyle w:val="TextoNormal"/>
      </w:pPr>
    </w:p>
    <w:p w:rsidR="0052098F" w:rsidRDefault="0052098F" w:rsidP="0052098F">
      <w:pPr>
        <w:pStyle w:val="TextoNormal"/>
      </w:pPr>
      <w:r>
        <w:t xml:space="preserve">Tras subrayar que es en otros campos de las relaciones políticas, jurídicas, sociales, económicas, culturales y laborales donde las acciones de discriminación positiva en aras de la promoción tienen su adecuado ámbito de actuación, se da cuenta del contenido de la Sentencia de la Corte Constitucional de Italia de 6 de septiembre de 1995, donde se afirma que la absoluta igualdad de sexos impide que la pertenencia a uno de ellos pueda ser asumida como requisito de elegibilidad, habida cuenta de que la elegibilidad es la condición necesaria para poder ser elegido, para beneficiarse del derecho de sufragio pasivo y se añade que </w:t>
      </w:r>
      <w:r>
        <w:lastRenderedPageBreak/>
        <w:t xml:space="preserve">la remoción de obstáculos que impiden a un sexo alcanzar determinados objetivos no puede traducirse en la atribución directa de los objetivos pretendidos. Para los Diputados recurrentes la Corte Constitucional de la República italiana diferencia “con claridad, concreción y rotundidad” la remoción de obstáculos y la promoción de género, de la manipulación del contenido de los derechos derivada de invasiones legislativas que adjudiquen y seleccionen a quiénes corresponde ejercitarlos en cada momento y lugar, menoscabando por criterios arbitrarios la posibilidad de titularidad y ejercicio. Con posterioridad, en Italia se han sucedido sendas reformas constitucionales en 2001 y 2003, pero ninguna de ellas consagra una limitación del derecho de sufragio y de la libertad de los partidos políticos, como se deduce de la Sentencia de la propia Corte Constitucional de 13 de febrero de 2003, de la magnitud de la ahora controvertida. </w:t>
      </w:r>
    </w:p>
    <w:p w:rsidR="0052098F" w:rsidRDefault="0052098F" w:rsidP="0052098F">
      <w:pPr>
        <w:pStyle w:val="TextoNormal"/>
      </w:pPr>
    </w:p>
    <w:p w:rsidR="0052098F" w:rsidRDefault="0052098F" w:rsidP="0052098F">
      <w:pPr>
        <w:pStyle w:val="TextoNormal"/>
      </w:pPr>
      <w:r>
        <w:t xml:space="preserve">El repaso del panorama de Derecho comparado se completa con una referencia a la evolución que ha tenido lugar en Francia y Bélgica, donde han mediado sendas reformas constitucionales, así como con una mención a aquellos otros países donde la autorregulación de los partidos políticos ha sido el mecanismo de incorporación de un mayor número de mujeres a las candidaturas electorales; estas medidas se ven respaldadas por la concesión de subvenciones para aquellos partidos que fomenten la participación femenina. También se hace referencia al informe del Parlamento Europeo sobre la mujer en la política internacional, que da lugar a la propuesta de Resolución de 17 de octubre de 2006, documento particularmente avanzado y que, pese a ello, se limita a instar a los partidos políticos para que adopten medidas que garanticen que la representación de ambos sexos se encuentre comprendida entre un mínimo del 40 por 100 y un máximo del 60 por 100 en sus listas. Se confirma con ello una línea ya iniciada con la Resolución del Parlamento Europeo núm. 169, de 1988, que se dirigía igualmente a los partidos políticos. Señalan asimismo los Diputados recurrentes que en el marco de la Unión Europea los instrumentos para alcanzar la paridad o la representación equilibrada se utilizan para aquellas parcelas que obviamente la reclaman y en las que el género actúa como factor determinante para el establecimiento de acciones positivas, como demuestran la Directiva del Consejo 2004/113/CE, de 13 de diciembre de 2004, por la que se aplica el principio de igualdad de trato entre hombres y mujeres al acceso a bienes y servicios y su suministro, y la Directiva del Parlamento Europeo y del Consejo 2006/54/CE, de 5 de julio de 2006, relativa a la aplicación del principio de igualdad de oportunidades e igualdad de trato entre hombres y mujeres en asuntos de empleo y ocupación. </w:t>
      </w:r>
    </w:p>
    <w:p w:rsidR="0052098F" w:rsidRDefault="0052098F" w:rsidP="0052098F">
      <w:pPr>
        <w:pStyle w:val="TextoNormal"/>
      </w:pPr>
    </w:p>
    <w:p w:rsidR="0052098F" w:rsidRDefault="0052098F" w:rsidP="0052098F">
      <w:pPr>
        <w:pStyle w:val="TextoNormal"/>
      </w:pPr>
      <w:r>
        <w:t xml:space="preserve">El derecho de votar y ser votado se encuentra protegido igualmente por su intrínseca vinculación a la soberanía. La participación de los ciudadanos en el Estado se instrumenta a través de un poder u órgano constituido, el cuerpo electoral, institución constitucional que tiene dos funciones principales: una de frecuencia incierta, como es la participación en referéndum con distintas finalidades y otra de frecuencia previsible, concretada en la elección de representantes. En la medida en que el legislador penetra en el cuerpo electoral impidiendo que un ciudadano, en razón del sexo con el que nace, disfrute del derecho de sufragio pasivo limitando paralelamente el derecho de los electores, está “dinamitando este poder ‘popular’ constituido”. Esta injerencia crea conjuntos en la ciudadanía que lo componen, atendiendo, además, a criterios derivados de las categorías sospechosas de discriminación. Señalan los Diputados recurrentes que “sólo una reforma constitucional podría cambiar el concepto unitario de cuerpo electoral, admitiendo su fragmentación por categorías, apelando a razones como ésta del género, y de esa manera permitir la imposición de cuotas”. En su </w:t>
      </w:r>
      <w:r>
        <w:lastRenderedPageBreak/>
        <w:t xml:space="preserve">opinión, uno de los extremos que más claramente ponen en evidencia la imposibilidad de fragmentar el cuerpo electoral como poder constituido es el referido a la utilización del criterio del sexo para alentar un factor de promoción, citando al respecto la Exposición de Motivos de la propia Ley Orgánica 3/2007. </w:t>
      </w:r>
    </w:p>
    <w:p w:rsidR="0052098F" w:rsidRDefault="0052098F" w:rsidP="0052098F">
      <w:pPr>
        <w:pStyle w:val="TextoNormal"/>
      </w:pPr>
    </w:p>
    <w:p w:rsidR="0052098F" w:rsidRDefault="0052098F" w:rsidP="0052098F">
      <w:pPr>
        <w:pStyle w:val="TextoNormal"/>
      </w:pPr>
      <w:r>
        <w:t xml:space="preserve">Las normas impugnadas penetran en el contenido de un derecho fundamental regulándolo restrictivamente, imponiendo limitaciones tras hacer un mal uso de las acciones promotoras de la igualdad y afectando a los ciudadanos concretos cuando quieran presentarse a las elecciones y hayan agotado su “cupo”. Para ser elegible “ya no basta con ser español mayor de edad y sin restricciones de capacidad, inscrito en el censo electoral, sino que se debe también pertenecer al sexo al que corresponda el puesto de la candidatura. Si el partido, federación, coalición o agrupación, no encuentra un conjunto de candidatos en que estén ‘equilibrados’ hombres y mujeres, sencillamente no podrá presentarse”. </w:t>
      </w:r>
    </w:p>
    <w:p w:rsidR="0052098F" w:rsidRDefault="0052098F" w:rsidP="0052098F">
      <w:pPr>
        <w:pStyle w:val="TextoNormal"/>
      </w:pPr>
    </w:p>
    <w:p w:rsidR="0052098F" w:rsidRDefault="0052098F" w:rsidP="0052098F">
      <w:pPr>
        <w:pStyle w:val="TextoNormal"/>
      </w:pPr>
      <w:r>
        <w:t xml:space="preserve">Defienden los actores que la participación equilibrada de hombres y mujeres en las candidaturas y en la toma de decisiones representa una regla de oro incuestionable para una sociedad democrática que busca la igualdad efectiva de sexos, pero añaden que “lo que resulta ajeno a la naturaleza de la representación política y del derecho fundamental que la consagra es la imposición de esas estimaciones al cuerpo electoral como poder constituido y al ciudadano como titular del derecho de sufragio activo y pasivo”. Si el principio de participación equilibrada se convierte en mandato invasor de la libre capacidad para determinar quién se presenta y quién puede figurar en las listas, la norma menoscaba el contenido esencial del derecho a la igualdad en el acceso a cargos representativos, así como la participación política a través de elecciones, valores preservados en el art. 23 CE. “Y acto seguido generando la vulneración de quien no puede presentarse a unas elecciones en razón de su sexo (art. 14 CE), y la afectación de la libertad de expresión del pluralismo político de los partidos (art. 6 CE), que es manifestación patente de un valor propio del ordenamiento constitucional (art. 1.1 CE). Además de todo ello, repercutirá sobre las concretas previsiones de configuración de los órganos constitucionales por fragmentar y categorizar el concepto de pueblo español (art. 66 CE) y limitar el contenido del derecho de sufragio en sus vertientes activa y pasiva para las elecciones al Congreso y al Senado (art. 68.1 y 5 y 69.2 respectivamente). Como último eslabón de la cadena de repercusiones generadas por la incidencia en una institución constitucional básica, la libertad de pensamiento subyacente en la motivación de participar en los asuntos públicos [art. 20.1 a) CE], quedaría asimismo en entredicho”. </w:t>
      </w:r>
    </w:p>
    <w:p w:rsidR="0052098F" w:rsidRDefault="0052098F" w:rsidP="0052098F">
      <w:pPr>
        <w:pStyle w:val="TextoNormal"/>
      </w:pPr>
    </w:p>
    <w:p w:rsidR="0052098F" w:rsidRDefault="0052098F" w:rsidP="0052098F">
      <w:pPr>
        <w:pStyle w:val="TextoNormal"/>
      </w:pPr>
      <w:r>
        <w:t xml:space="preserve">La exposición de este primer motivo impugnatorio se cierra con la aseveración de que la medida impugnada no supera un juicio de razonabilidad y da como resultado el que “las asambleas representativas terminan siendo, mediando las cuotas, representativas del interés de los colectivos, no de las comunidades políticas respectivas”. </w:t>
      </w:r>
    </w:p>
    <w:p w:rsidR="0052098F" w:rsidRDefault="0052098F" w:rsidP="0052098F">
      <w:pPr>
        <w:pStyle w:val="TextoNormal"/>
      </w:pPr>
    </w:p>
    <w:p w:rsidR="0052098F" w:rsidRDefault="0052098F" w:rsidP="0052098F">
      <w:pPr>
        <w:pStyle w:val="TextoNormal"/>
      </w:pPr>
      <w:r>
        <w:t xml:space="preserve">b) Sostienen los Diputados recurrentes que el precepto es contrario al art. 14 CE. Dentro del campo constitucional de la igualdad caben medidas o acciones positivas que, de acuerdo con el art. 9.2 CE, tienden a conseguir una igualdad de oportunidades, colocando en un mismo punto de partida a todos aquellos que desean alcanzar una meta política, social, económica o cultural. Es, por tanto, una injerencia externa ante la pugna de individuos para que la pertenencia de éstos a un colectivo o grupo desfavorecido en general o en particular, no sea obstáculo para conseguir aquello a lo que legítimamente se aspira, singularmente si se </w:t>
      </w:r>
      <w:r>
        <w:lastRenderedPageBreak/>
        <w:t xml:space="preserve">trata de un derecho. La intervención del poder público cesa cuando se garantiza la igualdad en el punto de partida y deja de tener sentido cuando la ayuda se excede perjudicando a otros individuos en la consecución de sus derechos. Hechas estas consideraciones se añade que “las acciones de discriminación positiva tienen por ello un marco casuístico muy particular, que depende de cada circunstancia concreta y un espacio de desarrollo complejo en tanto quieran ser compatibles con el principio de igualdad ante la ley (a fin de no ser ellas mismas, nacidas de la igualdad, las que terminen menoscabándola)”. Recordando la Sentencia de la Corte Constitucional italiana se insiste en que estas medidas pueden ser adoptadas para eliminar situaciones de inferioridad social o económica o, más en general, para compensar y remover la desigualdad material entre los individuos, pero no pueden incidir directamente en el contenido mismo de los derechos rigurosamente garantizados en igual medida a todos los ciudadanos. </w:t>
      </w:r>
    </w:p>
    <w:p w:rsidR="0052098F" w:rsidRDefault="0052098F" w:rsidP="0052098F">
      <w:pPr>
        <w:pStyle w:val="TextoNormal"/>
      </w:pPr>
    </w:p>
    <w:p w:rsidR="0052098F" w:rsidRDefault="0052098F" w:rsidP="0052098F">
      <w:pPr>
        <w:pStyle w:val="TextoNormal"/>
      </w:pPr>
      <w:r>
        <w:t xml:space="preserve">En este caso se limita el derecho de sufragio pasivo en razón del sexo sin que exista siquiera la posibilidad de evaluar la concurrencia de una situación de preterición de un colectivo en el ámbito del conjunto de votantes de un territorio, estableciéndose “una suerte de presunción legislativa convalidante que supera la concurrencia de las situaciones de postergación de un colectivo en razón de su género, en cada uno de los territorios que van a participar en la consulta”. Ni siquiera a efectos dialécticos puede aplicarse un test constitucional en el que se valore la finalidad, razonabilidad y proporcionalidad de la norma presuntamente promotora de la igualdad, en los términos de las SSTC 114/1987, 123/1987, 209/1988 ó 46/1999, o de la STEDH de 12 de enero de 2006, asunto Mizzi, entre otras muchas. En esta última resolución se señala que una diferencia de trato es discriminatoria si carece de una justificación objetiva y razonable, por no perseguir un fin legítimo o por no guardar una relación razonable de proporcionalidad entre los medios empleados y el fin que se pretende conseguir, siendo así que aquí se pretende la paridad limitando el derecho fundamental del colectivo al que se aspira a promocionar. Se cita igualmente el Dictamen del Consejo de Estado núm. 803/2006, de 22 de junio, que hace hincapié en la utilización de medidas de fomento sobre las coercitivas. </w:t>
      </w:r>
    </w:p>
    <w:p w:rsidR="0052098F" w:rsidRDefault="0052098F" w:rsidP="0052098F">
      <w:pPr>
        <w:pStyle w:val="TextoNormal"/>
      </w:pPr>
    </w:p>
    <w:p w:rsidR="0052098F" w:rsidRDefault="0052098F" w:rsidP="0052098F">
      <w:pPr>
        <w:pStyle w:val="TextoNormal"/>
      </w:pPr>
      <w:r>
        <w:t xml:space="preserve">Las cuotas aplicadas al derecho de sufragio generan hacia quienes pretendan formar parte de las candidaturas y no puedan hacerlo por sobrepasar los optantes de su género un número mayor al legalmente establecido una vulneración de su derecho a la igualdad por razón de su sexo, que se suma a la ya argumentada violación de su derecho de acceso a los cargos públicos representativos, sin que esta desigualdad pueda ser “exculpada como medida de discriminación positiva en los términos expresados por el propio Tribunal en resoluciones como las SSTC 28/1992, 3/1993, 216/1991 y 16/1995, entre otras”. Además, el legislador no ha explicado las razones de esta medida de discriminación positiva, de modo que carece de la motivación que la valida como excepción al tratamiento general. </w:t>
      </w:r>
    </w:p>
    <w:p w:rsidR="0052098F" w:rsidRDefault="0052098F" w:rsidP="0052098F">
      <w:pPr>
        <w:pStyle w:val="TextoNormal"/>
      </w:pPr>
    </w:p>
    <w:p w:rsidR="0052098F" w:rsidRDefault="0052098F" w:rsidP="0052098F">
      <w:pPr>
        <w:pStyle w:val="TextoNormal"/>
      </w:pPr>
      <w:r>
        <w:t xml:space="preserve">Señalan por otra parte los Diputados recurrentes que es justamente en los supuestos excepcionados por los nuevos arts. 187.2 y 201.3 LOREG donde resulta más manifiesta la tradicionalmente escasa participación de la mujer. De modo que la utilización selectiva del art. 14 CE en atención a la remoción de obstáculos (art. 9.2 CE) deriva en una negación de la premisa mayor justificativa de la norma en la que se encuentra el precepto impugnado: las mujeres y hombres en estos núcleos carecen de la posibilidad de estar representados equilibradamente. </w:t>
      </w:r>
    </w:p>
    <w:p w:rsidR="0052098F" w:rsidRDefault="0052098F" w:rsidP="0052098F">
      <w:pPr>
        <w:pStyle w:val="TextoNormal"/>
      </w:pPr>
    </w:p>
    <w:p w:rsidR="0052098F" w:rsidRDefault="0052098F" w:rsidP="0052098F">
      <w:pPr>
        <w:pStyle w:val="TextoNormal"/>
      </w:pPr>
      <w:r>
        <w:lastRenderedPageBreak/>
        <w:t xml:space="preserve">La exposición de este segundo motivo impugnatorio concluye con la formulación del reproche de que la medida no supera el escrutinio de razonabilidad de la más mínima exigencia de idoneidad, necesidad, proporcionalidad, objetividad y transitoriedad. A lo que se añade que “la oportunidad que genera se convierte en resultado y se impone a la garantía ya reconocida y consagrada”. </w:t>
      </w:r>
    </w:p>
    <w:p w:rsidR="0052098F" w:rsidRDefault="0052098F" w:rsidP="0052098F">
      <w:pPr>
        <w:pStyle w:val="TextoNormal"/>
      </w:pPr>
    </w:p>
    <w:p w:rsidR="0052098F" w:rsidRDefault="0052098F" w:rsidP="0052098F">
      <w:pPr>
        <w:pStyle w:val="TextoNormal"/>
      </w:pPr>
      <w:r>
        <w:t xml:space="preserve">c) Seguidamente se examinan las repercusiones de la norma impugnada en otros preceptos constitucionales. </w:t>
      </w:r>
    </w:p>
    <w:p w:rsidR="0052098F" w:rsidRDefault="0052098F" w:rsidP="0052098F">
      <w:pPr>
        <w:pStyle w:val="TextoNormal"/>
      </w:pPr>
    </w:p>
    <w:p w:rsidR="0052098F" w:rsidRDefault="0052098F" w:rsidP="0052098F">
      <w:pPr>
        <w:pStyle w:val="TextoNormal"/>
      </w:pPr>
      <w:r>
        <w:t xml:space="preserve">En primer término sostienen los Diputados recurrentes que la disposición adicional segunda de la Ley Orgánica 3/2007, de 22 de marzo, vulnera el art. 6 CE, en relación con el art. 22.1 CE. Para los actores el legislador habría suprimido la esfera de autodeterminación asociativa (libertad de organización y funcionamiento interno), ignorando que las funciones constitucionales de canalización de voto, encomendadas a los partidos, condicionan sus caracteres asociativos pero no los alienan hasta hacerlos irreconocibles. La STC 56/1995, FJ 3, referida a un partido político, declara que el legislador deberá respetar, además del contenido esencial del derecho de participación, el contenido de otros derechos con los que éste guarda íntima relación, como son el derecho de libre creación y, muy especialmente, el derecho de autoorganización del partido. La libre actividad de los partidos políticos está proclamada, en cualquier caso, directamente en el art. 6 CE y esta proclamación se ha reiterado en el art. 9.1 de la Ley Orgánica 6/2002, de 27 de junio. Formar libremente las candidaturas electorales es un acto capital de ejercicio de la función constitucional asignada a los partidos: servir de cauce a la participación política (STC 10/1983, FJ 3). </w:t>
      </w:r>
    </w:p>
    <w:p w:rsidR="0052098F" w:rsidRDefault="0052098F" w:rsidP="0052098F">
      <w:pPr>
        <w:pStyle w:val="TextoNormal"/>
      </w:pPr>
    </w:p>
    <w:p w:rsidR="0052098F" w:rsidRDefault="0052098F" w:rsidP="0052098F">
      <w:pPr>
        <w:pStyle w:val="TextoNormal"/>
      </w:pPr>
      <w:r>
        <w:t xml:space="preserve">De lo anterior se deduce, para los Diputados recurrentes, que el precepto impugnado supone una clara restricción de la libre actividad de los partidos políticos en la formación de candidaturas para las elecciones afectadas. “El despropósito de la restricción se muestra claro, además, cuando se piensa que la Ley Orgánica impide que un partido feminista reivindicativo (que base su actuación política, por ejemplo, en la máxima de que sólo las mujeres saben verdaderamente defender los intereses de las mujeres) presente una lista formada exclusivamente por candidatas. Esta hipótesis, que no es de laboratorio ni propia de ninguna minoría, como ocurre con la candidatura presentada por el Partido Popular en el municipio tinerfeño de Garachico, conduce derechamente a evidenciar el ataque frontal contra el pluralismo político (art. 1.1 CE) de la concepción encerrada tras este tipo de normas electorales, perfilando candidatos y relegando al partido en sus opciones de selección.” </w:t>
      </w:r>
    </w:p>
    <w:p w:rsidR="0052098F" w:rsidRDefault="0052098F" w:rsidP="0052098F">
      <w:pPr>
        <w:pStyle w:val="TextoNormal"/>
      </w:pPr>
    </w:p>
    <w:p w:rsidR="0052098F" w:rsidRDefault="0052098F" w:rsidP="0052098F">
      <w:pPr>
        <w:pStyle w:val="TextoNormal"/>
      </w:pPr>
      <w:r>
        <w:t xml:space="preserve">En segundo término se denuncia la vulneración del art. 68.5 CE, donde se perfila una valoración del constituyente opuesta a la distinción interna de categorías personales entre los elegibles. La unidad de la Constitución a efectos interpretativos invita a mirar la valoración constitucional implícita en el art. 68.5 CE a la hora de examinar la compatibilidad del precepto legal impugnado con los arts. 14 y 23.2 CE. De nuevo se subraya que la introducción de categorías de género alterando el derecho fundamental de acceso a cargos públicos representativos no cabe sin reforma de la Constitución. Así se deduce de la valoración constitucional implícita en la configuración del derecho de sufragio pasivo en las elecciones al Congreso de los Diputados plasmado en el primer párrafo del art. 68.5 CE en relación con el art. 66.1 CE. </w:t>
      </w:r>
    </w:p>
    <w:p w:rsidR="0052098F" w:rsidRDefault="0052098F" w:rsidP="0052098F">
      <w:pPr>
        <w:pStyle w:val="TextoNormal"/>
      </w:pPr>
    </w:p>
    <w:p w:rsidR="0052098F" w:rsidRDefault="0052098F" w:rsidP="0052098F">
      <w:pPr>
        <w:pStyle w:val="TextoNormal"/>
      </w:pPr>
      <w:r>
        <w:lastRenderedPageBreak/>
        <w:t xml:space="preserve">Finalmente, los Diputados recurrentes sostienen que la reforma quiebra incluso la libertad ideológica (art. 16.1 CE) y de difusión del propio pensamiento por parte de personas o partidos [art. 20.1 a) CE]. Se aprueba una ley que impide la existencia de candidaturas o partidos compuestas sólo por hombres, o por mujeres, para defender ante la sociedad lo que estimen pertinente, por razón de los intereses de género que consideren oportunos o, más sencillamente, porque quieren hacer uso del derecho constitucional de asociarse y concurrir a las elecciones en compañía de los afines que compartan ideario. </w:t>
      </w:r>
    </w:p>
    <w:p w:rsidR="0052098F" w:rsidRDefault="0052098F" w:rsidP="0052098F">
      <w:pPr>
        <w:pStyle w:val="TextoNormal"/>
      </w:pPr>
    </w:p>
    <w:p w:rsidR="0052098F" w:rsidRDefault="0052098F" w:rsidP="0052098F">
      <w:pPr>
        <w:pStyle w:val="TextoNormal"/>
      </w:pPr>
      <w:r>
        <w:t xml:space="preserve">d) El escrito de demanda se cierra con un apartado denominado “conclusión y precisiones del objeto”. </w:t>
      </w:r>
    </w:p>
    <w:p w:rsidR="0052098F" w:rsidRDefault="0052098F" w:rsidP="0052098F">
      <w:pPr>
        <w:pStyle w:val="TextoNormal"/>
      </w:pPr>
    </w:p>
    <w:p w:rsidR="0052098F" w:rsidRDefault="0052098F" w:rsidP="0052098F">
      <w:pPr>
        <w:pStyle w:val="TextoNormal"/>
      </w:pPr>
      <w:r>
        <w:t xml:space="preserve">Aquí se indica que el segundo párrafo del apartado uno de la disposición adicional segunda de la Ley Orgánica 3/2007 pudiera ser constitucional al referirse al cumplimiento del principio general de composición equilibrada, animando a las Comunidades Autónomas a favorecer la presencia de las mujeres en las candidaturas. En cualquier caso, para llegar a esta conclusión sería preciso expulsar del Ordenamiento el primer párrafo del nuevo art. 44 bis.1 LOREG. De interpretarse la adecuación del primer y último párrafo de esta norma, la lectura no puede ser otra que la convivencia de ambas instrucciones para concluir que el nuevo art. 44 bis.1 LOREG establece una representación mínima por sexos, dando cobertura a las previsiones autonómicas que elevan el mínimo allí establecido, en cuyo caso ese segundo párrafo también sería inconstitucional. </w:t>
      </w:r>
    </w:p>
    <w:p w:rsidR="0052098F" w:rsidRDefault="0052098F" w:rsidP="0052098F">
      <w:pPr>
        <w:pStyle w:val="TextoNormal"/>
      </w:pPr>
    </w:p>
    <w:p w:rsidR="0052098F" w:rsidRDefault="0052098F" w:rsidP="0052098F">
      <w:pPr>
        <w:pStyle w:val="TextoNormal"/>
      </w:pPr>
      <w:r>
        <w:t>Las excepciones introducidas en los arts. 187.2 y 201.3 LOREG pierden su razón de ser ante la inconstitucionalidad de la adición operada por el nuevo art. 44 bis LOREG. También quedaría afectada la modificación del apartado segundo de la disposición adicional primera LOREG en la medida en que se refiere al art. 44 bis y la moratoria de la nueva disposición transitoria séptima.</w:t>
      </w:r>
    </w:p>
    <w:p w:rsidR="0052098F" w:rsidRDefault="0052098F" w:rsidP="0052098F">
      <w:pPr>
        <w:pStyle w:val="TextoNormal"/>
      </w:pPr>
    </w:p>
    <w:p w:rsidR="0052098F" w:rsidRDefault="0052098F" w:rsidP="0052098F">
      <w:pPr>
        <w:pStyle w:val="TextoNormal"/>
      </w:pPr>
      <w:r w:rsidRPr="0052098F">
        <w:rPr>
          <w:rStyle w:val="NumeroAFNegritaCaracter"/>
        </w:rPr>
        <w:t>11</w:t>
      </w:r>
      <w:r>
        <w:t xml:space="preserve">. Por providencia de 12 de de julio de 2007 el Pleno de este Tribunal acordó admitir a trámite el recurso de inconstitucionalidad promovido por más de cincuenta Diputados del Grupo Parlamentario Popular del Congreso de los Diputados contra la disposición adicional segunda de la Ley Orgánica 3/2007, de 22 de marzo; dar traslado de las actuaciones recibidas, conforme establece el art. 34 LOTC, al Congreso de los Diputados y al Senado, por conducto de sus Presidentes y al Gobierno, por conducto del Ministerio de Justicia, al objeto de que en el plazo de quince días pudieran personarse en el proceso y formular las alegaciones que estimasen pertinentes y, finalmente, publicar la incoación de la cuestión en el Boletín Oficial del Estado. </w:t>
      </w:r>
    </w:p>
    <w:p w:rsidR="0052098F" w:rsidRDefault="0052098F" w:rsidP="0052098F">
      <w:pPr>
        <w:pStyle w:val="TextoNormal"/>
      </w:pPr>
    </w:p>
    <w:p w:rsidR="0052098F" w:rsidRDefault="0052098F" w:rsidP="0052098F">
      <w:pPr>
        <w:pStyle w:val="TextoNormal"/>
      </w:pPr>
      <w:r>
        <w:t>Dicha publicación se llevó a efecto en el “Boletín Oficial del Estado” núm. 178, de 26 de julio de 2007.</w:t>
      </w:r>
    </w:p>
    <w:p w:rsidR="0052098F" w:rsidRDefault="0052098F" w:rsidP="0052098F">
      <w:pPr>
        <w:pStyle w:val="TextoNormal"/>
      </w:pPr>
    </w:p>
    <w:p w:rsidR="0052098F" w:rsidRDefault="0052098F" w:rsidP="0052098F">
      <w:pPr>
        <w:pStyle w:val="TextoNormal"/>
      </w:pPr>
      <w:r w:rsidRPr="0052098F">
        <w:rPr>
          <w:rStyle w:val="NumeroAFNegritaCaracter"/>
        </w:rPr>
        <w:t>12</w:t>
      </w:r>
      <w:r>
        <w:t xml:space="preserve">. Con fecha 30 de julio de 2007 el Abogado del Estado, actuando en la representación que legalmente ostenta, se personó en nombre del Gobierno en el recurso de inconstitucionalidad núm. 5653-2007, solicitando una prórroga del plazo conferido para formular alegaciones. </w:t>
      </w:r>
    </w:p>
    <w:p w:rsidR="0052098F" w:rsidRDefault="0052098F" w:rsidP="0052098F">
      <w:pPr>
        <w:pStyle w:val="TextoNormal"/>
      </w:pPr>
    </w:p>
    <w:p w:rsidR="0052098F" w:rsidRDefault="0052098F" w:rsidP="0052098F">
      <w:pPr>
        <w:pStyle w:val="TextoNormal"/>
      </w:pPr>
      <w:r>
        <w:t>El Pleno del Tribunal Constitucional accedió a lo solicitado por providencia de 31 de julio de 2007, prorrogando en ocho días más el plazo.</w:t>
      </w:r>
    </w:p>
    <w:p w:rsidR="0052098F" w:rsidRDefault="0052098F" w:rsidP="0052098F">
      <w:pPr>
        <w:pStyle w:val="TextoNormal"/>
      </w:pPr>
    </w:p>
    <w:p w:rsidR="0052098F" w:rsidRDefault="0052098F" w:rsidP="0052098F">
      <w:pPr>
        <w:pStyle w:val="TextoNormal"/>
      </w:pPr>
      <w:r w:rsidRPr="0052098F">
        <w:rPr>
          <w:rStyle w:val="NumeroAFNegritaCaracter"/>
        </w:rPr>
        <w:t>13</w:t>
      </w:r>
      <w:r>
        <w:t>. El 5 de septiembre de 2007 el Presidente del Senado interesó que se tuviera por personada dicha Cámara en el recurso de inconstitucionalidad núm. 5653-2007 y por ofrecida su colaboración a los efectos del art. 88.1 LOTC.</w:t>
      </w:r>
    </w:p>
    <w:p w:rsidR="0052098F" w:rsidRDefault="0052098F" w:rsidP="0052098F">
      <w:pPr>
        <w:pStyle w:val="TextoNormal"/>
      </w:pPr>
    </w:p>
    <w:p w:rsidR="0052098F" w:rsidRDefault="0052098F" w:rsidP="0052098F">
      <w:pPr>
        <w:pStyle w:val="TextoNormal"/>
      </w:pPr>
      <w:r w:rsidRPr="0052098F">
        <w:rPr>
          <w:rStyle w:val="NumeroAFNegritaCaracter"/>
        </w:rPr>
        <w:t>14</w:t>
      </w:r>
      <w:r>
        <w:t xml:space="preserve">. El 12 de septiembre de 2007 formuló alegaciones la Abogacía del Estado, que, tras reiterar los argumentos esgrimidos en la cuestión de inconstitucionalidad núm. 4069-2007 en defensa de la constitucionalidad del precepto impugnado, y que han sido sintetizados en el antecedente sexto de esta resolución, pasa a responder a la denuncia de vulneración de los arts. 68.5, 16.1 y 20.1 a) CE. </w:t>
      </w:r>
    </w:p>
    <w:p w:rsidR="0052098F" w:rsidRDefault="0052098F" w:rsidP="0052098F">
      <w:pPr>
        <w:pStyle w:val="TextoNormal"/>
      </w:pPr>
    </w:p>
    <w:p w:rsidR="0052098F" w:rsidRDefault="0052098F" w:rsidP="0052098F">
      <w:pPr>
        <w:pStyle w:val="TextoNormal"/>
      </w:pPr>
      <w:r>
        <w:t xml:space="preserve">En cuanto a la vulneración del art. 68.5 CE, se indica que en las consideraciones efectuadas con respecto a las relaciones entre soberanía y representación queda suficientemente explicitada la concepción del género como una categoría universal, así como los argumentos que permiten rechazar la idea de que la democracia paritaria supone la división del cuerpo electoral en razón de sexo. Por lo que atañe a la denuncia de vulneración de los otros dos preceptos constitucionales, apunta la Abogacía del Estado que la misma carece de la más mínima argumentación pues el escrito de demanda no ofrece razonamiento alguno que permita fundamentar la vulneración de estos derechos por la adicional recurrida, de modo que el recurso no levanta aquí la carta de alegar que pesa sobre los actores (por todas, SSTC 233/1999, de 16 de diciembre, FJ 2; 164/2001, de 11 de julio, FF JJ 3 y 18; 206/2001, de 22 de octubre, FJ 28; 96/2002, de 25 de abril, FJ 4; 48/2003, de 12 de marzo, FJ 3; 100/2005, de 19 de abril, FJ 3, y 112/2006, de 5 de abril, FJ 19). A mayor abundamiento se destaca que, toda vez que el art. 44 bis LOREG no toma en consideración cuál sea la ideología de los candidatos, no se aprecia en qué medida puede llegar a suponer una vulneración del art. 20.1 a) CE. </w:t>
      </w:r>
    </w:p>
    <w:p w:rsidR="0052098F" w:rsidRDefault="0052098F" w:rsidP="0052098F">
      <w:pPr>
        <w:pStyle w:val="TextoNormal"/>
      </w:pPr>
    </w:p>
    <w:p w:rsidR="0052098F" w:rsidRDefault="0052098F" w:rsidP="0052098F">
      <w:pPr>
        <w:pStyle w:val="TextoNormal"/>
      </w:pPr>
      <w:r>
        <w:t xml:space="preserve">Finalmente se examinan las precisiones sobre el objeto del recurso que figuran en la última parte de la demanda. Al respecto se indica que con la introducción del inciso final del art. 44 bis.1 LOREG el legislador estatal, plenamente respetuoso con la libertad de configuración del legislador autonómico, habilita a éste para ampliar los porcentajes de presencia en las listas electorales. La regulación electoral no se agota con el contenido de la LOREG, ley estatal en la que se fijan unos topes mínimos y máximos de candidatos de cada sexo en las candidaturas, sino que serán finalmente las respectivas leyes autonómicas reguladoras de los regímenes electorales las que formulen una determinada opción, señalando los concretos porcentajes de presencia de cada sexo, con respeto a los umbrales estatales y sin que ello suponga, necesariamente, decantarse por el 50 por 100 (41-59, 42-58…). </w:t>
      </w:r>
    </w:p>
    <w:p w:rsidR="0052098F" w:rsidRDefault="0052098F" w:rsidP="0052098F">
      <w:pPr>
        <w:pStyle w:val="TextoNormal"/>
      </w:pPr>
    </w:p>
    <w:p w:rsidR="0052098F" w:rsidRDefault="0052098F" w:rsidP="0052098F">
      <w:pPr>
        <w:pStyle w:val="TextoNormal"/>
      </w:pPr>
      <w:r>
        <w:t xml:space="preserve">En cuanto a los apartados segundo y tercero, que modifican los arts. 187 y 201 LOREG, y quinto, que añade una nueva disposición transitoria séptima al mismo cuerpo legal, se apunta que los criterios de población manejados en los primeros y la moratoria establecida en este último resultan de todo punto proporcionados al fin perseguido con la reforma legal cuestionada. No parece que un sistema de exigencia de listas paritarias pudiera llegar a imponerse de una sola vez y para todos los niveles electorales. Resulta sumamente probable que en algunos procesos electorales pudieran hacerse inviables estas medidas, como podría ocurrir en las elecciones locales o insulares de escasos habitantes, que se verían imposibilitadas para formar listas cumplimentando las exigencias de paridad. Tales circunstancias justifican la introducción de una cadencia temporal en la aplicación de la norma, así como </w:t>
      </w:r>
      <w:r>
        <w:lastRenderedPageBreak/>
        <w:t xml:space="preserve">las excepciones previstas. Así, para la Abogacía del Estado, “dada la muy diversa naturaleza que presentan los procesos electorales locales, autonómicos, nacionales y europeos, las confecciones de sus respectivas listas han de permitir márgenes diferentes en cada uno de los casos, conduciendo ello también a diferenciar de algún modo la exigencia de paridad. La reforma electoral permite con tales excepciones que la libertad de los partidos políticos resulte respetada ante la dificultad que para algunos de ellos pueda suponer hoy día el conseguir candidatas en los municipios y en las islas de menor población”. </w:t>
      </w:r>
    </w:p>
    <w:p w:rsidR="0052098F" w:rsidRDefault="0052098F" w:rsidP="0052098F">
      <w:pPr>
        <w:pStyle w:val="TextoNormal"/>
      </w:pPr>
    </w:p>
    <w:p w:rsidR="0052098F" w:rsidRDefault="0052098F" w:rsidP="0052098F">
      <w:pPr>
        <w:pStyle w:val="TextoNormal"/>
      </w:pPr>
      <w:r>
        <w:t xml:space="preserve">Por lo que hace al apartado cuarto, que modifica la disposición adicional primera LOREG para incluir la mención expresa al nuevo art. 44 bis de dicha Ley Orgánica, se remite la Abogacía del Estado a los argumentos expuestos en defensa de la constitucionalidad de este último precepto. </w:t>
      </w:r>
    </w:p>
    <w:p w:rsidR="0052098F" w:rsidRDefault="0052098F" w:rsidP="0052098F">
      <w:pPr>
        <w:pStyle w:val="TextoNormal"/>
      </w:pPr>
    </w:p>
    <w:p w:rsidR="0052098F" w:rsidRDefault="0052098F" w:rsidP="0052098F">
      <w:pPr>
        <w:pStyle w:val="TextoNormal"/>
      </w:pPr>
      <w:r>
        <w:t>En virtud de todo ello la Abogacía del Estado solicita que se dicte Sentencia desestimatoria del recurso de inconstitucionalidad.</w:t>
      </w:r>
    </w:p>
    <w:p w:rsidR="0052098F" w:rsidRDefault="0052098F" w:rsidP="0052098F">
      <w:pPr>
        <w:pStyle w:val="TextoNormal"/>
      </w:pPr>
    </w:p>
    <w:p w:rsidR="0052098F" w:rsidRDefault="0052098F" w:rsidP="0052098F">
      <w:pPr>
        <w:pStyle w:val="TextoNormal"/>
      </w:pPr>
      <w:r w:rsidRPr="0052098F">
        <w:rPr>
          <w:rStyle w:val="NumeroAFNegritaCaracter"/>
        </w:rPr>
        <w:t>15</w:t>
      </w:r>
      <w:r>
        <w:t>. El día 13 de septiembre 2007 el Presidente del Congreso de los Diputados comunicó a este Tribunal Constitucional el acuerdo adoptado por la Mesa de la Cámara en reunión celebrada el anterior día 4, dando por personada a la Cámara en el recurso de inconstitucionalidad núm. 5653-2007 y por ofrecida su colaboración a los efectos del art. 88.1 LOTC.</w:t>
      </w:r>
    </w:p>
    <w:p w:rsidR="0052098F" w:rsidRDefault="0052098F" w:rsidP="0052098F">
      <w:pPr>
        <w:pStyle w:val="TextoNormal"/>
      </w:pPr>
    </w:p>
    <w:p w:rsidR="0052098F" w:rsidRDefault="0052098F" w:rsidP="0052098F">
      <w:pPr>
        <w:pStyle w:val="TextoNormal"/>
      </w:pPr>
      <w:r w:rsidRPr="0052098F">
        <w:rPr>
          <w:rStyle w:val="NumeroAFNegritaCaracter"/>
        </w:rPr>
        <w:t>16</w:t>
      </w:r>
      <w:r>
        <w:t>. Mediante Auto de 17 de diciembre de 2007 el Pleno de este Tribunal acordó acumular el recurso de inconstitucionalidad núm. 5653-2007 a la cuestión de inconstitucionalidad núm. 4069-2007.</w:t>
      </w:r>
    </w:p>
    <w:p w:rsidR="0052098F" w:rsidRDefault="0052098F" w:rsidP="0052098F">
      <w:pPr>
        <w:pStyle w:val="TextoNormal"/>
      </w:pPr>
    </w:p>
    <w:p w:rsidR="0052098F" w:rsidRDefault="0052098F" w:rsidP="0052098F">
      <w:pPr>
        <w:pStyle w:val="TextoNormal"/>
      </w:pPr>
      <w:r w:rsidRPr="0052098F">
        <w:rPr>
          <w:rStyle w:val="NumeroAFNegritaCaracter"/>
        </w:rPr>
        <w:t>17</w:t>
      </w:r>
      <w:r>
        <w:t>. Por providencia de 28 de enero de 2008 se señaló para deliberación y votación de la presente Sentencia el día 29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En la cuestión de inconstitucionalidad núm. 4069-2007 el Juzgado de lo Contencioso- Administrativo núm. 1 de Santa Cruz de Tenerife plantea las dudas que le suscita la constitucionalidad del art. 44 bis de la Ley Orgánica 5/1985, de 19 de junio, del régimen electoral general, introducido por la disposición adicional segunda de la Ley Orgánica 3/2007, de 22 de marzo, para la igualdad efectiva de mujeres y hombres (en adelante, LOIMH). Por su parte, en el recurso de inconstitucionalidad núm.  5653-2007 interpuesto por más de cincuenta Diputados del Grupo Parlamentario Popular del Congreso de los Diputados se impugnan las diferentes modificaciones de la Ley Orgánica del régimen electoral general (en adelante, LOREG) contenidas en dicha disposición adicional; esto es, en cuanto, además de introducir el nuevo art. 44 bis LOREG, modifica otros preceptos de la Ley electoral, concretamente sus arts. 187.2 y 201.3 y la disposición adicional primera, añadiéndole una nueva disposición transitoria, la séptima.</w:t>
      </w:r>
    </w:p>
    <w:p w:rsidR="0052098F" w:rsidRDefault="0052098F" w:rsidP="0052098F">
      <w:pPr>
        <w:pStyle w:val="TextoNormal"/>
      </w:pPr>
      <w:r>
        <w:t>Básicamente el Auto de planteamiento de la cuestión de inconstitucionalidad elevada por el Juzgado de lo Contencioso-Administrativo núm. 1 de Santa Cruz de Tenerife, así como el escrito de demanda formulado por los Diputados del Grupo Parlamentario Popular del Congreso de los Diputados recurrentes, reprochan a los preceptos legales controvertidos —</w:t>
      </w:r>
      <w:r>
        <w:lastRenderedPageBreak/>
        <w:t>el nuevo art. 44 bis LOREG en el primer caso, y las diversas modificaciones introducidas en el articulado de esta Ley Orgánica por la disposición adicional segunda LOIMH en el segundo— la vulneración de los arts. 14 y 23 CE.  Además se denuncia la vulneración del art. 6 en relación con el 22 CE y, en el recurso de inconstitucionalidad también la de los arts. 16.1, 20.1 a) y 68.5, todos de la CE.  Los motivos esgrimidos al efecto se han expuesto con detalle en los antecedentes de la presente resolución, donde se ha referido igualmente que el Fiscal General del Estado y la Abogacía del Estado defienden la plena conformidad de las normas controvertidas con la Constitución.</w:t>
      </w:r>
    </w:p>
    <w:p w:rsidR="0052098F" w:rsidRDefault="0052098F" w:rsidP="0052098F">
      <w:pPr>
        <w:pStyle w:val="TextoNormal"/>
      </w:pPr>
      <w:r>
        <w:t>La literalidad del nuevo art. 44 bis LOREG es la siguiente:</w:t>
      </w:r>
    </w:p>
    <w:p w:rsidR="0052098F" w:rsidRDefault="0052098F" w:rsidP="0052098F">
      <w:pPr>
        <w:pStyle w:val="TextoNormal"/>
      </w:pPr>
      <w:r>
        <w:t>“1. Las candidaturas que se presenten para las elecciones de diputados al Congreso, municipales y de miembros de los consejos insulares y de los cabildos insulares canarios en los términos previstos en esta Ley, diputados al Parlamento Europeo y miembros de las Asambleas Legislativas de las Comunidades Autónomas deberán tener una composición equilibrada de mujeres y hombres, de forma que en el conjunto de la lista los candidatos de cada uno de los sexos supongan como mínimo el cuarenta por ciento.  Cuando el número de puestos a cubrir sea inferior a cinco, la proporción de mujeres y hombres será lo más cercana posible al equilibrio numérico.  En las elecciones de miembros de las Asambleas Legislativas de las Comunidades Autónomas, las leyes reguladoras de sus respectivos regímenes electorales podrán establecer medidas que favorezcan una mayor presencia de mujeres en las candidaturas que se presenten a las Elecciones de las citadas Asambleas Legislativas.</w:t>
      </w:r>
    </w:p>
    <w:p w:rsidR="0052098F" w:rsidRDefault="0052098F" w:rsidP="0052098F">
      <w:pPr>
        <w:pStyle w:val="TextoNormal"/>
      </w:pPr>
    </w:p>
    <w:p w:rsidR="0052098F" w:rsidRDefault="0052098F" w:rsidP="0052098F">
      <w:pPr>
        <w:pStyle w:val="TextoNormal"/>
      </w:pPr>
      <w:r w:rsidRPr="0052098F">
        <w:rPr>
          <w:rStyle w:val="NumeroAFNegritaCaracter"/>
        </w:rPr>
        <w:t>2</w:t>
      </w:r>
      <w:r>
        <w:t>. También se mantendrá la proporción mínima del cuarenta por ciento en cada tramo de cinco puestos. Cuando el último tramo de la lista no alcance los cinco puestos, la referida proporción de mujeres y hombres en ese tramo será lo más cercana posible al equilibrio numérico, aunque deberá mantenerse en cualquier caso la proporción exigible respecto del conjunto de la lista.</w:t>
      </w:r>
    </w:p>
    <w:p w:rsidR="0052098F" w:rsidRDefault="0052098F" w:rsidP="0052098F">
      <w:pPr>
        <w:pStyle w:val="TextoNormal"/>
      </w:pPr>
    </w:p>
    <w:p w:rsidR="0052098F" w:rsidRDefault="0052098F" w:rsidP="0052098F">
      <w:pPr>
        <w:pStyle w:val="TextoNormal"/>
      </w:pPr>
      <w:r w:rsidRPr="0052098F">
        <w:rPr>
          <w:rStyle w:val="NumeroAFNegritaCaracter"/>
        </w:rPr>
        <w:t>3</w:t>
      </w:r>
      <w:r>
        <w:t>. A las listas de suplentes se aplicarán las reglas contenidas en los anteriores apartados.</w:t>
      </w:r>
    </w:p>
    <w:p w:rsidR="0052098F" w:rsidRDefault="0052098F" w:rsidP="0052098F">
      <w:pPr>
        <w:pStyle w:val="TextoNormal"/>
      </w:pPr>
    </w:p>
    <w:p w:rsidR="0052098F" w:rsidRDefault="0052098F" w:rsidP="0052098F">
      <w:pPr>
        <w:pStyle w:val="TextoNormal"/>
      </w:pPr>
      <w:r w:rsidRPr="0052098F">
        <w:rPr>
          <w:rStyle w:val="NumeroAFNegritaCaracter"/>
        </w:rPr>
        <w:t>4</w:t>
      </w:r>
      <w:r>
        <w:t>. Cuando las candidaturas para el Senado se agrupen en listas, de acuerdo con lo dispuesto en el artículo 171 de esta Ley, tales listas deberán tener igualmente una composición equilibrada de mujeres y hombres, de forma que la proporción de unas y otros sea lo más cercana posible al equilibrio numérico”.</w:t>
      </w:r>
    </w:p>
    <w:p w:rsidR="0052098F" w:rsidRDefault="0052098F" w:rsidP="0052098F">
      <w:pPr>
        <w:pStyle w:val="TextoNormal"/>
      </w:pPr>
      <w:r>
        <w:t>Por otro lado se añade un nuevo párrafo al apartado 2 del art. 187, redactado en los siguientes términos:</w:t>
      </w:r>
    </w:p>
    <w:p w:rsidR="0052098F" w:rsidRDefault="0052098F" w:rsidP="0052098F">
      <w:pPr>
        <w:pStyle w:val="TextoNormal"/>
      </w:pPr>
      <w:r>
        <w:t>“Lo previsto en el artículo 44 bis de esta Ley no será exigible en las candidaturas que se presenten en los municipios con un número de residentes igual o inferior a 3.000 habitantes”.</w:t>
      </w:r>
    </w:p>
    <w:p w:rsidR="0052098F" w:rsidRDefault="0052098F" w:rsidP="0052098F">
      <w:pPr>
        <w:pStyle w:val="TextoNormal"/>
      </w:pPr>
      <w:r>
        <w:t>También se añade el siguiente nuevo párrafo al apartado 3 del art. 201:</w:t>
      </w:r>
    </w:p>
    <w:p w:rsidR="0052098F" w:rsidRDefault="0052098F" w:rsidP="0052098F">
      <w:pPr>
        <w:pStyle w:val="TextoNormal"/>
      </w:pPr>
      <w:r>
        <w:t>“Lo previsto en el artículo 44 bis de esta Ley no será exigible en las candidaturas que se presenten en las islas con un número de residentes igual o inferior a 5.000 habitantes”.</w:t>
      </w:r>
    </w:p>
    <w:p w:rsidR="0052098F" w:rsidRDefault="0052098F" w:rsidP="0052098F">
      <w:pPr>
        <w:pStyle w:val="TextoNormal"/>
      </w:pPr>
      <w:r>
        <w:t>La reforma de la disposición adicional primera de la Ley electoral consiste en la modificación de su apartado 2 al objeto de introducir el nuevo art. 44 bis LOREG entre los preceptos que serán aplicables a las elecciones a Asambleas Legislativas de Comunidades Autónomas.</w:t>
      </w:r>
    </w:p>
    <w:p w:rsidR="0052098F" w:rsidRDefault="0052098F" w:rsidP="0052098F">
      <w:pPr>
        <w:pStyle w:val="TextoNormal"/>
      </w:pPr>
      <w:r>
        <w:t>Por último se incorpora una nueva disposición transitoria séptima a la Ley electoral redactada en los siguientes términos:</w:t>
      </w:r>
    </w:p>
    <w:p w:rsidR="0052098F" w:rsidRDefault="0052098F" w:rsidP="0052098F">
      <w:pPr>
        <w:pStyle w:val="TextoNormal"/>
      </w:pPr>
      <w:r>
        <w:lastRenderedPageBreak/>
        <w:t>“En las convocatorias a elecciones municipales que se produzcan antes de 2011, lo previsto en el artículo 44 bis sólo será exigible en los municipios con un número de residentes superior a 5.000 habitantes, aplicándose a partir del 1 de enero de ese año la cifra de habitantes prevista en el segundo párrafo del apartado 2 del artículo 187 de la presente Ley”.</w:t>
      </w:r>
    </w:p>
    <w:p w:rsidR="0052098F" w:rsidRDefault="0052098F" w:rsidP="0052098F">
      <w:pPr>
        <w:pStyle w:val="TextoNormal"/>
      </w:pPr>
      <w:r>
        <w:t>2. La disposición adicional impugnada se inserta en una Ley cuyo título —Ley Orgánica para la igualdad efectiva de mujeres y hombres— resulta expresivo de su finalidad que no es otra que alcanzar la igualdad material, sustancial, entre ambos sexos.  Para lograr este objetivo la Ley en sus diferentes artículos y disposiciones utiliza distintas técnicas, entre otras el recurso a acciones positivas y medidas de discriminación positiva a favor de la mujer, la obligación de un equilibrio entre sexos a la hora de la presentación de candidaturas electorales, o la implantación de otras medidas formales de igualdad, predicables de ambos sexos. De ese conjunto de medidas contenidas en la Ley se han impugnado sólo las normas relativas al citado equilibrio entre sexos en las candidaturas electorales, y exclusivamente a ellas se ceñirá la presente resolución.</w:t>
      </w:r>
    </w:p>
    <w:p w:rsidR="0052098F" w:rsidRDefault="0052098F" w:rsidP="0052098F">
      <w:pPr>
        <w:pStyle w:val="TextoNormal"/>
      </w:pPr>
      <w:r>
        <w:t>Tanto el Juzgado promotor de la cuestión de inconstitucionalidad como todas las partes en el recurso de inconstitucionalidad manejan, a favor y en contra de la constitucionalidad de las normas impugnadas, argumentos tomados del Derecho internacional y del Derecho comparado. Pese a la relevancia que tales argumentos tienen en los discursos sostenidos por las distintas partes hay que recordar que, según nuestra doctrina, “los Tratados internacionales no constituyen canon para el enjuiciamiento de la adecuación a la Constitución de normas dotadas de rango legal (SSTC 49/1988, de 22 de marzo, FJ 14; 28/1991, de 14 de febrero, FJ 5; 254/1993, de 20 de julio, FJ 5)” (STC 235/2000, de 5 de octubre, FJ 11), lo que no puede ser óbice para subrayar la importancia que reviste la remisión constitucional (art. 10.2 CE) a determinados instrumentos de Derecho internacional como criterio interpretativo de los derechos fundamentales. Según hemos reiterado en la STC 236/2007, de 7 de noviembre,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(FJ 3).</w:t>
      </w:r>
    </w:p>
    <w:p w:rsidR="0052098F" w:rsidRDefault="0052098F" w:rsidP="0052098F">
      <w:pPr>
        <w:pStyle w:val="TextoNormal"/>
      </w:pPr>
      <w:r>
        <w:t>Pues bien, tanto los textos de Derecho internacional general —entre los que destaca la Convención sobre la eliminación de todas las formas de discriminación contra la mujer, de 18 de diciembre de 1979 (ratificada por España mediante Instrumento de 5 de enero de 1984), en la que los Estados partes se comprometen a garantizar a las mujeres “en igualdad de condiciones con los hombres, el derecho a participar en la formulación de las políticas gubernamentales y en la ejecución de éstas, y ocupar cargos públicos y ejercer todas las funciones públicas en todos los planos gubernamentales” [art. 7 b)]—, como los gestados en el seno del Consejo de Europa en torno al Convenio europeo para la protección de los derechos humanos y de las libertades fundamentales, de 4 de noviembre de 1950 (ratificado por España el 26 de septiembre de 1979), ponen de relieve que la búsqueda de la igualdad formal y material entre mujeres y hombres constituye una piedra angular del Derecho internacional de los derechos humanos.</w:t>
      </w:r>
    </w:p>
    <w:p w:rsidR="0052098F" w:rsidRDefault="0052098F" w:rsidP="0052098F">
      <w:pPr>
        <w:pStyle w:val="TextoNormal"/>
      </w:pPr>
      <w:r>
        <w:t xml:space="preserve">Conclusión que resulta avalada también en el ámbito del Derecho comunitario —sobre cuya inserción en nuestro Ordenamiento jurídico ya se pronunció este Tribunal en su Declaración 1/2004, de 13 de diciembre (DTC 1/2004)—, en el que la modificación reciente del Tratado de la Comunidad Europea por el Tratado de Lisboa, de 13 de diciembre de 2007, que aún no ha entrado en vigor, ha dotado de mayor relieve a la promoción de la igualdad entre hombres y mujeres. Concretamente, a la definición de un objetivo transversal para </w:t>
      </w:r>
      <w:r>
        <w:lastRenderedPageBreak/>
        <w:t>todas las actividades comunitarias, consistente en “eliminar las desigualdades entre el hombre y la mujer y promover su igualdad”, que ya figuraba en el art. 3.2, se añade un nuevo art. 1 bis, de acuerdo con el cual “la Unión se fundamenta en los valores de respeto de la dignidad humana, libertad, democracia, igualdad, Estado de Derecho y respeto de los derechos humanos, incluidos los derechos de las personas pertenecientes a minorías. Estos valores son comunes a los Estados miembros en una sociedad caracterizada por el pluralismo, la no discriminación, la tolerancia, la justicia, la solidaridad y la igualdad entre mujeres y hombres”. La inclusión de la igualdad en este cuadro de valores fundamentales tiene como correlato la asunción de un compromiso de fomento de la misma en el segundo párrafo del nuevo art.  2.3 del Tratado de la Comunidad Europea.</w:t>
      </w:r>
    </w:p>
    <w:p w:rsidR="0052098F" w:rsidRDefault="0052098F" w:rsidP="0052098F">
      <w:pPr>
        <w:pStyle w:val="TextoNormal"/>
      </w:pPr>
      <w:r>
        <w:t>Ahora bien, fuera de los mandatos genéricos en favor de la igualdad entre hombres y mujeres, los convenios internacionales (a diferencia de otros textos internacionales a los que se refieren las partes y que pese a su indudable valor político no tienen cabida en el mandato del art. 10.2 CE) no se pronuncian, en principio, sobre los concretos instrumentos utilizables por los Estados para darles cumplimiento. Y es en este ámbito en el que hay que situar las consideraciones sobre el Derecho comparado que se contienen en los escritos presentados en ambos procesos. Sin entrar en valoraciones que no nos competen, hay que destacar que los avatares de las jurisprudencias italiana y francesa a que también se refieren las partes se explican justamente a partir de una diferencia fundamental entre aquellos ordenamientos y el nuestro, cual es la de la singularidad que en nuestro caso supone la amplitud del contenido del art. 9.2 CE que se proyecta expresamente a la participación política y que a la idea de remover añade, además, las de promover y facilitar. De ahí que la introducción en los países de nuestro entorno de medidas similares a las aquí controvertidas haya ido precedida o acompañada, según los casos, de reformas constitucionales que han incorporado la idea de promoción de la igualdad entre hombres y mujeres en el ámbito de la representación política —superando con ello una visión estrechamente formal y trascendiendo a los mandatos de mera remoción de obstáculos para lograr su efectividad— en términos similares a los que figuran desde un principio en la Constitución española, que constituye, obviamente, nuestro único canon de constitucionalidad.</w:t>
      </w:r>
    </w:p>
    <w:p w:rsidR="0052098F" w:rsidRDefault="0052098F" w:rsidP="0052098F">
      <w:pPr>
        <w:pStyle w:val="TextoNormal"/>
      </w:pPr>
      <w:r>
        <w:t>3. Sentado lo anterior hay que describir, ante todo, el exacto contenido de la reforma de la legislación electoral que se impugna en los dos procesos (cuestión y recurso de inconstitucionalidad acumulados) que hemos de resolver. Dicha reforma legislativa, incorporada por la disposición adicional segunda LOIMH, pretendiendo la igual participación efectiva de hombres y mujeres en la integración de las instituciones representativas de una sociedad democrática, no establece una medida de discriminación inversa o compensatoria (favoreciendo a un sexo sobre otro), sino una fórmula de equilibrio entre sexos, que tampoco es estrictamente paritaria, en cuanto que no impone una total igualdad entre hombres y mujeres, sino la regla de que unos y otras no podrán integrar las candidaturas electorales en una proporción inferior al 40 por 100 (o lo que es lo mismo, superior al 60 por 100). Su efecto, pues es bidireccional, en cuanto que esa proporción se asegura igualmente a uno y otro sexo.</w:t>
      </w:r>
    </w:p>
    <w:p w:rsidR="0052098F" w:rsidRDefault="0052098F" w:rsidP="0052098F">
      <w:pPr>
        <w:pStyle w:val="TextoNormal"/>
      </w:pPr>
      <w:r>
        <w:t>A juicio de los Diputados recurrentes y del órgano judicial cuestionante, esa medida pudiera haber comportado el sacrificio de determinados principios y derechos constitucionales. En particular, del principio de igualdad (arts. 14 y 23 CE), del derecho de participación en los asuntos públicos (art. 23 y 68.5 CE) y del derecho de asociación en partidos políticos (arts. 6 y 22 CE) capaces para la articulación de la voluntad política de los ciudadanos alrededor de cualquier ideología [arts. 16 y 20.1 a) CE].  Pero también la quiebra de categorías tan básicas del Estado democrático como puede ser el principio de unidad del pueblo soberano.</w:t>
      </w:r>
    </w:p>
    <w:p w:rsidR="0052098F" w:rsidRDefault="0052098F" w:rsidP="0052098F">
      <w:pPr>
        <w:pStyle w:val="TextoNormal"/>
      </w:pPr>
      <w:r>
        <w:lastRenderedPageBreak/>
        <w:t>Resulta así evidente la diversidad de las cuestiones constitucionales que suscita la reforma cuestionada, todas ellas de la mayor trascendencia por afectar a elementos muy sensibles del régimen electoral, que es tanto como decir del modelo de Estado democrático. Esa misma diversidad exige de nosotros el mayor cuidado en la identificación de la perspectiva de enjuiciamiento que haga posible el planteamiento más correcto del problema constitucional de fondo.</w:t>
      </w:r>
    </w:p>
    <w:p w:rsidR="0052098F" w:rsidRDefault="0052098F" w:rsidP="0052098F">
      <w:pPr>
        <w:pStyle w:val="TextoNormal"/>
      </w:pPr>
      <w:r>
        <w:t>El punto de partida de nuestro análisis se sitúa en el hecho de que el requisito del equilibrio electoral entre sexos tiene por únicos destinatarios directos a quienes pueden presentar candidaturas, esto es, de acuerdo con el art. 44.1 LOREG, exclusivamente a los partidos, federaciones y coaliciones de partidos y a las agrupaciones de electores. No se trata, por tanto, en puridad, de una condición de elegibilidad/causa de inelegibilidad, por lo que no afecta inmediatamente al derecho de sufragio pasivo individual. Es una condición referida a partidos políticos y a agrupaciones de electores, esto es, a entidades jurídicas que no son sujetos de los derechos de sufragio activo y pasivo, cuya vulneración se denuncia.</w:t>
      </w:r>
    </w:p>
    <w:p w:rsidR="0052098F" w:rsidRDefault="0052098F" w:rsidP="0052098F">
      <w:pPr>
        <w:pStyle w:val="TextoNormal"/>
      </w:pPr>
      <w:r>
        <w:t>El problema constitucional de fondo se plantea, por tanto y sobre todo, en el ámbito de los arts. 6 y 9.2 CE, con conexiones inmediatas con los arts. 22 y 16 CE y una inevitable derivación hacia el principio de igualdad (arts. 14 y 23 CE), principalmente, en la medida en que el aludido equilibrio también se exige de las agrupaciones de electores.  En cualquier caso es evidente que esa dimensión igualitaria también concurre, porque es imprescindible en el contexto de una legislación que persigue la superación de una realidad social caracterizada por la menor presencia de la mujer en la vida pública; pero sólo lo hace como una perspectiva superpuesta a la principal, esto es, a la que atiende a la libertad de los partidos políticos y de las agrupaciones de electores en la definición de sus candidaturas como medio cualificado para la realización de su cometido constitucional en tanto que instrumentos para la participación política ciudadana.</w:t>
      </w:r>
    </w:p>
    <w:p w:rsidR="0052098F" w:rsidRDefault="0052098F" w:rsidP="0052098F">
      <w:pPr>
        <w:pStyle w:val="TextoNormal"/>
      </w:pPr>
      <w:r>
        <w:t>4. La primera y principal cuestión a resolver es entonces la de la legitimidad constitucional de la imposición a los partidos políticos de la obligación de presentar candidaturas con “una composición equilibrada de mujeres y hombres” en porcentajes que siempre aseguren un mínimo del 40 por 100 para cada sexo. La respuesta hemos de buscarla tanto en el análisis del mandato de sustantivación de la igualdad formal, contenido en el art. 9.2 CE, como en el de la configuración constitucional de los partidos políticos (art. 6 CE).</w:t>
      </w:r>
    </w:p>
    <w:p w:rsidR="0052098F" w:rsidRDefault="0052098F" w:rsidP="0052098F">
      <w:pPr>
        <w:pStyle w:val="TextoNormal"/>
      </w:pPr>
      <w:r>
        <w:t>En cuanto al art. 9.2 CE hemos tenido ocasión de afirmar que “la igualdad que el art.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 (STC 216/1991, de 14 de noviembre, FJ 5).</w:t>
      </w:r>
    </w:p>
    <w:p w:rsidR="0052098F" w:rsidRDefault="0052098F" w:rsidP="0052098F">
      <w:pPr>
        <w:pStyle w:val="TextoNormal"/>
      </w:pPr>
      <w:r>
        <w:t>Dicho de otro modo, el art.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con la positiva de favorecimiento de esa igualdad material.</w:t>
      </w:r>
    </w:p>
    <w:p w:rsidR="0052098F" w:rsidRDefault="0052098F" w:rsidP="0052098F">
      <w:pPr>
        <w:pStyle w:val="TextoNormal"/>
      </w:pPr>
      <w:r>
        <w:t xml:space="preserve">La incorporación de esa perspectiva es propia de la caracterización del Estado como social y democrático de Derecho con la que se abre el articulado de nuestra Constitución y </w:t>
      </w:r>
      <w:r>
        <w:lastRenderedPageBreak/>
        <w:t>que trasciende a todo el orden jurídico (STC 23/1984, de 20 de febrero, FJ 4).  Una caracterización a la que se debe reconocer pleno sentido y virtualidad en la interpretación del alcance de los diversos preceptos constitucionales, habida cuenta de que, como hemos afirmado, “la Constitución no es la suma y el agregado de una multiplicidad de mandatos inconexos, sino precisamente el orden jurídico fundamental de la comunidad política, regido y orientado a su vez por la proclamación de su art. 1, en su apartado 1, a partir de la cual debe resultar un sistema coherente en el que todos sus contenidos encuentren el espacio y la eficacia que el constituyente quiso otorgarles” (STC 206/1992, de 27 de noviembre, FJ 3).</w:t>
      </w:r>
    </w:p>
    <w:p w:rsidR="0052098F" w:rsidRDefault="0052098F" w:rsidP="0052098F">
      <w:pPr>
        <w:pStyle w:val="TextoNormal"/>
      </w:pPr>
      <w:r>
        <w:t>De modo que la caracterización de nuestro modelo de Estado como social y democrático de Derecho, con los valores superiores de libertad, justicia, igualdad y pluralismo político que dotan de sentido a esta caracterización, representa el fundamento axiológico para la comprensión del entero orden constitucional.</w:t>
      </w:r>
    </w:p>
    <w:p w:rsidR="0052098F" w:rsidRDefault="0052098F" w:rsidP="0052098F">
      <w:pPr>
        <w:pStyle w:val="TextoNormal"/>
      </w:pPr>
      <w:r>
        <w:t>Este precepto constitucional encomienda al legislador la tarea de actualizar y materializar la efectividad de la igualdad que se proyecta, entre otras realidades, en el ámbito de la representación, correspondiendo a este Tribunal Constitucional la función de examinar si las decisiones adoptadas al respecto son acordes con el marco constitucional aquí definido. Pues bien, en particular del art. 9.2 CE, y de la interpretación sistemática del conjunto de preceptos constitucionales que inciden en este ámbito, deriva la justificación constitucional de que los cauces e instrumentos establecidos por el legislador faciliten la participación de todos los ciudadanos, removiendo, cuando sea preciso, los obstáculos de todo orden, tanto normativos como estrictamente fácticos, que la impidan o dificulten y promoviendo las condiciones garantizadoras de la igualdad de los ciudadanos. En este punto cabe añadir que la igualdad sustantiva no sólo facilita la participación efectiva de todos en los asuntos públicos, sino que es un elemento definidor de la noción de ciudadanía.</w:t>
      </w:r>
    </w:p>
    <w:p w:rsidR="0052098F" w:rsidRDefault="0052098F" w:rsidP="0052098F">
      <w:pPr>
        <w:pStyle w:val="TextoNormal"/>
      </w:pPr>
    </w:p>
    <w:p w:rsidR="0052098F" w:rsidRDefault="0052098F" w:rsidP="0052098F">
      <w:pPr>
        <w:pStyle w:val="TextoNormal"/>
      </w:pPr>
      <w:r w:rsidRPr="0052098F">
        <w:rPr>
          <w:rStyle w:val="NumeroAFNegritaCaracter"/>
        </w:rPr>
        <w:t>5</w:t>
      </w:r>
      <w:r>
        <w:t>. Dicho lo anterior, al preguntarnos sobre la legitimidad constitucional de la condición impuesta a los partidos por el art. 44 bis LOREG, la respuesta, como razonaremos, ha de ser afirmativa, toda vez que los partidos políticos, como asociaciones cualificadas por sus funciones constitucionales (STC 48/2003, de 12 de marzo), son cauce válido para el logro de la sustantivación de la igualdad formal propugnada por el art. 9.2 CE, precepto éste que dota de legitimidad a las configuraciones legislativas del estatuto jurídico de los partidos, o de sus actividades con relevancia pública, orientadas a la realización efectiva de un principio tan fundamental del orden constitucional como es el de la igualdad (arts. 1.1 y 14 CE).</w:t>
      </w:r>
    </w:p>
    <w:p w:rsidR="0052098F" w:rsidRDefault="0052098F" w:rsidP="0052098F">
      <w:pPr>
        <w:pStyle w:val="TextoNormal"/>
      </w:pPr>
      <w:r>
        <w:t>Como sintéticamente ya se dijo más arriba, y no importa repetir, la disposición adicional segunda impugnada incorpora el principio de composición equilibrada de mujeres y hombres como condicionante de la formación de las listas electorales.  Principio que se concreta en la exigencia de que “en el conjunto de la lista los candidatos de cada uno de los sexos supongan como mínimo el cuarenta por ciento” (art. 44 bis.1), proporción que debe mantenerse igualmente en cada uno de los tramos de cinco puestos (art.  44 bis.2) en las listas de suplentes (art. 44 bis.3) y, con las modulaciones indicadas en el art. 44 bis.4 LOREG, en las candidaturas para el Senado que se agrupen en listas. Estas previsiones no suponen un tratamiento peyorativo de ninguno de los sexos, ya que, en puridad, ni siquiera plasman un tratamiento diferenciado en razón del sexo de los candidatos, habida cuenta de que las proporciones se establecen por igual para los candidatos de uno y otro sexo. No se trata, pues, de una medida basada en los criterios de mayoría/minoría (como sucedería si se tomase en cuenta como elementos de diferenciación, por ejemplo, la raza o la edad), sino atendiendo a un criterio (el sexo) que de manera universal divide a toda sociedad en dos grupos porcentualmente equilibrados.</w:t>
      </w:r>
    </w:p>
    <w:p w:rsidR="0052098F" w:rsidRDefault="0052098F" w:rsidP="0052098F">
      <w:pPr>
        <w:pStyle w:val="TextoNormal"/>
      </w:pPr>
      <w:r>
        <w:lastRenderedPageBreak/>
        <w:t>Como se señala en la exposición de motivos de la Ley Orgánica en que se inserta esta disposición adicional: “El llamado en la Ley principio de presencia o composición equilibrada, con el que se trata de asegurar una representación suficientemente significativa de ambos sexos en órganos y cargos de responsabilidad, se lleva así también a la normativa reguladora del régimen electoral general, optando por una fórmula con la flexibilidad adecuada para conciliar las exigencias derivadas de los artículos 9.2 y 14 de la Constitución con las propias del derecho de sufragio pasivo incluido en el artículo 23 del mismo texto constitucional. Se asumen así los recientes textos internacionales en la materia y se avanza en el camino de garantizar una presencia equilibrada de mujeres y hombres en el ámbito de la representación política, con el objetivo fundamental de mejorar la calidad de esa representación y con ella de nuestra propia democracia”.</w:t>
      </w:r>
    </w:p>
    <w:p w:rsidR="0052098F" w:rsidRDefault="0052098F" w:rsidP="0052098F">
      <w:pPr>
        <w:pStyle w:val="TextoNormal"/>
      </w:pPr>
      <w:r>
        <w:t>Así pues el art. 44 bis LOREG persigue la efectividad del art. 14 CE en el ámbito de la representación política, donde, si bien hombres y mujeres son formalmente iguales, es evidente que las segundas han estado siempre materialmente preteridas.  Exigir de los partidos políticos que cumplan con su condición constitucional de instrumento para la participación política (art. 6 CE), mediante una integración de sus candidaturas que permita la participación equilibrada de ambos sexos, supone servirse de los partidos para hacer realidad la efectividad en el disfrute de los derechos exigida por el art.  9.2 CE. Y hacerlo, además, de una manera constitucionalmente lícita, pues con la composición de las Cámaras legislativas o de los Ayuntamientos se asegura la incorporación en los procedimientos normativos y de ejercicio del poder público de las mujeres (que suponen la mitad de la población) en un número significativo. Ello resulta coherente, en definitiva, con el principio democrático que reclama la mayor identidad posible entre gobernantes y gobernados.</w:t>
      </w:r>
    </w:p>
    <w:p w:rsidR="0052098F" w:rsidRDefault="0052098F" w:rsidP="0052098F">
      <w:pPr>
        <w:pStyle w:val="TextoNormal"/>
      </w:pPr>
      <w:r>
        <w:t>Que los partidos políticos, dada “su doble condición de instrumentos de actualización del derecho subjetivo de asociación, por un lado y de cauces necesarios para el funcionamiento del sistema democrático, por otro” (STC 48/2003, de 12 de marzo, FJ 5), coadyuven por imperativo legal —esto es, por mandato del legislador constitucionalmente habilitado para la definición acabada de su estatuto jurídico— a la realización de un objetivo previsto inequívocamente en el art. 9.2 CE no es cuestión que pueda suscitar reparos de legitimidad constitucional, como ahora veremos. Y es que, es su condición de instrumento para la participación política y de medio de expresión del pluralismo como sujetos que concurren a la formación y manifestación de la voluntad popular (art. 6 CE) lo que cualifica su condición asociativa como partidos y los diferencia netamente de las demás asociaciones, de manera que es perfectamente legítimo que el legislador defina los términos del ejercicio de esas funciones y cometidos de modo que la voluntad popular a cuya formación y expresión concurren y la participación para la que son instrumento sean siempre el resultado del ejercicio de la libertad y de la igualdad “reales y efectivas” de los individuos, como expresamente demanda el art. 9.2 CE.</w:t>
      </w:r>
    </w:p>
    <w:p w:rsidR="0052098F" w:rsidRDefault="0052098F" w:rsidP="0052098F">
      <w:pPr>
        <w:pStyle w:val="TextoNormal"/>
      </w:pPr>
      <w:r>
        <w:t>Es evidente que la libertad de presentación de candidaturas por los partidos (que, por lo demás, en ésta como en sus demás actividades están sometidos a la Constitución y a la ley, como expresa el art. 6 CE) no es, ni puede ser absoluta. Ya el legislador, en atención a otros valores y bienes constitucionales protegidos, ha limitado esa libertad imponiéndoles determinadas condiciones para la confección de las candidaturas (referidas a la elegibilidad de los candidatos, a la residencia en algunos supuestos, o incluso a que tales candidaturas hayan de serlo mediante listas cerradas y bloqueadas).  Esta nueva limitación del equilibrio por razón de sexo, pues, ni es la única, ni carece, por lo que acaba de verse, de fundamento constitucional.</w:t>
      </w:r>
    </w:p>
    <w:p w:rsidR="0052098F" w:rsidRDefault="0052098F" w:rsidP="0052098F">
      <w:pPr>
        <w:pStyle w:val="TextoNormal"/>
      </w:pPr>
      <w:r>
        <w:lastRenderedPageBreak/>
        <w:t>La libertad de selección de candidatos por los partidos se ve ciertamente limitada en razón de todas estas exigencias. La que concretamente ahora estamos examinando también lo hace. Con todo, esa constricción de la libertad del partido resulta perfectamente constitucional por legítima, por razonablemente instrumentada y por no lesiva para el ejercicio de derechos fundamentales. En otras palabras, por satisfacer las exigencias constitucionales para limitar la libertad de los partidos y agrupaciones de electores para confeccionar y presentar candidaturas, que en sentido propio ni siquiera es un derecho fundamental, sino una atribución, implícita en la Constitución (art. 6 CE), que les confiere el legislador (expresamente apoderado por dicho artículo para efectuarla); legislador que goza de una amplia libertad de configuración (aunque no absoluta, claro está). La validez constitucional de estas medidas, como se acaba de decir, resulta clara. En primer lugar porque es legítimo el fin de la consecución de una igualdad efectiva en el terreno de la participación política (arts.  9.2, 14 y 23 CE). En segundo término, porque resulta razonable el régimen instrumentado por el legislador que se limita a exigir una composición equilibrada con un mínimo del 40 por 100 y sin imposición de orden alguno, contemplándose excepciones para las poblaciones de menos de 3.000 habitantes y una dilación en la efectividad de la Ley hasta 2011 para las inferiores a 5.000, y que, por tanto, solo excluye de los procesos electorales a aquellas formaciones políticas que ni tan siquiera aceptan integrar en sus candidaturas a ciudadanos de uno y otro sexo. En fin, porque es inocuo para los derechos fundamentales de quienes, siendo sus destinatarios, los partidos políticos, no son, por definición, titulares de los derechos fundamentales de sufragio activo y pasivo.</w:t>
      </w:r>
    </w:p>
    <w:p w:rsidR="0052098F" w:rsidRDefault="0052098F" w:rsidP="0052098F">
      <w:pPr>
        <w:pStyle w:val="TextoNormal"/>
      </w:pPr>
      <w:r>
        <w:t>Respecto de la aducida vulneración del art. 6 CE en conexión con el art. 22 interesa señalar que aun cuando este Tribunal ha identificado cuatro facetas o dimensiones del derecho fundamental de asociación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(STC 133/2006, de 27 de abril, FJ 3)—, el motivo impugnatorio que ahora nos ocupa no se refiere propiamente a ninguna de ellas sino más bien a la libertad de actuación externa. Por lo que hace a los ámbitos señalados, habida cuenta de que la normativa cuestionada no atañe a la vertiente individual del derecho fundamental, debemos descartar que produzca intromisión en las dos primeras dimensiones, libertades positiva y negativa de asociación, ni tampoco en la denominada “dimensión inter privatos” del derecho fundamental de asociación. Igualmente, como quiera que esa normativa no versa sobre ninguna faceta de la vida interna ordinaria de los partidos políticos, tampoco existe vulneración alguna de la dimensión relativa a la libertad de organización y funcionamiento internos.</w:t>
      </w:r>
    </w:p>
    <w:p w:rsidR="0052098F" w:rsidRDefault="0052098F" w:rsidP="0052098F">
      <w:pPr>
        <w:pStyle w:val="TextoNormal"/>
      </w:pPr>
      <w:r>
        <w:t>Hechas estas precisiones únicamente nos resta añadir que la limitación de la libertad de actuación de las formaciones políticas que se plasma en la normativa controvertida no constituye una vulneración del art. 6, en conexión con el art. 22 CE.  Como ya hemos señalado esa limitación no es en sí misma inconstitucional. Por lo demás, y en todo caso, el mandato de equilibrio entre sexos que se impone a los partidos, limitando una libertad de presentación de candidaturas que no les está atribuida por ser asociaciones, sino específicamente por ser partidos políticos, ha de considerarse que, incluso desde la perspectiva de que son asociaciones políticas, constituye una limitación proporcionada y, por tanto, constitucionalmente legítima, por las razones que se dieron más arriba y a las que nos remitimos.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6</w:t>
      </w:r>
      <w:r>
        <w:t>. Frente a lo afirmado en el recurso y en la cuestión, la normativa impugnada tampoco vulnera la libertad ideológica de los partidos políticos ni su libertad de expresión [arts. 16.1 y 20.1 a) CE]. No lo hace, en primer lugar, de la propia ideología feminista. Una norma como el art. 44 bis LOREG no hace innecesarios los partidos o idearios feministas, pero, a partir de ese precepto, es el propio art. 9.2 CE el que, una vez concretado en términos de Derecho positivo su mandato de efectividad, convierte en constitucionalmente lícita la imposibilidad de presentar candidaturas que quieran hacer testimonio feminista con la presentación de listas integradas únicamente por mujeres. En el nuevo contexto normativo es ya innecesario compensar la mayor presencia masculina con candidaturas exclusivamente femeninas, por la sencilla razón de que aquel desequilibrio histórico deviene un imposible. Cierto que un ideario feminista radical que pretenda el predominio femenino no podrá ser constitucionalmente prohibido, pero tampoco podrá pretender sustraerse al mandato constitucional de la igualdad formal (art. 14 CE) ni a las normas dictadas por el legislador para hacer efectiva la igualdad material tal como establece el 9.2 CE.</w:t>
      </w:r>
    </w:p>
    <w:p w:rsidR="0052098F" w:rsidRDefault="0052098F" w:rsidP="0052098F">
      <w:pPr>
        <w:pStyle w:val="TextoNormal"/>
      </w:pPr>
      <w:r>
        <w:t>Por tanto, la disposición adicional segunda de la Ley Orgánica para la igualdad efectiva de mujeres y hombres no impide la existencia de partidos con una ideología contraria a la igualdad efectiva entre los ciudadanos. De ser así, habríamos de convenir con los recurrentes en la inconstitucionalidad de las medidas recogidas en el precepto legal impugnado pues este Tribunal Constitucional ya ha señalado que en nuestro sistema no tiene cabida un modelo de “democracia militante” que imponga la adhesión positiva al ordenamiento y, en primer lugar, a la Constitución (SSTC 48/2003, de 12 de marzo, FJ 7, y 235/2007, de 7 de noviembre, FJ 4). Antes bien, y como hemos indicado en la última resolución citada, nuestro régimen constitucional se sustenta, por circunstancias históricas ligadas a su origen, en la más amplia garantía de los derechos fundamentales, que no pueden limitarse en razón de que se utilicen con una finalidad anticonstitucional. Por consiguiente, el requisito de que las formaciones políticas que pretendan participar en los procesos electorales hayan de incluir necesariamente a candidatos de uno y otro sexo en las proporciones recogidas en la disposición adicional segunda LOIMH no implica la exigencia de que esas mismas formaciones políticas participen de los valores sobre los que se sustenta la llamada democracia paritaria.</w:t>
      </w:r>
    </w:p>
    <w:p w:rsidR="0052098F" w:rsidRDefault="0052098F" w:rsidP="0052098F">
      <w:pPr>
        <w:pStyle w:val="TextoNormal"/>
      </w:pPr>
      <w:r>
        <w:t>En particular, no se impide la existencia de formaciones políticas que defiendan activamente la primacía de las personas de un determinado sexo, o que propugnen postulados que pudiéramos denominar “machistas” o “feministas”. Lo que exige la disposición adicional que nos ocupa es que cuando se pretenda defender esas tesis accediendo a los cargos públicos electivos se haga partiendo de candidaturas en las que se integran personas de uno y otro sexo.</w:t>
      </w:r>
    </w:p>
    <w:p w:rsidR="0052098F" w:rsidRDefault="0052098F" w:rsidP="0052098F">
      <w:pPr>
        <w:pStyle w:val="TextoNormal"/>
      </w:pPr>
      <w:r>
        <w:t>De otro lado, tampoco padece la libertad ideológica de los partidos en general, es decir, de los que no hacen del feminismo el núcleo de su definición ideológica. Más precisamente, no desaparece el componente instrumental de esa libertad en que consiste su capacidad para incluir en sus candidaturas a quienes resulten más capacitados o idóneos para la oferta pública de su programa en la concurrencia electoral y, después, en su caso, para defender el programa del partido en el seno de las instituciones en las que hayan podido integrarse como representantes de la voluntad popular. Esa libertad de los partidos no es, como ya se ha dicho, absoluta o ilimitada, y también se ve condicionada por todos los requisitos jurídicos constitutivos de la capacidad electoral, entre otros, y para el caso de las elecciones generales, el de la nacionalidad, o por aquellos que, como el ahora examinado, no afectan a aquella capacidad individual, sino a los partidos y agrupaciones habilitados para la presentación de candidaturas, y entre los que se cuenta la exigencia de un número determinado de candidatos o cuanto implica el sistema de listas bloqueadas.</w:t>
      </w:r>
    </w:p>
    <w:p w:rsidR="0052098F" w:rsidRDefault="0052098F" w:rsidP="0052098F">
      <w:pPr>
        <w:pStyle w:val="TextoNormal"/>
      </w:pPr>
      <w:r>
        <w:lastRenderedPageBreak/>
        <w:t>En consecuencia, dada la legitimidad constitucional de la nueva exigencia del equilibrio entre sexos impuesta a los partidos para la presentación de candidaturas, según ya vimos en el fundamento jurídico anterior, ha de rechazarse que tal medida vulnere las libertades garantizadas en los arts. 16.1 y 20.1 a) CE. En todo caso, si se sostuviera que, al menos instrumentalmente (aunque no sustantivamente), la limitación de la libertad de presentación de candidaturas a la que nos estamos refiriendo pudiese afectar a los derechos de los arts. 16.1 y 20.1 a) CE, tal limitación habría de entenderse constitucionalmente legítima, en cuanto que resultaría proporcionada según las razones expuestas en el fundamento jurídico 5 al que nos remitimos.</w:t>
      </w:r>
    </w:p>
    <w:p w:rsidR="0052098F" w:rsidRDefault="0052098F" w:rsidP="0052098F">
      <w:pPr>
        <w:pStyle w:val="TextoNormal"/>
      </w:pPr>
      <w:r>
        <w:t>Por lo demás resulta obvio que tanto las formaciones políticas como los ciudadanos individualmente considerados podrán defender y postular la reforma de lo establecido en la disposición adicional segunda LOIMH en legítimo ejercicio de sus libertades ideológica y de expresión.</w:t>
      </w:r>
    </w:p>
    <w:p w:rsidR="0052098F" w:rsidRDefault="0052098F" w:rsidP="0052098F">
      <w:pPr>
        <w:pStyle w:val="TextoNormal"/>
      </w:pPr>
      <w:r>
        <w:t>Lo expuesto conduce inexorablemente a la desestimación de estos motivos de impugnación.</w:t>
      </w:r>
    </w:p>
    <w:p w:rsidR="0052098F" w:rsidRDefault="0052098F" w:rsidP="0052098F">
      <w:pPr>
        <w:pStyle w:val="TextoNormal"/>
      </w:pPr>
    </w:p>
    <w:p w:rsidR="0052098F" w:rsidRDefault="0052098F" w:rsidP="0052098F">
      <w:pPr>
        <w:pStyle w:val="TextoNormal"/>
      </w:pPr>
      <w:r w:rsidRPr="0052098F">
        <w:rPr>
          <w:rStyle w:val="NumeroAFNegritaCaracter"/>
        </w:rPr>
        <w:t>7</w:t>
      </w:r>
      <w:r>
        <w:t>. Cuanto llevamos dicho en relación con los partidos políticos requiere de alguna matización para el caso de las agrupaciones de electores, dada la distinta naturaleza de unos y otras, como este Tribunal ha señalado en las SSTC 16/1983, de 10 de marzo (FFJJ 3 y 4), y 85/2003, de 8 de mayo (FJ 24).</w:t>
      </w:r>
    </w:p>
    <w:p w:rsidR="0052098F" w:rsidRDefault="0052098F" w:rsidP="0052098F">
      <w:pPr>
        <w:pStyle w:val="TextoNormal"/>
      </w:pPr>
      <w:r>
        <w:t>Si los partidos, como ya se dijo mas atrás, no son sujetos del derecho fundamental de sufragio (pasivo o activo), sino sólo los ciudadanos, cuya ajenidad es patente respecto del partido que los presenta en sus candidaturas, un efecto similar puede predicarse, aunque con menor intensidad, de las agrupaciones de electores, que no están contempladas en la Constitución, y que son la reunión de sujetos individuales encaminada al solo fin de la presentación de candidaturas, esto es, de concurrir a la contienda electoral al margen de los partidos. No puede olvidarse que en el partido político se da una alteridad entre el partido en sí y sus candidaturas, mientras que las agrupaciones de electores se enlazan inexorablemente con las candidaturas que presentan. En todo caso, lo que aquí importa no es esa diferencia conceptual, estructural y organizativa entre partidos y agrupaciones. Lo determinante es que ni unos ni otras son titulares del derecho de sufragio pasivo. Los miembros de una agrupación de electores no ejercen el derecho de sufragio pasivo, como tampoco lo ejercen los miembros de los órganos de los partidos políticos competentes al efecto. Unos y otros sólo ejercen tal derecho si además de promover una candidatura se integran en ella.  Los miembros de una agrupación de electores no candidatos ejercen el derecho de participación en los asuntos públicos lato sensu (art. 23.1 CE), pero no el específico derecho de participación consistente en concurrir como candidatos en unas elecciones.  Este derecho no comprende la facultad de formar candidaturas con libertad plena, sino en las condiciones fijadas en la ley. Entre ellas es legítimo que figure el principio de composición equilibrada, que encuentra fundamento en el art. 9.2 CE.</w:t>
      </w:r>
    </w:p>
    <w:p w:rsidR="0052098F" w:rsidRDefault="0052098F" w:rsidP="0052098F">
      <w:pPr>
        <w:pStyle w:val="TextoNormal"/>
      </w:pPr>
      <w:r>
        <w:t>Debemos plantearnos, además, si imponer a dichas agrupaciones que las candidaturas que presenten respeten la condición del equilibrio entre sexos podría entenderse que supone condicionar de algún modo la elegibilidad de los integrantes de las mismas.</w:t>
      </w:r>
    </w:p>
    <w:p w:rsidR="0052098F" w:rsidRDefault="0052098F" w:rsidP="0052098F">
      <w:pPr>
        <w:pStyle w:val="TextoNormal"/>
      </w:pPr>
      <w:r>
        <w:t>Pues bien, es indudable que formalmente no hay una causa de inelegibilidad ni tampoco materialmente por el hecho de que se obligue a la agrupación a presentar candidaturas donde los ciudadanos que las compongan hayan de buscar el concurso de otras personas, aten</w:t>
      </w:r>
      <w:r>
        <w:lastRenderedPageBreak/>
        <w:t>diendo, además de a criterios de afinidad ideológica y política, al dato del sexo. Tal exigencia, encuadrada en el ámbito de libre disposición del legislador, encuentra fundamento en el art. 9.2 CE.</w:t>
      </w:r>
    </w:p>
    <w:p w:rsidR="0052098F" w:rsidRDefault="0052098F" w:rsidP="0052098F">
      <w:pPr>
        <w:pStyle w:val="TextoNormal"/>
      </w:pPr>
      <w:r>
        <w:t>A quien pretende ejercer el derecho de sufragio pasivo a través de una agrupación no sólo se le exige no estar incurso en las causas de inelegibilidad previstas en la Ley electoral, sino también cumplir con otras condiciones que no afectan a su capacidad electoral stricto sensu, como por ejemplo, y en primerísimo lugar, la de concurrir con otras personas formando una lista. No cabiendo la candidatura individual, se obliga al sujeto a la búsqueda de compañía. Sin embargo, nadie diría que esa exigencia supone una vulneración material del derecho de sufragio pasivo; o que la soledad se convierte en una causa de inelegibilidad.</w:t>
      </w:r>
    </w:p>
    <w:p w:rsidR="0052098F" w:rsidRDefault="0052098F" w:rsidP="0052098F">
      <w:pPr>
        <w:pStyle w:val="TextoNormal"/>
      </w:pPr>
      <w:r>
        <w:t>Que a la exigencia de concurrir en una lista se añada la de que ésta tenga una composición equilibrada en razón del sexo no cercena de manera intolerable las posibilidades materiales de ejercicio del derecho. Se trata de una condición que se integra con naturalidad en el ámbito disponible al legislador en sus funciones de configuración del derecho fundamental de participación política: se configura así un derecho de ejercicio colectivo en el seno de una candidatura cuya integración personal se quiere sea reflejo de la propia integración de la comunidad social, esto es, sexualmente equilibrada.</w:t>
      </w:r>
    </w:p>
    <w:p w:rsidR="0052098F" w:rsidRDefault="0052098F" w:rsidP="0052098F">
      <w:pPr>
        <w:pStyle w:val="TextoNormal"/>
      </w:pPr>
      <w:r>
        <w:t>Al igual que en el caso de los partidos políticos no se condiciona así la composición de las candidaturas promovidas por agrupaciones de electores con arreglo a criterios diferenciadores determinantes de una dialéctica mayoría/minoría, como sucedería si se exigiera la presencia de un número o porcentaje de personas de determinada raza o de un cierto arco de edad, sino que el criterio atendido es aquel que en todo caso, de manera universal, divide a la sociedad en dos grupos cuantitativamente equilibrados. Y en virtud del art. 9.2 CE se persigue que ese equilibrio material se traslade desde la sociedad a los órganos políticos de representación ciudadana; lo que resulta, de nuevo, coherente con el principio democrático.</w:t>
      </w:r>
    </w:p>
    <w:p w:rsidR="0052098F" w:rsidRDefault="0052098F" w:rsidP="0052098F">
      <w:pPr>
        <w:pStyle w:val="TextoNormal"/>
      </w:pPr>
      <w:r>
        <w:t>Se pretende, en suma, que la igualdad efectivamente existente en cuanto a la división de la sociedad con arreglo al sexo no se desvirtúe en los órganos de representación política con la presencia abrumadoramente mayoritaria de uno de ellos. Una representación política que se articule desde el presupuesto de la divisoria necesaria de la sociedad en dos sexos es perfectamente constitucional, pues se entiende que ese equilibrio es determinante para la definición del contenido de las normas y actos que hayan de emanar de aquellos órganos. No de su contenido ideológico o político, sino del precontenido o substrato sobre el que ha de elevarse cualquier decisión política: la igualdad radical del hombre y la mujer. Exigir a quien quiera ejercer una función representativa y de imperio sobre sus conciudadanos que concurra a las elecciones en un colectivo de composición equilibrada en razón del sexo es garantizar que, sea cual sea su programa político, compartirá con todos los representantes una representación integradora de ambos sexos que es irrenunciable para el gobierno de una sociedad que así, necesariamente, está compuesta.</w:t>
      </w:r>
    </w:p>
    <w:p w:rsidR="0052098F" w:rsidRDefault="0052098F" w:rsidP="0052098F">
      <w:pPr>
        <w:pStyle w:val="TextoNormal"/>
      </w:pPr>
      <w:r>
        <w:t>En suma, las medidas impugnadas, en su aplicación a las agrupaciones de electores, por las razones expuestas y por las mismas apuntadas en el fundamento jurídico 5, desde la perspectiva de las limitaciones a la libertad de los partidos políticos en la confección y presentación de candidaturas, supera el canon de proporcionalidad por ser su fin legítimo de acuerdo con el art. 9.2 CE y resultar razonables y adecuadas a la finalidad perseguida.</w:t>
      </w:r>
    </w:p>
    <w:p w:rsidR="0052098F" w:rsidRDefault="0052098F" w:rsidP="0052098F">
      <w:pPr>
        <w:pStyle w:val="TextoNormal"/>
      </w:pPr>
      <w:r>
        <w:t>No habiendo obstáculos, pues, desde el punto de vista de los derechos fundamentales alegados, para imponer la referida condición a las agrupaciones de electores, resulta adecuado que, realizando idéntica función electoral en cuanto a la presentación de candidaturas que los partidos políticos, hayan de tener el mismo tratamiento respecto del deber legal de que esas candidaturas estén equilibradas en razón del sexo.</w:t>
      </w:r>
    </w:p>
    <w:p w:rsidR="0052098F" w:rsidRDefault="0052098F" w:rsidP="0052098F">
      <w:pPr>
        <w:pStyle w:val="TextoNormal"/>
      </w:pPr>
    </w:p>
    <w:p w:rsidR="0052098F" w:rsidRDefault="0052098F" w:rsidP="0052098F">
      <w:pPr>
        <w:pStyle w:val="TextoNormal"/>
      </w:pPr>
      <w:r w:rsidRPr="0052098F">
        <w:rPr>
          <w:rStyle w:val="NumeroAFNegritaCaracter"/>
        </w:rPr>
        <w:t>8</w:t>
      </w:r>
      <w:r>
        <w:t>. Sostienen, también, los Diputados recurrentes que las excepciones a la aplicación general del nuevo art. 44 bis LOREG introducidas por los nuevos arts. 187.2 y 201.3 ponen de manifiesto la falta de un fundamento objetivo y razonable de las reformas legislativas controvertidas pues operan sobre los supuestos en los que resulta más manifiesta la tradicionalmente escasa participación de la mujer en la vida política.  Recordemos que esas excepciones se refieren a los municipios con un número de residentes igual o inferior a 3.000 habitantes (5.000 hasta 2011, según la disposición transitoria séptima LOREG añadida por la Ley cuestionada) y a las islas con número de residentes igual o inferior a 5.000 habitantes, respectivamente.</w:t>
      </w:r>
    </w:p>
    <w:p w:rsidR="0052098F" w:rsidRDefault="0052098F" w:rsidP="0052098F">
      <w:pPr>
        <w:pStyle w:val="TextoNormal"/>
      </w:pPr>
      <w:r>
        <w:t>Este reproche no tiene acogida posible dada la interpretación que hemos efectuado del precepto legal impugnado y de su finalidad y el fundamento que a su legitimidad constitucional ofrece el art. 9.2 CE que, es patente, no impone una regulación como la cuestionada, aunque sí le presta el apoyo señalado para la sustanciación de la igualdad y la participación efectivas de hombres y mujeres a que la norma se dirige y que la Constitución expresamente demanda. Siendo esto así, el art. 9.2 CE no obliga a que esa regulación se exija en todos los casos, correspondiendo a la libertad de configuración del legislador democrático el diseño del régimen electoral en los términos vigentes hasta la entrada en vigor de la reforma del art. 44 bis LOREG o en los del nuevo precepto legal, que, sin duda, contribuye a la realización del mandato que inequívocamente dirige el art. 9.2 CE a los poderes públicos, con las excepciones que los Diputados recurrentes cuestionan; excepciones que, por lo demás, persiguen facilitar o flexibilizar su aplicación, constituyendo instrumentos particularmente apropiados para satisfacer las exigencias de la proporcionalidad de la nueva regulación legal. En rigor, los arts. 187.2 y 201.3 LOREG excepcionan la exigibilidad del principio de presencia o composición equilibrada de las listas electorales en unas determinadas circunscripciones electorales caracterizadas por su reducida población, de modo que en ellas tan legítimas resultarán las candidaturas conformadas mayoritariamente por hombres como aquellas integradas principalmente por mujeres.</w:t>
      </w:r>
    </w:p>
    <w:p w:rsidR="0052098F" w:rsidRDefault="0052098F" w:rsidP="0052098F">
      <w:pPr>
        <w:pStyle w:val="TextoNormal"/>
      </w:pPr>
      <w:r>
        <w:t>Al segundo párrafo del nuevo art. 44 bis 1 LOREG se reprocha que da cobertura al establecimiento de normas que eleven la cuota de representación de la mujer hasta acercarla al 50 por 100 en la composición de las listas de candidatos a las Asambleas Legislativas de las Comunidades Autónomas. En todo caso esta habilitación en sí misma, y así entendida encuentra cobertura constitucional en el art. 9.2 CE. Por otra parte, su aplicación concreta, como apunta el Abogado del Estado, puede realizarse a través de diferentes fórmulas respecto de las cuales no procede que nos pronunciemos ahora, pues, como hemos dicho con tanta reiteración que excusa cualquier cita de nuestra jurisprudencia al respecto, no corresponde a este Tribunal efectuar pronunciamientos preventivos sobre legislaciones hipotéticas o sobre legislaciones que, aunque ya existieran, no son objeto del presente proceso.</w:t>
      </w:r>
    </w:p>
    <w:p w:rsidR="0052098F" w:rsidRDefault="0052098F" w:rsidP="0052098F">
      <w:pPr>
        <w:pStyle w:val="TextoNormal"/>
      </w:pPr>
    </w:p>
    <w:p w:rsidR="0052098F" w:rsidRDefault="0052098F" w:rsidP="0052098F">
      <w:pPr>
        <w:pStyle w:val="TextoNormal"/>
      </w:pPr>
      <w:r w:rsidRPr="0052098F">
        <w:rPr>
          <w:rStyle w:val="NumeroAFNegritaCaracter"/>
        </w:rPr>
        <w:t>9</w:t>
      </w:r>
      <w:r>
        <w:t>. Se plantea también por los recurrentes y el órgano judicial cuestionante la posible vulneración por la normativa recurrida de los arts. 14 y 23 CE. Al margen de que, como se ha señalado en el fundamento jurídico 3, tales vulneraciones se predicarían de los ciudadanos y no de los destinatarios de la norma, el propio contenido de los preceptos en cuestión permite rechazar este tipo reflejo de vulneración.</w:t>
      </w:r>
    </w:p>
    <w:p w:rsidR="0052098F" w:rsidRDefault="0052098F" w:rsidP="0052098F">
      <w:pPr>
        <w:pStyle w:val="TextoNormal"/>
      </w:pPr>
      <w:r>
        <w:t xml:space="preserve">Por lo que se refiere a la igualdad de los ciudadanos, no cabe apreciar que una medida legal como la impugnada pueda suponer su infracción, ya que, por el contrario como se ha señalado más atrás, es justamente esa igualdad la que la propia medida asegura.  En efecto </w:t>
      </w:r>
      <w:r>
        <w:lastRenderedPageBreak/>
        <w:t>las modificaciones de la Ley Orgánica del régimen electoral general objeto de nuestro estudio no incorporan fórmulas compensatorias a favor de las mujeres, en su calidad de grupo históricamente desfavorecido (sin perjuicio de la singularidad que reviste la habilitación a la legislación electoral autonómica contenida en el segundo párrafo del art. 44 bis 1 LOREG, sobre la que ya nos hemos pronunciado en el FJ 8), sino que plasman un criterio que se refiere indistintamente a los candidatos de uno y otro sexo, como pone de relieve el hecho de que el citado art. 44 bis LOREG establezca que las listas que se presenten a las elecciones allí mencionadas “deberán tener una composición equilibrada de mujeres y hombres, de forma que en el conjunto de la lista los candidatos de cada uno de los sexos supongan como mínimo el cuarenta por ciento”.</w:t>
      </w:r>
    </w:p>
    <w:p w:rsidR="0052098F" w:rsidRDefault="0052098F" w:rsidP="0052098F">
      <w:pPr>
        <w:pStyle w:val="TextoNormal"/>
      </w:pPr>
      <w:r>
        <w:t>En cuanto al derecho de sufragio pasivo importa reiterar que el art. 23.2 CE no incorpora entre sus contenidos un pretendido derecho fundamental a ser propuesto o presentado, por las formaciones políticas, como candidato en unas elecciones (STC 78/1987, de 26 de mayo, FJ 3). Por tanto, no puede entenderse quebrantado el contenido esencial del derecho de sufragio pasivo, identificado en nuestra STC 154/2003, de 17 de julio, como la garantía de “que accedan al cargo público aquellos candidatos que los electores hayan elegido como sus representantes, satisfaciéndose, por tanto, dicho derecho siempre que se mantenga la debida correlación entre la voluntad del cuerpo electoral y la proclamación de los candidatos … [ibidem; también, STC 185/1999, de 11 de octubre, FJ 2 c)]” [FJ 6 c)]. Nada hay en la disposición adicional segunda LOIMH que altere la correlación entre la voluntad del cuerpo electoral manifestada mediante el ejercicio del derecho de sufragio activo y los candidatos que hayan obtenido la confianza de los electores y, en cuanto tales, deban ser proclamados electos y acceder a los cargos públicos electivos. El principio de composición equilibrada es un instrumento al servicio de la igualdad de oportunidades en el ejercicio del derecho de sufragio pasivo pues informa la elaboración de las candidaturas; siendo ello así sólo cabría plantearse una eventual vulneración del contenido esencial del derecho fundamental proclamado en el art. 23.2 CE si su aplicación se efectuara en la fase de proclamación de candidatos electos, operando a partir de los resultados electorales.</w:t>
      </w:r>
    </w:p>
    <w:p w:rsidR="0052098F" w:rsidRDefault="0052098F" w:rsidP="0052098F">
      <w:pPr>
        <w:pStyle w:val="TextoNormal"/>
      </w:pPr>
      <w:r>
        <w:t>En relación con el derecho de sufragio activo, del mismo modo que del art. 23.2 CE no cabe inferir la exigencia de un determinado sistema electoral, o de un determinado mecanismo de atribución de los cargos representativos objeto de elección en función de los votos obtenidos (STC 75/1985, de 21 de junio, FJ 4), tampoco del art. 23.1 CE puede derivarse un derecho subjetivo de los ciudadanos a una concreta composición de las listas electorales. La afirmación de que nadie ostenta un derecho fundamental a ser presentado como candidato en unas elecciones (STC 78/1987, de 26 de mayo, FJ 3) encuentra su natural correlato en la constatación de que tampoco nadie puede pretender ser titular del derecho fundamental a que las formaciones políticas enumeradas en el art. 44 LOREG presenten a terceras personas como candidatos. El derecho de sufragio activo recogido en el art. 23.1 CE se ejerce por los ciudadanos mediante la elección, a través del sufragio libre, igual, directo y secreto, entre las opciones presentadas para su consideración por las formaciones políticas habilitadas al efecto por la legislación electoral, sin que forme parte de ese derecho la facultad de otorgar la condición de candidato a quien no fue propuesto como tal por los partidos políticos, agrupaciones de electores o federaciones de partidos. No cabe, por consiguiente, apreciar contradicción alguna entre la disposición adicional segunda LOIMH y los arts. 14 y 23.1 CE.</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10</w:t>
      </w:r>
      <w:r>
        <w:t>. Finalmente, en cuanto a la queja, que ha de entenderse referida al apartado 1 del art.  23 CE sobre la fragmentación del cuerpo electoral, no se aprecia que las medidas controvertidas quiebren la unidad de la categoría de ciudadano o entrañen un riesgo cierto de disolución del interés general en un conjunto de intereses parciales o por categorías. Como ya hemos apuntado, el principio de composición equilibrada de las candidaturas electorales se asienta sobre un criterio natural y universal, como es el sexo. Pues bien, debemos añadir ahora que las previsiones de la disposición adicional segunda LOIMH no suponen la creación de vínculos especiales entre electores y elegibles, ni la compartimentación del cuerpo electoral en función del sexo.  Los candidatos defienden opciones políticas diversas ante el conjunto del electorado y, caso de recibir el respaldo de éste, lo representarán también en su conjunto y no sólo a los electores de su mismo sexo.</w:t>
      </w:r>
    </w:p>
    <w:p w:rsidR="0052098F" w:rsidRDefault="0052098F" w:rsidP="0052098F">
      <w:pPr>
        <w:pStyle w:val="TextoNormal"/>
      </w:pPr>
      <w:r>
        <w:t>No cabe atender, pues, al argumento de los recurrentes de que el requisito de la paridad perjudica a la unidad del pueblo soberano en la medida en que introduce en la categoría de ciudadano —“una e indivisible” para los Diputados recurrentes— la divisoria del sexo. Baste decir que el cuerpo electoral no se confunde con el titular de la soberanía, esto es, con el pueblo español (art. 1.2 CE), aunque su voluntad se exprese a través de él.  Este cuerpo electoral está sometido a la Constitución y al resto del Ordenamiento jurídico (art. 9.1 CE), en tanto que el pueblo soberano es la unidad ideal de imputación del poder constituyente y como tal fundamento de la Constitución y del Ordenamiento. Las causas determinantes de la condición de elector no afectan, por tanto, a esta unidad ideal, sino al conjunto de quienes, como ciudadanos, están sometidos al Ordenamiento español y no tienen, en cuanto tales, más derechos que los que la Constitución les garantiza, con el contenido que, asegurado un mínimo constitucional indisponible, determine el legislador constituido.</w:t>
      </w:r>
    </w:p>
    <w:p w:rsidR="0052098F" w:rsidRDefault="0052098F" w:rsidP="0052098F">
      <w:pPr>
        <w:pStyle w:val="TextoNormal"/>
      </w:pPr>
      <w:r>
        <w:t>Pues bien, las mismas razones que nos llevan a descartar que las previsiones legales controvertidas introduzcan una nueva causa de inelegibilidad limitativa del ejercicio del derecho de sufragio pasivo o establezcan un vínculo más estrecho entre electores y elegibles en función del sexo que compartan introduciendo una división inaceptable en la unidad del pueblo soberano, conducen directamente a descartar la existencia de la vulneración del art. 68.5 CE denunciada por los Diputados que han interpuesto el recurso de inconstitucionalidad núm. 5653-2007.</w:t>
      </w:r>
    </w:p>
    <w:p w:rsidR="0052098F" w:rsidRDefault="0052098F" w:rsidP="0052098F">
      <w:pPr>
        <w:pStyle w:val="TextoNormal"/>
      </w:pPr>
      <w:r>
        <w:t>Por lo expuesto debemos concluir que la disposición adicional segunda de la Ley Orgánica para la igualdad efectiva de mujeres y hombres no es contraria a los arts. 23 y 68.5 CE.</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Desestimar la cuestión de inconstitucionalidad núm. 4069-2007, promovida por el Juzgado de lo Contencioso-Administrativo núm. 1 de Santa Cruz de Tenerife, y el recurso de inconstitucionalidad núm. 5653-2007, interpuesto por más de cincuenta Diputados del Grupo Parlamentario Popular del Congreso de los Diputados.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veintinueve de enero de dos mil ocho.</w:t>
      </w:r>
    </w:p>
    <w:p w:rsidR="0052098F" w:rsidRDefault="0052098F" w:rsidP="0052098F">
      <w:pPr>
        <w:pStyle w:val="ParrafoNormal"/>
      </w:pPr>
    </w:p>
    <w:p w:rsidR="0052098F" w:rsidRDefault="0052098F" w:rsidP="0052098F">
      <w:pPr>
        <w:pStyle w:val="TextoNormalNegritaCentrado"/>
        <w:keepNext/>
      </w:pPr>
      <w:r>
        <w:t>Voto particular que formula el Magistrado Excmo. Sr. don Jorge Rodríguez-Zapata Pérez a la Sentencia del Pleno sobre la Ley Orgánica 3/2007, de 22 de marzo, para la igualdad efectiva de mujeres y hombres.</w:t>
      </w:r>
    </w:p>
    <w:p w:rsidR="0052098F" w:rsidRDefault="0052098F" w:rsidP="0052098F">
      <w:pPr>
        <w:pStyle w:val="TextoNormalNegritaCentrado"/>
        <w:keepNext/>
      </w:pPr>
    </w:p>
    <w:p w:rsidR="0052098F" w:rsidRDefault="0052098F" w:rsidP="0052098F">
      <w:pPr>
        <w:pStyle w:val="TextoNormal"/>
      </w:pPr>
      <w:r>
        <w:t>1. Por primera vez desde el inicio de nuestra democracia, veintiséis mujeres —dieciséis en la circunscripción de Garachico y diez en la de Brunete— no han podido concurrir como candidatas a unas elecciones a causa de su condición de mujeres. Tal resultado tiene su origen en el art. 44 bis de la Ley Orgánica 5/1985, de 19 de junio, del régimen electoral general, introducido por la disposición adicional segunda de la Ley Orgánica 3/2007, de 22 de marzo, para la igualdad efectiva de mujeres y hombres.  Esta paradoja revela la complejidad de la materia regulada por el precepto cuya constitucionalidad se cuestiona.</w:t>
      </w:r>
    </w:p>
    <w:p w:rsidR="0052098F" w:rsidRDefault="0052098F" w:rsidP="0052098F">
      <w:pPr>
        <w:pStyle w:val="TextoNormal"/>
      </w:pPr>
      <w:r>
        <w:t>Una aproximación superficial al problema de la representación política paritaria llevaría a creer que lo que se discute es algo tan simple como la conveniencia de que la proporción de mujeres que se postulen para ejercer cargos públicos representativos deba ser equivalente o aproximada a la de los varones. Si se tratara de ello mi voto hubiera sido favorable a la constitucionalidad de la Ley cuestionada. Pero el problema es mucho más complejo puesto que, aplicado al ámbito de la representación política, el sistema de paridad altera las bases sobre las que está construida la soberanía popular y la libertad ideológica y de autoorganización de los partidos políticos.</w:t>
      </w:r>
    </w:p>
    <w:p w:rsidR="0052098F" w:rsidRDefault="0052098F" w:rsidP="0052098F">
      <w:pPr>
        <w:pStyle w:val="TextoNormal"/>
      </w:pPr>
      <w:r>
        <w:t>Mi posición se resume en considerar constitucionalmente válido que los partidos políticos puedan acoger en sus estatutos cláusulas que aseguren la participación de la mujer en las listas electorales. Pero que en nuestro modelo constitucional la imposición por ley de la paridad o de cuotas electorales vulnera el principio de unidad de la representación política y la libertad ideológica y de autoorganización de los partidos políticos, resultando lesionado el derecho de sufragio pasivo de los candidatos propuestos que queden excluidos de participar en el proceso electoral como consecuencia de la aplicación de la norma cuestionada.</w:t>
      </w:r>
    </w:p>
    <w:p w:rsidR="0052098F" w:rsidRDefault="0052098F" w:rsidP="0052098F">
      <w:pPr>
        <w:pStyle w:val="TextoNormal"/>
      </w:pPr>
      <w:r>
        <w:t>2. La reivindicación de la paridad se funda en la idea de que la división de la Humanidad en dos sexos tiene más fuerza y prevalece sobre cualquier otro criterio de unión o de distinción de los seres humanos. Sin embargo, ha sido un principio fundamental desde los inicios del Estado liberal surgido de la Revolución francesa que la representación política no puede dividirse, porque es expresión de la voluntad general. Como reacción frente al Ancien Règime y a las asambleas divididas en los brazos estamentales, el nuevo orden político estableció, en palabras de Sieyès, que “el ciudadano es el hombre desprovisto de toda clase o grupo y hasta de todo interés personal; es el individuo como miembro de la comunidad despojado de todo lo que pudiera imprimir a su personalidad un carácter particular”. Sobre este concepto de ciudadano se edifica el régimen representativo, afirmándose en el art. 6 de la Declaración de derechos del hombre y del ciudadano de 1789 que “La ley es la expresión de la voluntad general. … Como todos los ciudadanos son iguales ante ella, todos son igualmente admisibles en toda dignidad, cargo o empleo públicos, según sus capacidades y sin otra distinción que la de sus virtudes y sus talentos”.</w:t>
      </w:r>
    </w:p>
    <w:p w:rsidR="0052098F" w:rsidRDefault="0052098F" w:rsidP="0052098F">
      <w:pPr>
        <w:pStyle w:val="TextoNormal"/>
      </w:pPr>
      <w:r>
        <w:t xml:space="preserve">En nuestros días sigue siendo cierto que los candidatos elegidos representan a todos los ciudadanos, no sólo a los que les votaron, ni siquiera sólo a los que votaron, sino también a los que no lo hicieron; representan a los que por ser menores, incapaces o estar condenados no pudieron votar, a los que pudiendo hacerlo se abstuvieron y a los que votaron en blanco. A todos representan. Así lo entendió tempranamente este Tribunal al señalar que “una vez elegidos, los representantes no lo son de quienes los votaron, sino de todo el cuerpo electoral” (STC 10/1983, de 21 de febrero, FJ 4) y que “los Diputados, en cuanto integrantes de </w:t>
      </w:r>
      <w:r>
        <w:lastRenderedPageBreak/>
        <w:t>las Cortes Generales, representan al conjunto del pueblo español ... Otra cosa sería abrir el camino a la disolución de la unidad de la representación y con ello de la unidad del Estado” (STC 101/1983, de 18 de noviembre, FJ 3). Sólo así se entiende que el voto de todos los parlamentarios tenga el mismo valor aunque cada candidato haya accedido al escaño respaldado por un distinto número de votos.</w:t>
      </w:r>
    </w:p>
    <w:p w:rsidR="0052098F" w:rsidRDefault="0052098F" w:rsidP="0052098F">
      <w:pPr>
        <w:pStyle w:val="TextoNormal"/>
      </w:pPr>
      <w:r>
        <w:t>En las democracias occidentales la función primera de la representación política consiste en transformar una pluralidad inicial en “una” voluntad política, porque resulta deseable que la heterogeneidad de razas, religiones, culturas, lenguas, lugares de nacimiento, etc., no sea obstáculo para la consideración legal de ciudadano. Se es ciudadano y sólo ciudadano. Por ello en nuestro modelo constitucional la soberanía nacional reside en el pueblo español en su conjunto, del que emanan los poderes del Estado (art. 1.2 CE), las Cortes Generales representan al pueblo español (art. 66.1 CE) y son electores y elegibles todos los españoles que estén en pleno uso de sus derechos políticos (art.  68.5 CE).</w:t>
      </w:r>
    </w:p>
    <w:p w:rsidR="0052098F" w:rsidRDefault="0052098F" w:rsidP="0052098F">
      <w:pPr>
        <w:pStyle w:val="TextoNormal"/>
      </w:pPr>
      <w:r>
        <w:t>El nuevo modelo de representación política que se inaugura con la Ley Orgánica 3/2007, de 22 de marzo, interpone la condición sexual entre la soberanía y la condición de ciudadano, de modo que hombres y mujeres, hasta ahora personas indiferenciadas en el ejercicio del derecho de sufragio, incorporan una circunstancia añadida de la que no pueden desprenderse. Ciertamente no puede extrañar el recelo de esta regulación en un amplio sector de la militancia feminista.</w:t>
      </w:r>
    </w:p>
    <w:p w:rsidR="0052098F" w:rsidRDefault="0052098F" w:rsidP="0052098F">
      <w:pPr>
        <w:pStyle w:val="TextoNormal"/>
      </w:pPr>
      <w:r>
        <w:t>Debemos preguntarnos: ¿Es concebible dividir a los representantes políticos en categorías, con el fin de facilitar o asegurar un mínimo de elegidos de cada una, sin que resulte gravemente afectado el principio de la unidad y de la homogeneidad del cuerpo de ciudadanos? Si la respuesta es afirmativa ello permitirá al legislador, en un futuro, imponer al cuerpo electoral que en las candidaturas electorales deban figurar necesariamente personas integradas en colectivos definidos por la raza, la lengua, la orientación sexual, la religión, determinadas minusvalías congénitas, su condición de jóvenes o de personas de la tercera edad, etc. sin que la Sentencia acierte a razonar convincentemente que, en adelante, el legislador no pueda introducir estos criterios al regular el derecho de sufragio pasivo, ya que la propia Sentencia (FJ 4) atribuye al legislador la tarea de “actualizar y materializar” la efectividad de la igualdad en el ámbito de la representación política. Así, en Bélgica, mediante reforma constitucional, se han introducido cuotas lingüísticas en la actividad política.</w:t>
      </w:r>
    </w:p>
    <w:p w:rsidR="0052098F" w:rsidRDefault="0052098F" w:rsidP="0052098F">
      <w:pPr>
        <w:pStyle w:val="TextoNormal"/>
      </w:pPr>
      <w:r>
        <w:t>3. Para la Sentencia el art. 9.2 CE es el deus ex machina que habilita para modificar el modelo de democracia representativa vigente desde la aprobación de la Constitución de 1978. Sin embargo no puede obviarse que hasta comienzos de la década de los ochenta no empiezan a articularse propuestas para introducir cuotas de género en las listas electorales, como el proyecto Barre en Francia o cuando en 1986 los Verdes adoptaron en Alemania el Frauenstatut y dos años más tarde el SPD con la llamada Quotenbeschluss, surgiendo en los años noventa las propuestas de paridad electoral. Por tanto, difícilmente el constituyente español pudo habilitar en 1978 al legislador, en el art. 9.2, para mutar el secular modelo de representación política. El art.  9.2 CE presenta una similitud tal con el art. 3.2 de la Constitución italiana de 1948 que inmediatamente sugiere que nuestro constituyente se inspiró en él, siendo así que en Italia fue precisa una reforma constitucional expresa para poder introducir normas de paridad electoral.</w:t>
      </w:r>
    </w:p>
    <w:p w:rsidR="0052098F" w:rsidRDefault="0052098F" w:rsidP="0052098F">
      <w:pPr>
        <w:pStyle w:val="TextoNormal"/>
      </w:pPr>
      <w:r>
        <w:t xml:space="preserve">A mi juicio el art. 9.2 CE propicia medidas de fomento de la igualdad material y, de hecho, es en los países escandinavos donde la mujer ha logrado mayor presencia efectiva en las listas electorales, sólo con medidas positivas de fomento voluntariamente incorporadas a los estatutos de los partidos políticos. Al Estado Social de Derecho le corresponde remover los obstáculos que impidan o dificulten que la libertad y la igualdad del individuo sean </w:t>
      </w:r>
      <w:r>
        <w:lastRenderedPageBreak/>
        <w:t>efectivas y reales, adoptando medidas de fomento para que los colectivos que histórica o coyunturalmente han visto dificultado su acceso a los cargos públicos representativos puedan hacerlo en condiciones de igualdad real. Para ello, en el caso de la mujer, compete al legislador establecer medidas que permitan la conciliación de la vida laboral o profesional con la familiar, perseguir en todos los ámbitos la violencia de género, el acoso sexual o la cosificación de la mujer en los medios publicitarios, combatir la educación sexista, la discriminación en el empleo o en las remuneraciones, facilitar la opción por la maternidad y cuantas múltiples formas de acción positiva tiendan de modo decidido a mejorar la posición de la mujer en la sociedad y, en lo que ahora interesa, fomentar su integración en la vida política. Por ello, considero que es constitucionalmente válido que los partidos políticos acojan en sus estatutos cláusulas que aseguren la participación de la mujer en las listas electorales.</w:t>
      </w:r>
    </w:p>
    <w:p w:rsidR="0052098F" w:rsidRDefault="0052098F" w:rsidP="0052098F">
      <w:pPr>
        <w:pStyle w:val="TextoNormal"/>
      </w:pPr>
      <w:r>
        <w:t>El propio Convenio sobre la eliminación de todas las formas de discriminación de la mujer, de 18 de diciembre de 1979, que entró en vigor para España el 4 de febrero de 1984 y es todavía la norma de Derecho internacional convencional más avanzada en esta materia, el previo Convenio de Nueva York de 1953 sobre derechos políticos de la mujeres y la Resolución núm. 169 de 1988 del Parlamento europeo, no contienen un llamamiento dirigido a los Gobiernos o a los Parlamentos nacionales, sino a los partidos políticos.</w:t>
      </w:r>
    </w:p>
    <w:p w:rsidR="0052098F" w:rsidRDefault="0052098F" w:rsidP="0052098F">
      <w:pPr>
        <w:pStyle w:val="TextoNormal"/>
      </w:pPr>
      <w:r>
        <w:t>De otra parte, el Convenio sobre la eliminación de todas las formas de discriminación de la mujer contempla medidas especiales de carácter temporal encaminadas a acelerar la igualdad de facto entre el hombre y la mujer, pero que cesarán cuando se hayan alcanzado los objetivos de igualdad de oportunidades y trato (art. 4). Y es que, efectivamente, lo consustancial a las medidas de discriminación positiva es su carácter temporal como consecuencia lógica de la consideración de que el hombre y la mujer son —por esencia— iguales en derechos y en dignidad humana. Sin embargo el art. 44 bis LOREG, introducido por la Ley para la igualdad efectiva de mujeres y hombres, más que mejorar la posición de partida de las mujeres para que éstas puedan alcanzar un determinado resultado —acceder a cargos de representación política en igualdad de condiciones con los hombres—, antes que esto, lo que persigue es imponer directamente un resultado puesto que, en un sistema de listas electorales cerradas con alternancia impuesta, la igualdad de oportunidades se transforma en igualdad de resultados. Y constato una cierta incoherencia en que la Ley excluya de su aplicación a muchos municipios del ámbito rural, donde de facto las mujeres tienen más dificultad para participar en la vida política.</w:t>
      </w:r>
    </w:p>
    <w:p w:rsidR="0052098F" w:rsidRDefault="0052098F" w:rsidP="0052098F">
      <w:pPr>
        <w:pStyle w:val="TextoNormal"/>
      </w:pPr>
      <w:r>
        <w:t>La Sentencia destaca el carácter equilibrado y bidireccional de la Ley. Pero esa lectura hábil se ve contradicha por el propio texto legal, que olvida ese equilibrio —en principio neutral— en su art. 44 bis 1 in fine cuando habilita a las Comunidades Autónomas para que, en la elección de miembros de sus Asambleas Legislativas, sus leyes reguladoras puedan “establecer medidas que favorezcan una mayor presencia de mujeres en las candidaturas que se presenten a las elecciones de las citadas Asambleas Legislativas”. Pues bien, para que las medidas de acción positiva sean admisibles deben cumplir la condición de no producir efectos retrodiscriminadores (reverse discrimination), los cuales sí permite la nueva norma, como se ha evidenciado en los casos de las mujeres excluidas de los procesos electorales de Brunete y Garachico.</w:t>
      </w:r>
    </w:p>
    <w:p w:rsidR="0052098F" w:rsidRDefault="0052098F" w:rsidP="0052098F">
      <w:pPr>
        <w:pStyle w:val="TextoNormal"/>
      </w:pPr>
      <w:r>
        <w:t xml:space="preserve">4. De nuestra jurisprudencia se infiere que el derecho de sufragio pasivo no puede ser modulado mediante afectación del principio de igualdad —lo que me parece indudable que ocurre cuando se consagra la división del cuerpo electoral por razón del sexo— ni limitando derechos fundamentales: en este caso, el derecho de asociación (art. 22 CE) en la modalidad referida a los partidos políticos, y el derecho de sufragio pasivo (art. 23.2 CE). En efecto, </w:t>
      </w:r>
      <w:r>
        <w:lastRenderedPageBreak/>
        <w:t>en la importante y conocida STC 10/1983, de 21 de febrero (FJ 2), se fijó que el legislador, al regular el derecho de sufragio pasivo puede establecer libremente las condiciones que estime más adecuadas, pero que esta libertad tiene como limitaciones generales las que imponen el principio de igualdad y los derechos fundamentales que la Constitución garantiza.</w:t>
      </w:r>
    </w:p>
    <w:p w:rsidR="0052098F" w:rsidRDefault="0052098F" w:rsidP="0052098F">
      <w:pPr>
        <w:pStyle w:val="TextoNormal"/>
      </w:pPr>
      <w:r>
        <w:t>Sostiene la Sentencia que los partidos políticos, y no los ciudadanos, son los destinatarios de las normas que imponen la paridad en las listas electorales. Razonaba Hans Kelsen, a principios del siglo pasado, que identificar a los destinatarios de las normas era uno de los problemas capitales (Hauptprobleme) del Derecho público. La soltura de la Sentencia para ceñir a los partidos políticos y a las coaliciones de electores normas que la propia exposición de motivos de la Ley vincula al art.  23.2 CE hubiera sorprendido al jurista vienés. Lo cierto es que resulta lesionado el derecho de sufragio pasivo de los candidatos propuestos que queden excluidos de participar en el proceso electoral como consecuencia de la aplicación de la norma cuestionada.  Me parece que sólo con artificio puede negarse que el sistema de paridad veta la posibilidad de convertirse en representantes, en razón de su sexo, a quienes junto a otros concurrentes de su mismo género rebasen una barrera establecida de manera arbitraria por el legislador.</w:t>
      </w:r>
    </w:p>
    <w:p w:rsidR="0052098F" w:rsidRDefault="0052098F" w:rsidP="0052098F">
      <w:pPr>
        <w:pStyle w:val="TextoNormal"/>
      </w:pPr>
      <w:r>
        <w:t>Desde luego, no existe un derecho a ser incluido en una candidatura electoral. Pero debe recordarse que en el caso que origina este proceso constitucional las dieciséis mujeres de la circunscripción de Garachico fueron incluidas en la candidatura y que, por tanto, no invocan un inexistente derecho a su inserción en la lista electoral sino que, una vez que se integraron en la candidatura, reclamaron el derecho a ser elegidas por el electorado, su derecho de sufragio pasivo (art. 23.2 CE).</w:t>
      </w:r>
    </w:p>
    <w:p w:rsidR="0052098F" w:rsidRDefault="0052098F" w:rsidP="0052098F">
      <w:pPr>
        <w:pStyle w:val="TextoNormal"/>
      </w:pPr>
      <w:r>
        <w:t>5. Considero que la imposición legislativa de la paridad o de cuotas electorales vulnera la libertad ideológica y de autoorganización de los partidos políticos (arts. 6 y 22 CE). Una democracia madura debe hacer efectiva su confianza en que los partidos políticos “expresan el pluralismo político, concurren a la formación y manifestación de la voluntad popular y son instrumento fundamental de la participación política” y que “su creación y el ejercicio de su actividad es libre dentro del respeto a la Constitución y la ley” (art. 6 CE).</w:t>
      </w:r>
    </w:p>
    <w:p w:rsidR="0052098F" w:rsidRDefault="0052098F" w:rsidP="0052098F">
      <w:pPr>
        <w:pStyle w:val="TextoNormal"/>
      </w:pPr>
      <w:r>
        <w:t>Me parece obvio que las mujeres o los hombres que integran las candidaturas electorales no aspiran a representar, respectivamente, a las mujeres o a los varones, pues no es defendible que las mujeres sólo voten a mujeres, ni los hombres a los hombres, ni que cada sexo sólo se represente a sí mismo. La decisión del elector es producto de una motivación compleja que sólo el análisis sociológico concreto permitiría, con mayor o menor precisión, establecer en cada caso (STC 10/1983, de 21 de febrero, FJ 3), pero parece claro que el voto de los ciudadanos atiende al programa que defienden los partidos políticos, coaliciones y agrupaciones de electores, con independencia de que sean hombres o mujeres quienes integren las candidaturas.</w:t>
      </w:r>
    </w:p>
    <w:p w:rsidR="0052098F" w:rsidRDefault="0052098F" w:rsidP="0052098F">
      <w:pPr>
        <w:pStyle w:val="TextoNormal"/>
      </w:pPr>
      <w:r>
        <w:t>Por último, creo que debemos reflexionar sobre las razones por las que en Francia, Alemania, Italia, Portugal o Bélgica, la introducción de cuotas o paridades en la actividad política ha venido precedida de la reforma de sus respectivas Constituciones.  No creo que obedezca tan sólo al respeto jurídico que a estos países les merecen sus propias normas constitucionales sino a algo más profundo, cual es la necesidad de que los elementos estructurales de la democracia sean fruto del consenso y no de la imposición de una mayoría parlamentaria coyuntural al resto de las fuerzas políticas.</w:t>
      </w:r>
    </w:p>
    <w:p w:rsidR="0052098F" w:rsidRDefault="0052098F" w:rsidP="0052098F">
      <w:pPr>
        <w:pStyle w:val="TextoNormal"/>
      </w:pPr>
      <w:r>
        <w:t>Madrid, a veintinueve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6" w:name="SENTENCIA_2008_13"/>
      <w:r>
        <w:lastRenderedPageBreak/>
        <w:t>SENTENCIA 13/2008, de 31 de enero de 2008</w:t>
      </w:r>
    </w:p>
    <w:bookmarkEnd w:id="16"/>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ECLI:ES:TC:2008:13</w:t>
      </w:r>
    </w:p>
    <w:p w:rsidR="0052098F" w:rsidRDefault="0052098F" w:rsidP="0052098F">
      <w:pPr>
        <w:pStyle w:val="SntesisDescriptiva"/>
      </w:pPr>
    </w:p>
    <w:p w:rsidR="0052098F" w:rsidRDefault="0052098F" w:rsidP="0052098F">
      <w:pPr>
        <w:pStyle w:val="SntesisDescriptiva"/>
      </w:pPr>
      <w:r>
        <w:t>Recurso de amparo 5213-2004. Promovido por don Miguel Sánchez-Apellániz y Valderrama frente al Auto de la Sala de lo Civil del Tribunal Supremo y la Sentencia de la Audiencia Provincial de Madrid que, respectivamente, inadmitió su recurso de revisión y desestimó su demanda sobre mejor derecho al título de Marqués de Berlanga.</w:t>
      </w:r>
    </w:p>
    <w:p w:rsidR="0052098F" w:rsidRDefault="0052098F" w:rsidP="0052098F">
      <w:pPr>
        <w:pStyle w:val="SntesisDescriptiva"/>
      </w:pPr>
    </w:p>
    <w:p w:rsidR="0052098F" w:rsidRDefault="0052098F" w:rsidP="0052098F">
      <w:pPr>
        <w:pStyle w:val="SntesisAnaltica"/>
      </w:pPr>
      <w:r>
        <w:t>Alegada y supuesta vulneración de los derechos a la tutela judicial efectiva y a la igualdad en la aplicación de la ley: inadmisión de recurso de revisión civil, porque los documentos aportados estaban a disposición del público con anterioridad, que aplica razonadamente una norma legal; falta de aportación de las resoluciones de contraste.</w:t>
      </w:r>
    </w:p>
    <w:p w:rsidR="0052098F" w:rsidRDefault="0052098F" w:rsidP="0052098F">
      <w:pPr>
        <w:pStyle w:val="SntesisAnaltica"/>
      </w:pPr>
    </w:p>
    <w:p w:rsidR="0052098F" w:rsidRDefault="0052098F" w:rsidP="0052098F">
      <w:pPr>
        <w:pStyle w:val="Extracto"/>
      </w:pPr>
      <w:r>
        <w:t>1.</w:t>
      </w:r>
      <w:r>
        <w:tab/>
        <w:t>No se vulnera el art. 24.1 CE si la interpretación y aplicación por el Tribunal Supremo del plazo para interponer recurso de revisión, y cómputo de éste, posee base legal, siendo la falta de diligencia del demandante de amparo la determinante de la inadmisión de su pretensión [FJ 4].</w:t>
      </w:r>
    </w:p>
    <w:p w:rsidR="0052098F" w:rsidRDefault="0052098F" w:rsidP="0052098F">
      <w:pPr>
        <w:pStyle w:val="Extracto"/>
      </w:pPr>
    </w:p>
    <w:p w:rsidR="0052098F" w:rsidRDefault="0052098F" w:rsidP="0052098F">
      <w:pPr>
        <w:pStyle w:val="Extracto"/>
      </w:pPr>
      <w:r>
        <w:t>2.</w:t>
      </w:r>
      <w:r>
        <w:tab/>
        <w:t>El no adjuntar en la demanda la resolución judicial aducida como término de contraste es suficiente para no poder atender el motivo de amparo, ya que la concreta y real aportación de un tertium comparationis adecuado por la parte recurrente es el primer requisito para poder apreciar una eventual vulneración del principio de igualdad en la aplicación de la Ley (SSTC 106/2003, 297/2005) [FJ 5].</w:t>
      </w:r>
    </w:p>
    <w:p w:rsidR="0052098F" w:rsidRDefault="0052098F" w:rsidP="0052098F">
      <w:pPr>
        <w:pStyle w:val="Extracto"/>
      </w:pPr>
    </w:p>
    <w:p w:rsidR="0052098F" w:rsidRDefault="0052098F" w:rsidP="0052098F">
      <w:pPr>
        <w:pStyle w:val="Extracto"/>
      </w:pPr>
      <w:r>
        <w:t>3.</w:t>
      </w:r>
      <w:r>
        <w:tab/>
        <w:t>La revisión es un instrumento que sirve al ejercicio del derecho a obtener la invalidación de la sentencia que ha ganado firmeza, en los casos en que el legislador abre vías para rescindir un proceso anterior y que alcanzan a ellas las garantías del art. 24.1 CE sobre acceso a la revisión y al conocimiento de la pretensión revisora en el proceso debido (STC 50/1982) [FJ 4].</w:t>
      </w:r>
    </w:p>
    <w:p w:rsidR="0052098F" w:rsidRDefault="0052098F" w:rsidP="0052098F">
      <w:pPr>
        <w:pStyle w:val="Extracto"/>
      </w:pPr>
    </w:p>
    <w:p w:rsidR="0052098F" w:rsidRDefault="0052098F" w:rsidP="0052098F">
      <w:pPr>
        <w:pStyle w:val="Extracto"/>
      </w:pPr>
      <w:r>
        <w:t>4.</w:t>
      </w:r>
      <w:r>
        <w:tab/>
        <w:t>El recurso de revisión que se planteó no constituía un remedio posible y útil para obtener la reparación de la vulneración imputada a la Sentencia de apelación, por lo que cabe calificarlo de manifiestamente improcedente a los efectos de determinar la extemporaneidad de este motivo de la demanda de amparo, concurriendo la causa de inadmisión previa en el art. 50.1 a) en relación con el art. 44.2 LOTC [FJ 2].</w:t>
      </w:r>
    </w:p>
    <w:p w:rsidR="0052098F" w:rsidRDefault="0052098F" w:rsidP="0052098F">
      <w:pPr>
        <w:pStyle w:val="Extracto"/>
      </w:pPr>
    </w:p>
    <w:p w:rsidR="0052098F" w:rsidRDefault="0052098F" w:rsidP="0052098F">
      <w:pPr>
        <w:pStyle w:val="Extracto"/>
      </w:pPr>
      <w:r>
        <w:t>5.</w:t>
      </w:r>
      <w:r>
        <w:tab/>
        <w:t>Pese a la inicial admisión de la demanda, la comprobación de que concurren los requisitos procesales puede abordarse o reconsiderarse en la Sentencia, pudiendo dar lugar a un pronunciamiento de inadmisión por falta de tales presupuestos (STC 174/2007) [FJ 2].</w:t>
      </w:r>
    </w:p>
    <w:p w:rsidR="0052098F" w:rsidRDefault="0052098F" w:rsidP="0052098F">
      <w:pPr>
        <w:pStyle w:val="Extracto"/>
      </w:pPr>
    </w:p>
    <w:p w:rsidR="0052098F" w:rsidRDefault="0052098F" w:rsidP="0052098F">
      <w:pPr>
        <w:pStyle w:val="Extracto"/>
      </w:pPr>
      <w:r>
        <w:t>6.</w:t>
      </w:r>
      <w:r>
        <w:tab/>
        <w:t xml:space="preserve">Se puede admitir la ampliación de la demanda, presentada antes del trámite de alegaciones de admisión, siempre que no varíe el derecho fundamental invocado y </w:t>
      </w:r>
      <w:r>
        <w:lastRenderedPageBreak/>
        <w:t>trate de hechos sobrevenidos a la presentación de la demanda, íntimamente conexos a los anteriores y no susceptibles de una nueva demanda y posterior petición de acumulación [FJ 3].</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5213-2004, promovido por don Miguel Sánchez-Apellániz y Valderrama, quien asumió su propia representación y dirección técnica, contra el Auto de fecha 30 de junio de 2004, dictado por la Sala de lo Civil del Tribunal Supremo en el recurso de revisión núm. 29-2004, y contra la Sentencia de fecha 1 de septiembre de 1997, dictada por la Sección Vigesimoprimera de la Audiencia Provincial de Madrid. Ha intervenido el Ministerio Fiscal. Ha sido Ponente el Magistrado don Roberto García-Calvo y Montiel,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día 24 de agosto de 2005, don Miguel Sánchez-Apellániz y Valderrama, bajo su propia dirección técnica, interpuso recurso de amparo contra las resoluciones judiciales que se mencionan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demanda de amparo tiene su origen en los siguientes antecedentes: </w:t>
      </w:r>
    </w:p>
    <w:p w:rsidR="0052098F" w:rsidRDefault="0052098F" w:rsidP="0052098F">
      <w:pPr>
        <w:pStyle w:val="TextoNormal"/>
      </w:pPr>
      <w:r>
        <w:t xml:space="preserve">a) El demandante de amparo presentó en fecha 20 de marzo de 1990 demanda de juicio declarativo ordinario de mayor cuantía ante el Juzgado de Primera Instancia núm. 18 de los de Madrid, sobre su preferencia y mejor derecho al título de Marqués de Berlanga, contra la Sra. Duquesa de Osuna y demás desconocidos herederos, sucesores y causahabientes de don Juan de Tovar Velasco, fundador del vínculo y mayorazgo que regula la sucesión de dicho título. </w:t>
      </w:r>
    </w:p>
    <w:p w:rsidR="0052098F" w:rsidRDefault="0052098F" w:rsidP="0052098F">
      <w:pPr>
        <w:pStyle w:val="TextoNormal"/>
      </w:pPr>
      <w:r>
        <w:t xml:space="preserve">b) El Juzgado dictó Sentencia, de fecha 30 de julio de 1994, estimando la demanda y declarando el mejor y preferente derecho del Sr. Sánchez-Apellániz y Valderrama al título de Marqués de Berlanga, desestimando la demanda reconvencional deducida de contrario. </w:t>
      </w:r>
    </w:p>
    <w:p w:rsidR="0052098F" w:rsidRDefault="0052098F" w:rsidP="0052098F">
      <w:pPr>
        <w:pStyle w:val="TextoNormal"/>
      </w:pPr>
      <w:r>
        <w:t xml:space="preserve">c) Apelado dicho fallo por don Gabriel Squella Duque de Estrada, la Sección Vigesimoprimera de la Audiencia Provincial de Madrid dictó Sentencia, en el rollo núm 162-1995, de fecha 1 de septiembre de 1997, revocando la Sentencia y desestimando la demanda del Sr. Sánchez-Apellániz y Valderrama. </w:t>
      </w:r>
    </w:p>
    <w:p w:rsidR="0052098F" w:rsidRDefault="0052098F" w:rsidP="0052098F">
      <w:pPr>
        <w:pStyle w:val="TextoNormal"/>
      </w:pPr>
      <w:r>
        <w:lastRenderedPageBreak/>
        <w:t xml:space="preserve">d) Interpuesto contra esta Sentencia recurso de casación por el Sr. Sánchez-Apellániz y Valderrama, fue desestimado por la Sala Primera del Tribunal Supremo mediante Sentencia de fecha 29 de septiembre de 2003. </w:t>
      </w:r>
    </w:p>
    <w:p w:rsidR="0052098F" w:rsidRDefault="0052098F" w:rsidP="0052098F">
      <w:pPr>
        <w:pStyle w:val="TextoNormal"/>
      </w:pPr>
      <w:r>
        <w:t>e) Contra esta Sentencia interpuso el demandante recurso de revisión, que fue inadmitido a trámite por la Sala de lo Civil del Tribunal Supremo mediante Auto de fecha 30 de junio de 2004, por las siguientes razones: primera, que no consta el cumplimiento del breve plazo de caducidad que establece el art. 512.2 LEC, ya que los documentos aludidos estaban a disposición del público desde mucho antes, lo cual se relaciona con la razón siguiente; segunda, que no aparece que los documentos, que alega como decisivos —lo que tampoco aparece claro—, fueran indisponibles por fuerza mayor, ya que estaban disponibles en lugares públicos, y no es lo mismo la indisponibilidad que el desconocimiento; y, tercero, que del largo escrito de demanda de revisión no se desprende otra cosa que la pretensión de un nuevo enjuiciamiento del caso que ya fue planteado y resuelto, lo que queda lejos de la revisión, que es un supuesto excepcional e insólito, idóneo, como numerus clausus para desvirtuar la santidad de la cosa juzgada.</w:t>
      </w:r>
    </w:p>
    <w:p w:rsidR="0052098F" w:rsidRDefault="0052098F" w:rsidP="0052098F">
      <w:pPr>
        <w:pStyle w:val="TextoNormal"/>
      </w:pPr>
    </w:p>
    <w:p w:rsidR="0052098F" w:rsidRDefault="0052098F" w:rsidP="0052098F">
      <w:pPr>
        <w:pStyle w:val="TextoNormal"/>
      </w:pPr>
      <w:r w:rsidRPr="0052098F">
        <w:rPr>
          <w:rStyle w:val="NumeroAFNegritaCaracter"/>
        </w:rPr>
        <w:t>3</w:t>
      </w:r>
      <w:r>
        <w:t>. El recurrente aduce en su demanda de amparo, en primer lugar, que la Sentencia de fecha 1 de septiembre de 1997, dictada por la Audiencia Provincial al resolver el recurso de apelación, ha vulnerado su derecho a la igualdad ante la ley (art. 14 CE), porque mientras que a él se exigió por la Audiencia Provincial la prueba documental y exhaustiva de su entronque genealógico con el fundador del mayorazgo de Berlanga, a la otra parte se le consintió la ventaja intolerable de dar por bueno su respectivo parentesco con el concesionario sin necesidad de acreditarlo documentalmente. En segundo lugar, en relación ahora con el Auto de fecha 30 de junio de 2004 que inadmitió el recurso de revisión interpuesto, el demandante de amparo alega la violación del derecho a la igualdad ante la ley (art. 14 CE) y del derecho a la tutela judicial efectiva (art. 24.1 CE). En el primer caso, el demandante alega que la Sentencia inadmitiendo el recurso de revisión expresa que “no aparece que los documentos que alega como decisivos fueran indisponibles por fuerza mayor, ya que estaban disponibles en lugares públicos, y no es lo mismo la indisponibilidad que el desconocimiento”. Sin embargo, la misma Sala del Tribunal Supremo, en Sentencia núm. 586/2003, de 11 de junio de 2003, estimó un recurso de revisión al considerar que no existía prueba de que el actor hubiera tenido conocimiento de ciertos documentos que constaban en un lugar público (concretamente, en un Juzgado de Instrucción), en momento anterior a la demanda, y esto en contra del dictamen del Fiscal que, precisamente, había informado solicitando la inadmisión de la demanda, visto que el actor tuvo la disposición virtual de los documentos por cuanto los mismos constaban en un registro público. Por su parte, en el segundo caso, el demandante de amparo alega que el Tribunal Supremo ha desestimado la pretensión sin argumentar apenas su decisión y, por tanto, contrariando el derecho que el art. 24 CE reconoce a todo ciudadano a la tutela judicial efectiva y, en definitiva, a la obtención de una respuesta fundada en Derecho sobre el fondo de la pretensión.</w:t>
      </w:r>
    </w:p>
    <w:p w:rsidR="0052098F" w:rsidRDefault="0052098F" w:rsidP="0052098F">
      <w:pPr>
        <w:pStyle w:val="TextoNormal"/>
      </w:pPr>
    </w:p>
    <w:p w:rsidR="0052098F" w:rsidRDefault="0052098F" w:rsidP="0052098F">
      <w:pPr>
        <w:pStyle w:val="TextoNormal"/>
      </w:pPr>
      <w:r w:rsidRPr="0052098F">
        <w:rPr>
          <w:rStyle w:val="NumeroAFNegritaCaracter"/>
        </w:rPr>
        <w:t>4</w:t>
      </w:r>
      <w:r>
        <w:t>. El demandante de amparo presentó nuevo escrito, registrado el día 7 de marzo de 2006, ampliando las alegaciones contenidas en la demanda y aportando nuevos documentos, relativos a hechos sobrevenidos con posterioridad a la presentación de la demanda de amparo.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5</w:t>
      </w:r>
      <w:r>
        <w:t>. La Sección Segunda de este Tribunal, por providencia de 8 de marzo de 2006, acordó la admisión a trámite de la demanda de amparo y dirigir atenta comunicación a los órganos judiciales competentes para la remisión de copia testimoniada de las actuaciones y el emplazamiento a quienes hubieran sido parte en este procedimiento para que pudieran comparecer en el mismo.</w:t>
      </w:r>
    </w:p>
    <w:p w:rsidR="0052098F" w:rsidRDefault="0052098F" w:rsidP="0052098F">
      <w:pPr>
        <w:pStyle w:val="TextoNormal"/>
      </w:pPr>
    </w:p>
    <w:p w:rsidR="0052098F" w:rsidRDefault="0052098F" w:rsidP="0052098F">
      <w:pPr>
        <w:pStyle w:val="TextoNormal"/>
      </w:pPr>
      <w:r w:rsidRPr="0052098F">
        <w:rPr>
          <w:rStyle w:val="NumeroAFNegritaCaracter"/>
        </w:rPr>
        <w:t>6</w:t>
      </w:r>
      <w:r>
        <w:t>. El demandante de amparo presentó de nuevo otro escrito, registrado el día 6 de noviembre de 2006, ampliando las alegaciones contenidas en la demanda y aportando nuevos documentos, relativos a hechos sobrevenidos con posterioridad a la presentación de la demanda de amparo.</w:t>
      </w:r>
    </w:p>
    <w:p w:rsidR="0052098F" w:rsidRDefault="0052098F" w:rsidP="0052098F">
      <w:pPr>
        <w:pStyle w:val="TextoNormal"/>
      </w:pPr>
    </w:p>
    <w:p w:rsidR="0052098F" w:rsidRDefault="0052098F" w:rsidP="0052098F">
      <w:pPr>
        <w:pStyle w:val="TextoNormal"/>
      </w:pPr>
      <w:r w:rsidRPr="0052098F">
        <w:rPr>
          <w:rStyle w:val="NumeroAFNegritaCaracter"/>
        </w:rPr>
        <w:t>7</w:t>
      </w:r>
      <w:r>
        <w:t>. Por diligencia de ordenación de la Secretaría de Justicia de la Sala Primera de 1 de junio de 2007 se tuvieron por recibidos los testimonios de las actuaciones y, a tenor del art. 52 LOTC, se acordó dar vista de las actuaciones al Ministerio Fiscal y a las partes personadas por plazo común de veinte días para que pudieran presentar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8</w:t>
      </w:r>
      <w:r>
        <w:t>. El demandante de amparo presentó sus alegaciones por escrito registrado el 3 de julio 2007, en las que reiteró su petición de otorgamiento del amparo solicitado.</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Ministerio Fiscal presentó sus alegaciones por escrito registrado el 9 de julio de 2007. </w:t>
      </w:r>
    </w:p>
    <w:p w:rsidR="0052098F" w:rsidRDefault="0052098F" w:rsidP="0052098F">
      <w:pPr>
        <w:pStyle w:val="TextoNormal"/>
      </w:pPr>
      <w:r>
        <w:t xml:space="preserve">Con carácter previo, alega el Fiscal que el motivo de amparo formalizado contra la Sentencia dictada por la Audiencia Provincial al resolver el recurso de apelación es extemporáneo, concurriendo respecto del mismo la causa de inadmisión prevenida en el art. 44.2 LOTC en relación con el art. 50.1 a) LOTC, ya que el actor debió venir directamente en amparo sin esperar a la resolución del recurso de revisión, que no es un recurso sino un proceso diferente, máxime en un caso como el presente, en que el objetivo básico de la revisión es el conocimiento nuevo y no incurso en fuerza mayor de documentos que acreditarían la tesis sostenida por el recurrente en el pleito ordinario y relativo a la reclamación prioritaria del título nobiliario que reclamaba en su litis. </w:t>
      </w:r>
    </w:p>
    <w:p w:rsidR="0052098F" w:rsidRDefault="0052098F" w:rsidP="0052098F">
      <w:pPr>
        <w:pStyle w:val="TextoNormal"/>
      </w:pPr>
      <w:r>
        <w:t xml:space="preserve">Llegando al fondo del asunto, y comenzando por la posible vulneración del art. 24.1 CE, el Fiscal entiende que lo que se denuncia es la vulneración, dentro del ámbito genérico del derecho a la tutela judicial efectiva (art. 24.1 CE), del derecho de acceso a la jurisdicción puesto que el Auto recurrido acordó la inadmisión a limine de la pretensión del demandante de amparo y en conexión con ello, el derecho a la motivación de las resoluciones judiciales. </w:t>
      </w:r>
    </w:p>
    <w:p w:rsidR="0052098F" w:rsidRDefault="0052098F" w:rsidP="0052098F">
      <w:pPr>
        <w:pStyle w:val="TextoNormal"/>
      </w:pPr>
      <w:r>
        <w:t xml:space="preserve">Por ello se hace preciso examinar si en la motivación en la que se fundamenta la mentada inadmisión concurren elementos de interpretación de los preceptos en juego de carácter enervante y formalista de manera que la inadmisión se habría acordado con vulneración de lo dispuesto en el art. 24.1 CE. Una vez analizada, el Fiscal considera que a priori la motivación parece apoyarse en una interpretación que conecta el requisito prevenido en los arts. 512.2 y 510.1 LEC con la litis del pleito. </w:t>
      </w:r>
    </w:p>
    <w:p w:rsidR="0052098F" w:rsidRDefault="0052098F" w:rsidP="0052098F">
      <w:pPr>
        <w:pStyle w:val="TextoNormal"/>
      </w:pPr>
      <w:r>
        <w:t xml:space="preserve">En relación con la caducidad de la instancia revisora, frente a la doctrina jurisprudencial estima el Fiscal que se pueden alegar dos tipos de razonamiento en la estructura restringida del proceso de amparo. El primero, que la Sala hubiera incurrido en claro error, lo que parece decir la demanda de amparo, pues tales documentos carecerían de ese carácter de públicos y plenamente disponibles para cualquiera. El segundo, que el Auto, al no haber examinado </w:t>
      </w:r>
      <w:r>
        <w:lastRenderedPageBreak/>
        <w:t xml:space="preserve">cada caso documental, estuviera dando una respuesta genérica que en términos de una inadmisión ad limine pudiera considerarse como enervante o formalista por estereotipada. En el caso de autos el Fiscal considera que la inadmisión de la revisión provoca sendas censuras por lo estereotipado de su fundamentación. En primer lugar, y cuando se alega la caducidad de la instancia revisora, la Sala Primera del Tribunal Supremo simplemente indica que se ha sobrepasado el plazo legal para recurrir en revisión. Otro tanto sucede cuando se alega la plena disponibilidad de los nuevos documentos por fuerza mayor. Finalmente, aún es más censurable que se argumente en fase de inadmisión una causa de fondo, como lo es que la naturaleza de los documentos no es tal, sino que se intenta revisar el juicio ordinario sin aportar a tal efecto argumento alguno. En el supuesto de la caducidad y el carácter público de los documentos aportados como novedad para sustentar la revisión, la naturaleza de estos hubiera debido extremar el argumento inadmisor habida cuenta de que si en algunos ello podría ser notorio, en otros hubieran merecido una respuesta más pormenorizada y concreta. Al no hacerlo así el Auto en virtud del cual se acordó la inadmisión de la demanda de revisión incurrió en la vulneración del derecho a la jurisdicción que previene el art. 24.1 CE en el marco del más amplio derecho a la tutela judicial efectiva. Ello debe suponer en el campo del recurso de amparo, amén del reconocimiento de la vulneración, la anulación de dicho Auto y la retroacción del proceso al momento anterior a la resolución recurrida a fin de que la Sala, con entera libertad, dicte nuevo Auto en el que se acoja la necesidad de respuesta motivada en atención a los documentos aportados al proceso de revisión. </w:t>
      </w:r>
    </w:p>
    <w:p w:rsidR="0052098F" w:rsidRDefault="0052098F" w:rsidP="0052098F">
      <w:pPr>
        <w:pStyle w:val="TextoNormal"/>
      </w:pPr>
      <w:r>
        <w:t>En segundo término, y en relación con la vulneración del derecho a la igualdad en la aplicación de la ley (art. 14 CE), el Fiscal alega que la constante jurisprudencia del Tribunal Constitucional en este campo viene exigiendo, no la cita de una resolución aislada, sino la de una línea jurisprudencial consolidada que viniera a romperse en el caso concreto sin razonamiento alguno en virtud del cual el Tribunal justificara el cambio de criterio. Afirma el Fiscal que el demandante de amparo no ha acreditado que se trate de supuestos sustancialmente idénticos, carga que le correspondía. Pero es que, adicionalmente, parece evidente que lo que alega el demandante de amparo no tiene la base necesaria para entender que el término de comparación ofrecido es el requerido por el Tribunal Constitucional, y que en todo caso, como mínimo, no existe una jurisprudencia consolidada respecto a la doctrina dictada por el demandante de amparo. Todo ello revela la inconsistencia de la argumentación de la demanda de amparo en este punto, lo que trae consigo la desestimación de la misma en esta segunda vulneración de derechos fundamentales.</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fecha de 28 de enero de 2008 se señaló para deliberación y votación de la presente Sentencia el 31 de dicho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demanda de amparo se formula contra dos resoluciones judiciales, la Sentencia dictada en apelación por la Sección Vigesimoprimera de la Audiencia Provincial de Madrid en fecha 21 de septiembre de 1997, en el seno del juicio declarativo ordinario de mayor cuantía interpuesto por el demandante de amparo ante el Juzgado de Primera Instancia núm. 18 de Madrid, y el Auto dictado por la Sala Primera del Tribunal Supremo de fecha 30 de junio de 2004, que acordó la inadmisión del recurso de revisión interpuesto posteriormente por el propio demandante de amparo.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2</w:t>
      </w:r>
      <w:r>
        <w:t>. Antes de entrar en el examen de las quejas del demandante, es preciso analizar si concurre la causa de inadmisibilidad que ha esgrimido el Ministerio Fiscal respecto de uno de los motivos de la demanda. Es innecesario detenerse en justificar con detalle que, pese a la inicial admisión de la demanda, la comprobación de que concurren los requisitos procesales puede abordarse o reconsiderarse en la Sentencia, de oficio o a instancia de parte, pudiendo dar lugar a un pronunciamiento de inadmisión por falta de tales presupuestos, sin que a ello sea obstáculo el carácter tasado de los pronunciamientos que para la Sentencias dictadas en los procesos de amparo prevé el art. 53 LOTC. En diversas ocasiones hemos matizado que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jurídico y con efectos peculiares desde más de una perspectiva” (por todas, STC 174/2007, de 23 de julio, FJ único).</w:t>
      </w:r>
    </w:p>
    <w:p w:rsidR="0052098F" w:rsidRDefault="0052098F" w:rsidP="0052098F">
      <w:pPr>
        <w:pStyle w:val="TextoNormal"/>
      </w:pPr>
      <w:r>
        <w:t>En este caso alega el Fiscal la extemporaneidad de la demanda en cuanto a la queja imputada a la Sentencia de apelación dictada por la Sección Vigesimoprimera de la Audiencia Provincial de Madrid en fecha 21 de septiembre de 1997, “ya que el actor debió venir directamente en amparo sin esperar a la resolución del recurso de revisión, que no es un recurso sino un proceso diferente”.</w:t>
      </w:r>
    </w:p>
    <w:p w:rsidR="0052098F" w:rsidRDefault="0052098F" w:rsidP="0052098F">
      <w:pPr>
        <w:pStyle w:val="TextoNormal"/>
      </w:pPr>
      <w:r>
        <w:t>Es doctrina reiterada de este Tribunal (STC 267/2000, de 13 de noviembre, FJ 2), que “el plazo para la interposición del recurso de amparo establecido en el art. 44.2 LOTC es un plazo de derecho sustantivo,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de 22 de octubre, FJ 1; 352/1993, de 29 de noviembre, FJ 2; 132/1999, de 15 de julio, FJ 2, en sentido similar STC 123/2000, de 16 de mayo, FJ 2).</w:t>
      </w:r>
    </w:p>
    <w:p w:rsidR="0052098F" w:rsidRDefault="0052098F" w:rsidP="0052098F">
      <w:pPr>
        <w:pStyle w:val="TextoNormal"/>
      </w:pPr>
      <w:r>
        <w:t>En el supuesto que nos ocupa, el recurso de revisión no constituía un remedio posible y útil para obtener la reparación de la vulneración imputada a la Sentencia de apelación, por lo que cabe calificarlo de manifestamente improcedente a los efectos de determinar la extemporaneidad de este motivo de la demanda de amparo, concurriendo respecto del mismo la causa de inadmisión prevista en el art. 50.1 a) en relación con el art. 44.2 LOTC.</w:t>
      </w:r>
    </w:p>
    <w:p w:rsidR="0052098F" w:rsidRDefault="0052098F" w:rsidP="0052098F">
      <w:pPr>
        <w:pStyle w:val="TextoNormal"/>
      </w:pPr>
    </w:p>
    <w:p w:rsidR="0052098F" w:rsidRDefault="0052098F" w:rsidP="0052098F">
      <w:pPr>
        <w:pStyle w:val="TextoNormal"/>
      </w:pPr>
      <w:r w:rsidRPr="0052098F">
        <w:rPr>
          <w:rStyle w:val="NumeroAFNegritaCaracter"/>
        </w:rPr>
        <w:t>3</w:t>
      </w:r>
      <w:r>
        <w:t>. Todavía antes de entrar en el fondo del asunto, conviene precisar que, según ha declarado este Tribunal en constante jurisprudencia, recientemente reiterada en las SSTC 48/2006, de 13 de febrero, FJ 2; 13/2005, de 31 de enero, y 120/2005, de 10 de mayo, “es en la demanda de amparo donde queda fijado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w:t>
      </w:r>
    </w:p>
    <w:p w:rsidR="0052098F" w:rsidRDefault="0052098F" w:rsidP="0052098F">
      <w:pPr>
        <w:pStyle w:val="TextoNormal"/>
      </w:pPr>
      <w:r>
        <w:t xml:space="preserve">Es cierto, sin embargo, como señala el demandante de amparo en escritos que presentó ante el Tribunal en fechas 7 de marzo y 6 de noviembre de 2006, que la citada doctrina aparece atemperada por los pronunciamientos contenidos, entre otras resoluciones, en el </w:t>
      </w:r>
      <w:r>
        <w:lastRenderedPageBreak/>
        <w:t>ATC 336/1995, de 11 de diciembre, en cuyo primer fundamento jurídico, tras declarar proscrita la posibilidad de ampliar la demanda “en trámite de alegaciones de admisión (art. 50.3 LOTC) o de Sentencia (art. 52 LOTC), o con posterioridad a las mismas, en virtud de la indefensión que podría generar en otros comparecientes en el proceso de amparo”, admitíamos que “menos nítida se perfila la respuesta a la ampliación referida a un momento previo”, en el que no entraría aún en consideración la necesidad de preservar las garantías procesales de las otras partes, debiendo entonces ponderarse, de una parte, el argumento a favor de permitir en tales casos la ampliación de la demanda de amparo representado por el principio pro actione con la necesidad, por otra parte, de mantener los plazos procesales, lo que nos ha conducido a adoptar a este respecto una solución restrictiva que exige, para que la referida ampliación resulte admisible “la no variación del derecho fundamental invocado y que se trate de hechos sobrevenidos a la presentación de la demanda, íntimamente conexos a los anteriores, y no susceptibles de una nueva demanda y posterior petición de acumulación”. Esto es lo que ocurre en este caso, razón por las alegaciones contenidas en los escritos de fecha 7 de marzo y 6 de noviembre de 2006 pueden admitirse como ampliación de la demanda de amparo.</w:t>
      </w:r>
    </w:p>
    <w:p w:rsidR="0052098F" w:rsidRDefault="0052098F" w:rsidP="0052098F">
      <w:pPr>
        <w:pStyle w:val="TextoNormal"/>
      </w:pPr>
    </w:p>
    <w:p w:rsidR="0052098F" w:rsidRDefault="0052098F" w:rsidP="0052098F">
      <w:pPr>
        <w:pStyle w:val="TextoNormal"/>
      </w:pPr>
      <w:r w:rsidRPr="0052098F">
        <w:rPr>
          <w:rStyle w:val="NumeroAFNegritaCaracter"/>
        </w:rPr>
        <w:t>4</w:t>
      </w:r>
      <w:r>
        <w:t>. Abordando ya el fondo del asunto, la primera queja que la demanda de amparo dirige contra la resolución que inadmite el recurso de revisión aduce la vulneración del derecho a la tutela judicial efectiva (art. 24.1 CE).</w:t>
      </w:r>
    </w:p>
    <w:p w:rsidR="0052098F" w:rsidRDefault="0052098F" w:rsidP="0052098F">
      <w:pPr>
        <w:pStyle w:val="TextoNormal"/>
      </w:pPr>
      <w:r>
        <w:t>Esta queja plantea de forma directa la conexión entre las garantías y derechos integrados en el art. 24 CE y el mencionado recurso, ya que la resolución de inadmisión se dictó al apreciarse que la demanda de revisión se había formulado fuera del plazo de tres meses que establece el art. 512.2 de la Ley de enjuiciamiento civil (LEC 2000).</w:t>
      </w:r>
    </w:p>
    <w:p w:rsidR="0052098F" w:rsidRDefault="0052098F" w:rsidP="0052098F">
      <w:pPr>
        <w:pStyle w:val="TextoNormal"/>
      </w:pPr>
      <w:r>
        <w:t>Muy tempranamente ya dijimos (STC 50/1982, de 15 de julio, FJ 3) que, sin entrar en el análisis de la significación o independencia que respecto del proceso anterior tiene el recurso de revisión y lo que éste comporta en la difícil colisión entre seguridad y justicia, que está en la base de esta institución, puede afirmarse que la revisión es instrumento que sirve al ejercicio del derecho a obtener la invalidación de la sentencia que ha ganado firmeza, en los casos en que el legislador, en esa colisión comprometida entre seguridad y justicia, abre vías para rescindir un proceso anterior, y que alcanzan a ella las garantías fundamentales contenidas en el art. 24.1 CE y, por tanto, las de acceso a la revisión y al conocimiento de la pretensión revisora en el proceso debido, asegurando el contenido esencial de este derecho instrumental.</w:t>
      </w:r>
    </w:p>
    <w:p w:rsidR="0052098F" w:rsidRDefault="0052098F" w:rsidP="0052098F">
      <w:pPr>
        <w:pStyle w:val="TextoNormal"/>
      </w:pPr>
      <w:r>
        <w:t xml:space="preserve">Más tarde, en la STC 158/1997, de 2 de octubre, afirmamos que es indiscutible que el art. 24 CE, al favorecer el acceso de los ciudadanos a la justicia, exige una ausencia de condicionamientos previos que dificulten o entorpezcan la posibilidad de actuar por vía jurisdiccional, de manera que, cuando el legislador imponga requisitos que entrañen obstáculos del derecho al proceso o a la jurisdicción (y tales pueden ser los plazos de prescripción o caducidad de los derechos), su legitimidad constitucional habrá de ser examinada en esta sede, atendiendo a las perspectivas de cada caso concreto, habiendo de señalarse en línea de principio que el obstáculo del acceso al proceso deberá obedecer a razonables finalidades de protección de bienes e intereses constitucionalmente protegidos y que deberá guardar una notoria proporcionalidad con la carga de diligencia exigible a los justiciables. Pues bien, la tensión entre seguridad y justicia, latente en el problema de la revisión de las sentencias firmes, permite considerar que el establecimiento de un plazo para el ejercicio de la acción revisoria, es en sí mismo constitucionalmente legítimo, en cuanto preserva o tiende a preservar un valor o un principio constitucional como es el de la seguridad jurídica, plasmado </w:t>
      </w:r>
      <w:r>
        <w:lastRenderedPageBreak/>
        <w:t>aquí en la santidad de la cosa juzgada [en el mismo sentido, hemos afirmado que el recurso de revisión es un mecanismo excepcional que admite la tasación de sus causas y su sometimiento “a condiciones de interposición estrictas” (SSTC 124/1984, de 18 de diciembre, FJ 6, y 240/2005, de 10 de octubre, FJ 5; también, SSTC 150/1997, de 29 de septiembre, FJ 5; 123/2004, de 13 de julio, FJ 3; 59/2006, de 27 de febrero, FJ 2)” (STC 70/2007, de 16 de abril, FJ 3)].</w:t>
      </w:r>
    </w:p>
    <w:p w:rsidR="0052098F" w:rsidRDefault="0052098F" w:rsidP="0052098F">
      <w:pPr>
        <w:pStyle w:val="TextoNormal"/>
      </w:pPr>
      <w:r>
        <w:t>La decisión del Tribunal Supremo, al inadmitir la pretensión de revisión formulada, se fundó en norma legal que tiene previsto tal efecto. Para que tal decisión sea constitucionalmente legítima debe, además, estimarse que la causa de inadmisión se ha apreciado por el Juzgador en aplicación razonada de la norma, acorde con la interpretación y aplicación de ésta en el sentido más favorable para el ejercicio de la acción, aunque debe tenerse en cuenta (SSTC 118/1987, de 8 de julio, FJ 2, y 29/1985, de 28 de febrero, FJ 2) que, si bien deben repudiarse los formalismos enervantes, no puede dejarse al arbitrio de las partes el cumplimiento de los requisitos procesales ni la disposición del tiempo en que éstos han de cumplirse, apreciación ésta extensible al ejercicio mismo de las acciones.</w:t>
      </w:r>
    </w:p>
    <w:p w:rsidR="0052098F" w:rsidRDefault="0052098F" w:rsidP="0052098F">
      <w:pPr>
        <w:pStyle w:val="TextoNormal"/>
      </w:pPr>
      <w:r>
        <w:t>En el presente caso, la interpretación dada por el Tribunal Supremo al momento inicial del plazo de caducidad observable no fue formalista ni resulta desproporcionada con la finalidad perseguida, pues, para aplicar la norma legal, se basa en que los documentos aportados con el recurso de revisión, reputados decisivos, estaban a disposición del público en lugares públicos mucho antes de la interposición de la demanda. Lo que, por otra parte, el demandante no negaba en su demanda de revisión, limitándose a afirmar el desconocimiento anterior de su existencia.</w:t>
      </w:r>
    </w:p>
    <w:p w:rsidR="0052098F" w:rsidRDefault="0052098F" w:rsidP="0052098F">
      <w:pPr>
        <w:pStyle w:val="TextoNormal"/>
      </w:pPr>
      <w:r>
        <w:t>De lo razonado se concluye que la interpretación y aplicación por el Tribunal Supremo del plazo, y cómputo de éste, para interponer el recurso de revisión, posee base legal y ha sido razonada y razonable, no vulnerando el derecho consagrado en el art.  24.1 CE, siendo pues la falta de diligencia del demandante de amparo la determinante de la inadmisión de su pretensión.</w:t>
      </w:r>
    </w:p>
    <w:p w:rsidR="0052098F" w:rsidRDefault="0052098F" w:rsidP="0052098F">
      <w:pPr>
        <w:pStyle w:val="TextoNormal"/>
      </w:pPr>
    </w:p>
    <w:p w:rsidR="0052098F" w:rsidRDefault="0052098F" w:rsidP="0052098F">
      <w:pPr>
        <w:pStyle w:val="TextoNormal"/>
      </w:pPr>
      <w:r w:rsidRPr="0052098F">
        <w:rPr>
          <w:rStyle w:val="NumeroAFNegritaCaracter"/>
        </w:rPr>
        <w:t>5</w:t>
      </w:r>
      <w:r>
        <w:t>. El segundo motivo de queja relativo al Auto de inadmisión del recurso de revisión lo sustenta el demandante en la vulneración del principio de igualdad en aplicación de la ley (art. 14 CE). En este caso alega el demandante que la Sentencia inadmitiendo el recurso de revisión expresa que “no aparece que los documentos que alega como decisivos fueran indisponibles por fuerza mayor, ya que estaban disponibles en lugares públicos, y no es lo mismo la indisponibilidad que el desconocimiento”.  Sin embargo, la misma Sala del Tribunal Supremo, en Sentencia núm. 586/2003, de 11 de junio de 2003, estimó un recurso de revisión al considerar que no existía prueba de que el actor hubiera tenido conocimiento de ciertos documentos que constaban en un lugar público (concretamente, en un Juzgado de Instrucción), en momento anterior a la demanda, y esto en contra del dictamen del Fiscal que, precisamente, había informado solicitando la inadmisión de la demanda visto que el actor tuvo la disposición virtual de los documentos por cuanto los mismos constaban en un registro público.</w:t>
      </w:r>
    </w:p>
    <w:p w:rsidR="0052098F" w:rsidRDefault="0052098F" w:rsidP="0052098F">
      <w:pPr>
        <w:pStyle w:val="TextoNormal"/>
      </w:pPr>
      <w:r>
        <w:t xml:space="preserve">El examen cabal de esta queja exige, como premisa previa, recordar que reiteradamente hemos venido exigiendo la concurrencia de una serie de requisitos para que pueda entenderse vulnerado el derecho a la igualdad en la aplicación de la ley reconocido en el art. 14 CE. Como hemos dicho en la STC 106/2003, de 2 de junio, FJ 2,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w:t>
      </w:r>
      <w:r>
        <w:lastRenderedPageBreak/>
        <w:t>(SSTC 266/1994, de 3 de octubre, FJ 3; 285/1994, de 27 de octubre, FJ 2; 4/1995, de 6 de febrero, FJ 1; 55/1999, de 12 de abril, FJ 2; 62/1999, de 22 de abril, FJ 4; 102/1999, de 31 de mayo, FJ 2; 132/2001, de 7 de junio, FJ 2; y 238/2001, de 18 de 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0052098F" w:rsidRDefault="0052098F" w:rsidP="0052098F">
      <w:pPr>
        <w:pStyle w:val="TextoNormal"/>
      </w:pPr>
      <w:r>
        <w:t>La aplicación concreta de esta doctrina al caso permite descartar la lesión del art. 14 CE invocada. Como el propio Fiscal pone de manifiesto en sus alegaciones, la parte recurrente no adjunta a su demanda de amparo, a pesar de ser una carga de esta parte procesal el hacerlo (SSTC 57/2001, de 26 de febrero, FJ 2; 89/2003, de 19 de mayo, FJ 3; y 297/2005, de 21 de noviembre, FJ 4), la resolución judicial de la Sala Primera del Tribunal Supremo aducida como término de contraste, siendo suficiente con ello para no poder atender este motivo de amparo, pues la concreta y real aportación de un tertium comparationis adecuado por la parte recurrente es el primer requisito desde un punto de vista lógico para poder apreciar en cada específico caso una eventual vulneración del principio de igualdad en la aplicación de la Ley.</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Denegar el amparo solicitado por don Miguel Sánchez-Apellániz y Valderrama.</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7" w:name="SENTENCIA_2008_14"/>
      <w:r>
        <w:lastRenderedPageBreak/>
        <w:t>SENTENCIA 14/2008, de 31 de enero de 2008</w:t>
      </w:r>
    </w:p>
    <w:bookmarkEnd w:id="17"/>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ECLI:ES:TC:2008:14</w:t>
      </w:r>
    </w:p>
    <w:p w:rsidR="0052098F" w:rsidRDefault="0052098F" w:rsidP="0052098F">
      <w:pPr>
        <w:pStyle w:val="SntesisDescriptiva"/>
      </w:pPr>
    </w:p>
    <w:p w:rsidR="0052098F" w:rsidRDefault="0052098F" w:rsidP="0052098F">
      <w:pPr>
        <w:pStyle w:val="SntesisDescriptiva"/>
      </w:pPr>
      <w:r>
        <w:t>Recurso de amparo 6715-2004. Promovido por la Diputación Provincial de Cádiz respecto a la Sentencia y al Auto de nulidad de la Sala de lo Contencioso-Administrativo de la Audiencia Nacional que inadmitió su demanda en litigio económico-administrativo.</w:t>
      </w:r>
    </w:p>
    <w:p w:rsidR="0052098F" w:rsidRDefault="0052098F" w:rsidP="0052098F">
      <w:pPr>
        <w:pStyle w:val="SntesisDescriptiva"/>
      </w:pPr>
    </w:p>
    <w:p w:rsidR="0052098F" w:rsidRDefault="0052098F" w:rsidP="0052098F">
      <w:pPr>
        <w:pStyle w:val="SntesisAnaltica"/>
      </w:pPr>
      <w:r>
        <w:t>Supuesta vulneración del derecho a la tutela judicial efectiva (acceso a la justicia): incidente de nulidad de actuaciones; inadmisión de recurso contencioso-administrativo por no acreditar el poder de representación procesal y no subsanarlo a pesar de haberlo puesto de manifiesto la contraparte (STC 159/1995).</w:t>
      </w:r>
    </w:p>
    <w:p w:rsidR="0052098F" w:rsidRDefault="0052098F" w:rsidP="0052098F">
      <w:pPr>
        <w:pStyle w:val="SntesisAnaltica"/>
      </w:pPr>
    </w:p>
    <w:p w:rsidR="0052098F" w:rsidRDefault="0052098F" w:rsidP="0052098F">
      <w:pPr>
        <w:pStyle w:val="Extracto"/>
      </w:pPr>
      <w:r>
        <w:t>1.</w:t>
      </w:r>
      <w:r>
        <w:tab/>
        <w:t>La notoria falta de diligencia que con su actitud procesal ha demostrado la propia Diputación Provincial recurrente excluye que se pueda apreciar en las resoluciones judiciales impugnadas la infracción del derecho a la tutela judicial efectiva sin indefensión [FJ 4].</w:t>
      </w:r>
    </w:p>
    <w:p w:rsidR="0052098F" w:rsidRDefault="0052098F" w:rsidP="0052098F">
      <w:pPr>
        <w:pStyle w:val="Extracto"/>
      </w:pPr>
    </w:p>
    <w:p w:rsidR="0052098F" w:rsidRDefault="0052098F" w:rsidP="0052098F">
      <w:pPr>
        <w:pStyle w:val="Extracto"/>
      </w:pPr>
      <w:r>
        <w:t>2.</w:t>
      </w:r>
      <w:r>
        <w:tab/>
        <w:t>No hay vulneración del derecho a la tutela judicial efectiva cuando el propio interesado, ignorando o despreciando las posibilidades de subsanación a su alcance, no hizo lo necesario para defender sus derechos e intereses, cooperando con ello al menoscabo de su posición procesal (SSTC 159/1995, 287/2005) [FJ 3].</w:t>
      </w:r>
    </w:p>
    <w:p w:rsidR="0052098F" w:rsidRDefault="0052098F" w:rsidP="0052098F">
      <w:pPr>
        <w:pStyle w:val="Extracto"/>
      </w:pPr>
    </w:p>
    <w:p w:rsidR="0052098F" w:rsidRDefault="0052098F" w:rsidP="0052098F">
      <w:pPr>
        <w:pStyle w:val="Extracto"/>
      </w:pPr>
      <w:r>
        <w:t>3.</w:t>
      </w:r>
      <w:r>
        <w:tab/>
        <w:t>No es razonable exigir el cumplimiento de la acreditación por la Diputación Provincial recurrente de la existencia del dictamen previo de su Secretario y del acuerdo de su Presidencia, cada vez que la correspondiente entidad local decide, con ocasión de una misma cuestión litigiosa, interponer un recurso apurando los medios de impugnación que el ofrece el Ordenamiento para la defensa de sus derechos e intereses [FJ 2].</w:t>
      </w:r>
    </w:p>
    <w:p w:rsidR="0052098F" w:rsidRDefault="0052098F" w:rsidP="0052098F">
      <w:pPr>
        <w:pStyle w:val="Extracto"/>
      </w:pPr>
    </w:p>
    <w:p w:rsidR="0052098F" w:rsidRDefault="0052098F" w:rsidP="0052098F">
      <w:pPr>
        <w:pStyle w:val="Extracto"/>
      </w:pPr>
      <w:r>
        <w:t>4.</w:t>
      </w:r>
      <w:r>
        <w:tab/>
        <w:t>Doctrina sobre el concepto de recurso manifiestamente improcedente (STC 17/2006)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lastRenderedPageBreak/>
        <w:t>SENTENCIA</w:t>
      </w:r>
    </w:p>
    <w:p w:rsidR="0052098F" w:rsidRDefault="0052098F" w:rsidP="0052098F">
      <w:pPr>
        <w:pStyle w:val="TextoNormalCentrado"/>
        <w:keepNext/>
      </w:pPr>
    </w:p>
    <w:p w:rsidR="0052098F" w:rsidRDefault="0052098F" w:rsidP="0052098F">
      <w:pPr>
        <w:pStyle w:val="TextoNormal"/>
      </w:pPr>
      <w:r>
        <w:t>En el recurso de amparo núm. 6715-2004, promovido por la Excma. Diputación Provincial de Cádiz, representada por el Procurador de los Tribunales don José Ignacio de Noriega Arquer y asistida por el Abogado don Javier Cano Leal, contra el Auto dictado por la Sección Sexta de la Sala de lo Contencioso-Administrativo de la Audiencia Nacional, de 30 de septiembre de 2004, que desestimó el incidente de nulidad de actuaciones promovido contra su Sentencia de 25 de junio de 2004, que declaró la inadmisibilidad del recurso núm. 686-2001. Ha intervenido el Ministerio Fiscal. Ha comparecido el Abogado del Estado. Ha sido Ponente el Magistrado don Pascual Sala Sánchez,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Constitucional el 12 de noviembre de 2004 el Procurador de los Tribunales don José Ignacio de Noriega Arquer, en nombre y representación de la Excma. Diputación Provincial de Cádiz, interpuso recurso de amparo contra la resolución judicial citada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que fundamentan la demanda de amparo son, resumidamente, los siguientes: </w:t>
      </w:r>
    </w:p>
    <w:p w:rsidR="0052098F" w:rsidRDefault="0052098F" w:rsidP="0052098F">
      <w:pPr>
        <w:pStyle w:val="TextoNormal"/>
      </w:pPr>
      <w:r>
        <w:t xml:space="preserve">a) La Diputación Provincial recurrente interpuso recurso contencioso-administrativo contra la resolución del Tribunal Económico-Administrativo Central, de fecha 27 de enero de 2000, que desestimó el recurso de alzada formulado contra la resolución dictada por el Tribunal Económico-Administrativo Regional de Andalucía con fecha 21 de diciembre de 1998. Aunque en el escrito de interposición del citado recurso contencioso consta anotado que con el mismo se aportaba la oportuna copia del poder de representación procesal, dicha copia no se aportó finalmente. Por proveído de 16 de mayo de 2006 la Sala de lo Contencioso-Administrativo de la Audiencia Nacional tuvo por interpuesto el recurso y por personado y parte al Procurador en representación de la Diputación recurrente. Por nuevo proveído de 2 de septiembre de 2000 la Sala concedió al Procurador de la parte actora plazo para que formulara su demanda. </w:t>
      </w:r>
    </w:p>
    <w:p w:rsidR="0052098F" w:rsidRDefault="0052098F" w:rsidP="0052098F">
      <w:pPr>
        <w:pStyle w:val="TextoNormal"/>
      </w:pPr>
      <w:r>
        <w:t xml:space="preserve">b) En su escrito de contestación a la demanda el Abogado del Estado, en representación de la Administración demandada, opuso la excepción del art. 69 b), en relación con lo dispuesto en el art. 23.2, de la Ley 29/1998, por falta del poder que acredite la representación de la parte demandante. </w:t>
      </w:r>
    </w:p>
    <w:p w:rsidR="0052098F" w:rsidRDefault="0052098F" w:rsidP="0052098F">
      <w:pPr>
        <w:pStyle w:val="TextoNormal"/>
      </w:pPr>
      <w:r>
        <w:t xml:space="preserve">c) Evacuado por ambas partes el trámite de conclusiones, sin que la Diputación demandante dijera nada sobre la causa de inadmisibilidad invocada de contrario, la Sala de lo Contencioso-Administrativo de la Audiencia Nacional, con fecha de 25 de junio de 2004, dictó Sentencia declarando la inadmisibilidad del recurso interpuesto al advertir que ”el examen de las actuaciones revela que efectivamente no consta en las mismas el poder que debió otorgar la recurrente a favor del Procurador que ha intervenido en su nombre en este proceso, sin que a pesar de la oposición de esta causa de inadmisión, la recurrente haya subsanado esta deficiencia”. </w:t>
      </w:r>
    </w:p>
    <w:p w:rsidR="0052098F" w:rsidRDefault="0052098F" w:rsidP="0052098F">
      <w:pPr>
        <w:pStyle w:val="TextoNormal"/>
      </w:pPr>
      <w:r>
        <w:t>d) Contra esta Sentencia, la Diputación Provincial recurrente en amparo formuló, con arreglo al art. 241 LOPJ, incidente de nulidad de actuaciones, que fue desestimado por la citada Sala mediante Auto de 30 de septiembre de 2004.</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3</w:t>
      </w:r>
      <w:r>
        <w:t>. En su demanda de amparo la Diputación Provincial de Cádiz reprocha a la Sentencia y al Auto citados la vulneración del derecho a la tutela judicial efectiva sin indefensión (art. 24.1CE), pues, en su criterio, las sucesivas providencias dictadas por la Sala de lo Contencioso-Administrativo de la Audiencia Nacional y notificadas al Procurador, primero, teniendo por interpuesto el recurso, y, más tarde, impulsando su tramitación sin advertir en ningún momento la existencia del defecto de representación procesal que luego sin embargo acabaría censurando en su Sentencia, le hicieron confiar en que la copia de escritura de apoderamiento había sido efectivamente aportada con el escrito de interposición. De ahí que en el trámite de conclusiones no dijera nada frente a la causa de inadmisión opuesta por ese motivo por el Abogado del Estado en su escrito de contestación a la demanda. Y de ahí también que la citada Sala debió en todo caso, ante la confusión generada con su actuación, conceder el oportuno trámite de subsanación. Al no hacerlo así y, por el contrario, estimar sorpresivamente en la Sentencia el citado defecto de representación procesal, el órgano judicial vulneró su derecho a la tutela judicial efectiva. Mediante otrosí, al amparo de lo dispuesto en el art. 56.1 LOTC, la Diputación Provincial recurrente solicitó asimismo la suspensión del Auto impugnado.</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21 de febrero de 2006 la Sala Segunda de este Tribunal acordó admitir a trámite la demanda de amparo y, de conformidad con lo dispuesto en el art. 51 LOTC, dirigir comunicación al Tribunal Económico-Administrativo Regional de Andalucía y a la Sección Sexta de la Sala de lo Contencioso-Administrativo de la Audiencia Nacional para que respectivamente remitieran certificación o copia adverada de las actuaciones correspondientes al expediente administrativo 1092-1999 y al recurso contencioso-administrativo núm. 686-2001, al tiempo que por el citado órgano judicial se emplazara a quienes hubiesen sido parte en este procedimiento, con excepción de la parte recurrente en amparo, para que en el plazo de diez días pudieran comparecen en este proceso constitucional de amparo. Lo que efectivamente hizo el Abogado del Estado, mediante escrito registrado en este Tribunal el 24 de febrero de 2006, interesando se le tuviera por personado en el presente recurso de amparo. En la misma providencia se acordó formar la correspondiente pieza separada para la tramitación del incidente de suspensión y, con arreglo a lo dispuesto en el art. 56 LOTC, conceder a la parte recurrente y al Ministerio Fiscal plazo común por tres días para alegaciones.</w:t>
      </w:r>
    </w:p>
    <w:p w:rsidR="0052098F" w:rsidRDefault="0052098F" w:rsidP="0052098F">
      <w:pPr>
        <w:pStyle w:val="TextoNormal"/>
      </w:pPr>
    </w:p>
    <w:p w:rsidR="0052098F" w:rsidRDefault="0052098F" w:rsidP="0052098F">
      <w:pPr>
        <w:pStyle w:val="TextoNormal"/>
      </w:pPr>
      <w:r w:rsidRPr="0052098F">
        <w:rPr>
          <w:rStyle w:val="NumeroAFNegritaCaracter"/>
        </w:rPr>
        <w:t>5</w:t>
      </w:r>
      <w:r>
        <w:t>. Tramitada la pieza de suspensión, la Sala, por Auto de 8 de mayo de 2006, acordó denegar la suspensión interesada por falta de la imprescindible acreditación del carácter irreparable de los perjuicios invocados por la Diputación recurrente y vista también la consolidada doctrina de este Tribunal que, en forma unánime, rechaza la suspensión, en principio, de aquellas resoluciones judiciales, como es el caso, de efectos meramente económicos.</w:t>
      </w:r>
    </w:p>
    <w:p w:rsidR="0052098F" w:rsidRDefault="0052098F" w:rsidP="0052098F">
      <w:pPr>
        <w:pStyle w:val="TextoNormal"/>
      </w:pPr>
    </w:p>
    <w:p w:rsidR="0052098F" w:rsidRDefault="0052098F" w:rsidP="0052098F">
      <w:pPr>
        <w:pStyle w:val="TextoNormal"/>
      </w:pPr>
      <w:r w:rsidRPr="0052098F">
        <w:rPr>
          <w:rStyle w:val="NumeroAFNegritaCaracter"/>
        </w:rPr>
        <w:t>6</w:t>
      </w:r>
      <w:r>
        <w:t>. Por diligencia de ordenación de la Sala de 23 de mayo de 2006 se acordó tener por personado y parte en el procedimiento al Abogado del Estado, en la representación que ostenta, y, con arreglo a lo dispuesto en el art. 52.1 LOTC, conceder a todas las partes personadas y al Ministerio Fiscal plazo común por veinte días para que, con vista de las actuaciones recibidas, formulasen alegaciones.</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Con fecha 19 de junio de 2006 el Ministerio Fiscal presentó su escrito de alegaciones interesando la desestimación del amparo solicitado. Tras repasar los antecedentes relevantes </w:t>
      </w:r>
      <w:r>
        <w:lastRenderedPageBreak/>
        <w:t>del caso y de recordar, con cita de la STC 287/2005, la doctrina constitucional sobre falta de acreditación de la representación procesal, el Fiscal advierte que la cuestión a dilucidar consiste en determinar si la Diputación Provincial recurrente tuvo o no posibilidad de subsanar el defecto de representación advertido. Con arreglo a este planteamiento concluye que la falta de subsanación del defecto advertido se debió a la propia negligencia de la Diputación recurrente, toda vez que, pese a conocer la excepción de admisibilidad opuesta por ese motivo por el Abogado del Estado en su escrito de contestación a la demanda, y tener la oportunidad de hacerlo, nada hizo sin embargo para acreditar la representación discutida en el proceso por la Administración demandada, por lo que en su opinión no concurren los requisitos que son necesarios para poder apreciar la existencia de una indefensión con relevancia constitucional.</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Mediante escrito registrado en este Tribunal el día 20 de junio de 2006 el Abogado del Estado presentó sus alegaciones interesando, en primer lugar, la inadmisión del recurso de amparo por un doble motivo. De un lado porque en las presentes actuaciones no constan acreditados ni el preceptivo acuerdo de la Presidencia de la Diputación Provincial de Cádiz, ni, en de modo particular, el dictamen de su Secretario, y que es, conforme a lo dispuesto en los arts. 54.3 del Real Decreto Legislativo 781/19086, de 18 de abril, que aprueba el texto refundido de las disposiciones legales en materia de régimen local (LRL) y 221 del Reglamento de organización, funcionamiento y régimen jurídico de las corporaciones locales (ROF), requisito legalmente necesario para que la citada Diputación Provincial recurrente pueda acudir en amparo ante este Tribunal. Y de otro porque considera que el incidente de nulidad de actuaciones que promovió la Diputación Provincial frente a la Sentencia que declaró la inadmisibilidad de su recurso contencioso es un recurso manifiestamente improcedente, y, por tanto, que sólo sirvió para provocar una prolongación artificial de la vía judicial previa, de modo que el dies a quo que determina el inicio del cómputo del plazo previsto en el art. 44.2 LOTC es el 8 de junio de 2004, que es el correspondiente a la fecha de notificación de la Sentencia impugnada, y no, por tanto, el siguiente día 13 de octubre de 2004, en el que se notificó el Auto desestimatorio del incidente de nulidad promovido. </w:t>
      </w:r>
    </w:p>
    <w:p w:rsidR="0052098F" w:rsidRDefault="0052098F" w:rsidP="0052098F">
      <w:pPr>
        <w:pStyle w:val="TextoNormal"/>
      </w:pPr>
      <w:r>
        <w:t>Subsidiariamente, para el caso de no prosperar la inamidisión que solicita, el Abogado del Estado interesa la desestimación del amparo solicitado, habida cuenta de que las actuaciones judiciales aportadas a este proceso constitucional demuestran que la infracción del derecho fundamental del art. 24.1 CE que se denuncia en la demanda no es imputable a la Sentencia recurrida, sino a la propia negligencia de la Diputación Provincial recurrente que, pese a poder hacerlo, no subsanó la falta de acreditación del poder objetada por la parte demandada en el proceso judicial, ni nada alegó tampoco frente a esta causa de inadmisibilidad en su escrito de conclusiones. Por este motivo, concluye el Abogado del Estado, la frustración del acceso a la jurisdicción es imputable a la propia pasividad y negligencia de la Diputación recurrente, sin que, por último, obste a esta conclusión el hecho, entre otros, de que el órgano judicial hubiera dictado providencia teniendo por personado y parte al Procurador en su nombre y representación, toda vez que se trata de una resolución judicial estereotipada y, en todo caso, negada por la posterior causa de inadmisión opuesta por la parte demandada en su escrito de contestación a la demanda contenciosa.</w:t>
      </w:r>
    </w:p>
    <w:p w:rsidR="0052098F" w:rsidRDefault="0052098F" w:rsidP="0052098F">
      <w:pPr>
        <w:pStyle w:val="TextoNormal"/>
      </w:pPr>
    </w:p>
    <w:p w:rsidR="0052098F" w:rsidRDefault="0052098F" w:rsidP="0052098F">
      <w:pPr>
        <w:pStyle w:val="TextoNormal"/>
      </w:pPr>
      <w:r w:rsidRPr="0052098F">
        <w:rPr>
          <w:rStyle w:val="NumeroAFNegritaCaracter"/>
        </w:rPr>
        <w:t>9</w:t>
      </w:r>
      <w:r>
        <w:t>. Con fecha 22 de junio de 2006 la Diputación Provincial presentó su escrito de alegaciones, reiterando las ya formuladas en su escrito de demanda de amparo constitucional.</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10</w:t>
      </w:r>
      <w:r>
        <w:t>. Por providencia de 28 de enero de 2008, se señaló para deliberación y votación de la presente Sentencia el día 31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Diputación Provincial de Cádiz impugna la Sentencia de la Sección Sexta de la Sala de lo Contencioso-Administrativo de la Audiencia Nacional, de 25 de junio de 2004, así como su Auto posterior de 30 de septiembre de 2004, que desestimó el incidente de nulidad promovido contra la citada Sentencia, por considerar que la inadmisibilidad de su recurso contencioso que declaró el órgano judicial por falta de acreditación del poder de representación procesal, sin antes ofrecerle la oportunidad de subsanar el citado defecto, es una decisión judicial que vulnera su derecho a la tutela judicial efectiva sin indefensión (art. 24.1 CE).</w:t>
      </w:r>
    </w:p>
    <w:p w:rsidR="0052098F" w:rsidRDefault="0052098F" w:rsidP="0052098F">
      <w:pPr>
        <w:pStyle w:val="TextoNormal"/>
      </w:pPr>
      <w:r>
        <w:t>El Ministerio Fiscal rechaza que la Sentencia impugnada vulnere el derecho fundamental del art. 24.1 CE, habida cuenta que la no subsanación del defecto de representación procesal censurado por la Sentencia recurrida es imputable a la propia negligencia de la Diputación Provincial recurrente, que, pese a poder haberlo hecho oportunamente, nada hizo sin embargo para acreditar la representación procesal discutida en el proceso judicial por la Administración entonces demandada. Por su parte el Abogado del Estado interesa la inadmisión del recurso por incumplir el requisito formal previsto en los arts. 54.3 del Real Decreto Legislativo 781/1986, de 18 de abril, que aprueba el texto refundido de las disposiciones legales en materia de régimen local (LRL) y 221 del Reglamento de organización, funcionamiento y régimen jurídico de las corporaciones locales (ROF) y por extemporáneo, así como, subsidiariamente, su desestimación al estimar igualmente, por parecidos motivos a los razonados por el Fiscal, que no es posible apreciar en la Sentencia recurrida la tacha constitucional del art. 24.1 CE que le reprocha la demandante.</w:t>
      </w:r>
    </w:p>
    <w:p w:rsidR="0052098F" w:rsidRDefault="0052098F" w:rsidP="0052098F">
      <w:pPr>
        <w:pStyle w:val="TextoNormal"/>
      </w:pPr>
    </w:p>
    <w:p w:rsidR="0052098F" w:rsidRDefault="0052098F" w:rsidP="0052098F">
      <w:pPr>
        <w:pStyle w:val="TextoNormal"/>
      </w:pPr>
      <w:r w:rsidRPr="0052098F">
        <w:rPr>
          <w:rStyle w:val="NumeroAFNegritaCaracter"/>
        </w:rPr>
        <w:t>2</w:t>
      </w:r>
      <w:r>
        <w:t>. Con carácter previo al examen de fondo del motivo de la demanda de amparo debemos pronunciarnos sobre los obstáculos procesales opuestos por el Abogado del Estado en su escrito de alegaciones. En su opinión, conforme con más detalle se ha expuesto en los antecedentes de esta resolución, la demanda de amparo debiera ser inadmitida, en primer término, porque la Diputación Provincial recurrente no ha acreditado la existencia del dictamen previo de su Secretario ni el acuerdo de su Presidencia que contempla la legislación local como requisitos necesarios para el ejercicio de acciones en defensa de los bienes y derechos de las entidades locales. Y, en segundo lugar, por extemporánea, toda vez que el incidente de nulidad de actuaciones que promovió la Diputación Provincial frente a la Sentencia que declaró la inadmisibilidad de su recurso contencioso era un recurso manifiestamente improcedente y, por tanto, que sólo sirvió para provocar una prolongación artificial de la vía judicial previa y, por consiguiente, del plazo para interponer el recurso de amparo.</w:t>
      </w:r>
    </w:p>
    <w:p w:rsidR="0052098F" w:rsidRDefault="0052098F" w:rsidP="0052098F">
      <w:pPr>
        <w:pStyle w:val="TextoNormal"/>
      </w:pPr>
      <w:r>
        <w:t xml:space="preserve">Estas dos objeciones deben rechazarse. En el primer caso porque la exigencia de acreditar en sede de amparo constitucional el acuerdo y el informe que el Abogado del Estado echa en falta, además de no prevista expresamente en la Ley Orgánica de este Tribunal, debe presumirse cumplida en la vía judicial previa, como lo indica el hecho de que el Abogado del Estado no opusiera entonces por ese motivo ninguna objeción al recurso contencioso-administrativo interpuesto por la Diputación Provincial de Cádiz, sin que tampoco sea razonable exigir el cumplimiento de esos requisitos formales cada vez que la correspondiente entidad local decide, con ocasión de una misma cuestión litigiosa, interponer un recurso, </w:t>
      </w:r>
      <w:r>
        <w:lastRenderedPageBreak/>
        <w:t>apurando los medios de impugnación que le ofrece el Ordenamiento para la defensa de sus derechos e intereses, incluido el amparo constitucional.</w:t>
      </w:r>
    </w:p>
    <w:p w:rsidR="0052098F" w:rsidRDefault="0052098F" w:rsidP="0052098F">
      <w:pPr>
        <w:pStyle w:val="TextoNormal"/>
      </w:pPr>
      <w:r>
        <w:t>Y en el otro porque, conforme este Tribunal ha advertido en repetidas ocasiones, el concepto de “recurso manifiestamente improcedente” debe, en el contexto considerado, aplicarse de forma restrictiva y limitada a los supuestos en los que la improcedencia del remedio procesal intentado derive de manera terminante, clara e inequívoca del propio texto legal, sin dudas que hayan de resolverse con criterios interpretativos de alguna dificultad. De ahí precisamente que, como también está subrayado en esa misma jurisprudencia constitucional, este Tribunal haya declarado que los recursos, aun cuando sean improcedentes, suspenden el plazo para recurrir en amparo que previene el art. 44.2 LOTC cuando “de las circunstancias del caso se colija que el recurrente obra en la creencia de que hace lo correcto y, por consiguiente, actúa sin ánimo dilatorio” (por todas, últimamente, SSTC 23/2005, de 14 de febrero, FJ 3, 246/2005, de 10 de octubre, FJ 2, y 17/2006, de 30 de enero, FJ 3).</w:t>
      </w:r>
    </w:p>
    <w:p w:rsidR="0052098F" w:rsidRDefault="0052098F" w:rsidP="0052098F">
      <w:pPr>
        <w:pStyle w:val="TextoNormal"/>
      </w:pPr>
      <w:r>
        <w:t>Aplicando esta doctrina al presente asunto, y teniendo en cuenta que el incidente de nulidad de actuaciones que promovió la Diputación Provincial recurrente lo fue en denuncia precisamente de la indefensión que se decía padecida como consecuencia del no ofrecimiento del oportuno trámite para la subsanación del defecto formal advertido, y de la incongruencia que suponía tener por admitida la representación para luego sin embargo acabar negándola, así como que el citado incidente fue admitido a trámite, examinado y resuelto por el órgano judicial con un pronunciamiento sobre el fondo, no es posible concluir, como por otra parte el propio el Abogado del Estado reconoce, que el citado incidente fuera en rigor un recurso manifiestamente improcedente o promovido con ánimo simplemente dilatorio, por lo que su objeción de extemporaneidad debe ser rechazada.</w:t>
      </w:r>
    </w:p>
    <w:p w:rsidR="0052098F" w:rsidRDefault="0052098F" w:rsidP="0052098F">
      <w:pPr>
        <w:pStyle w:val="TextoNormal"/>
      </w:pPr>
    </w:p>
    <w:p w:rsidR="0052098F" w:rsidRDefault="0052098F" w:rsidP="0052098F">
      <w:pPr>
        <w:pStyle w:val="TextoNormal"/>
      </w:pPr>
      <w:r w:rsidRPr="0052098F">
        <w:rPr>
          <w:rStyle w:val="NumeroAFNegritaCaracter"/>
        </w:rPr>
        <w:t>3</w:t>
      </w:r>
      <w:r>
        <w:t>. Descartada la existencia de los citados óbices procesales, y entrando en el examen de fondo de la lesión constitucional del art. 24.1 CE que se denuncia, conviene recordar que en materia de resoluciones judiciales que declaran la inadmisibilidad del correspondiente recurso por defectos formales en los actos de postulación o representación procesal de las partes existe ya una reiterada y consolidada jurisprudencia constitucional, que está resumida, entre otras muchas, en las SSTC 159/1995, de 6 de noviembre, 195/1999, de 25 de octubre, 234/2002, de 9 de diciembre y, en las más recientes, SSTC 287/2005, de 7 de noviembre, y 241/2007, de 10 de diciembre.</w:t>
      </w:r>
    </w:p>
    <w:p w:rsidR="0052098F" w:rsidRDefault="0052098F" w:rsidP="0052098F">
      <w:pPr>
        <w:pStyle w:val="TextoNormal"/>
      </w:pPr>
      <w:r>
        <w:t>Conforme a esta doctrina constitucional, que comienza por subrayar, en expresión ya normalizada, que “la falta de acreditación de la representación procesal es subsanable, si el defecto se reduce a esa mera formalidad y siempre que tal subsanación sea posible, de modo que en tales supuestos el órgano judicial debe conferir a las partes la posibilidad de subsanación antes de impedirles el acceso al proceso o al recurso legalmente previsto”, este Tribunal ha declarado que la infracción por los órganos judiciales de las reglas procesales carece no obstante de relevancia constitucional cuando el propio interesado ha contribuido decisivamente, con su impericia o negligencia, a causar la situación de indefensión que denuncia. Por esta razón en esa misma jurisprudencia está también dicho que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su posición procesal” (STC 287/2005, de 7 de noviembre; FJ 2).</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4</w:t>
      </w:r>
      <w:r>
        <w:t>. La aplicación de esta doctrina al supuesto sometido a nuestra consideración, determina la desestimación del amparo solicitado. Como con más detalle se ha expuesto en los antecedentes, en el presente asunto, en el trámite de contestación a la demanda contenciosa, la Administración entonces demandada se opuso a la admisión del recurso interpuesto alegando precisamente la falta de acreditación de la representación procesal de la Diputación Provincial recurrente. Una vez trasladado el escrito de contestación y pese a conocer, por tanto, la excepción de admisibilidad opuesta de contrario ex art. 69 b) de la Ley de la jurisdicción contencioso-administrativa (LJCA), la demandante de amparo nada hizo sin embargo para combatirla. No lo hizo, en primer lugar, sirviéndose, sin necesidad de requerimiento judicial, de la posibilidad que habilita el art. 138 LJCA para que, dentro de los diez días siguientes al de la notificación del correspondiente escrito de oposición, la parte interesada pueda subsanar el defecto procesal entonces advertido o formular alegaciones frente al mismo. Como no lo hizo tampoco, más tarde, con ocasión de la evacuación del trámite de conclusiones, en el que la Diputación Provincial recurrente se limitó a reproducir simplemente los argumentos de la demanda, sin objetar ni mencionar siquiera la citada causa de inadmisibilidad.</w:t>
      </w:r>
    </w:p>
    <w:p w:rsidR="0052098F" w:rsidRDefault="0052098F" w:rsidP="0052098F">
      <w:pPr>
        <w:pStyle w:val="TextoNormal"/>
      </w:pPr>
      <w:r>
        <w:t>Por consiguiente, al igual que hemos declarado en otros supuestos semejantes (ATC 16/2000, de 17 de enero, y SSTC 159/1995, de 6 de noviembre, y 234/2002, de 9 de diciembre, antes citadas), la notoria falta de diligencia que con su actitud procesal ha demostrado la propia Diputación Provincial recurrente excluye que podamos apreciar en las resoluciones judiciales impugnadas la infracción del derecho a la tutela judicial efectiva sin indefensión (art. 24.1 CE) que la demandante les reprocha.</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Desestimar el recurso de amparo interpuesto por la Excma. Diputación Provincial de Cádiz.</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8" w:name="SENTENCIA_2008_15"/>
      <w:r>
        <w:lastRenderedPageBreak/>
        <w:t>SENTENCIA 15/2008, de 31 de enero de 2008</w:t>
      </w:r>
    </w:p>
    <w:bookmarkEnd w:id="18"/>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ECLI:ES:TC:2008:15</w:t>
      </w:r>
    </w:p>
    <w:p w:rsidR="0052098F" w:rsidRDefault="0052098F" w:rsidP="0052098F">
      <w:pPr>
        <w:pStyle w:val="SntesisDescriptiva"/>
      </w:pPr>
    </w:p>
    <w:p w:rsidR="0052098F" w:rsidRDefault="0052098F" w:rsidP="0052098F">
      <w:pPr>
        <w:pStyle w:val="SntesisDescriptiva"/>
      </w:pPr>
      <w:r>
        <w:t>Recurso de amparo 6902-2004. Promovido por don Mariano Aguirán Esqués frente al Auto de la Audiencia Provincial de Zaragoza que elevó la cantidad que debía pagar en ejecución de sentencia civil sobre rendición de cuentas del patrimonio familiar.</w:t>
      </w:r>
    </w:p>
    <w:p w:rsidR="0052098F" w:rsidRDefault="0052098F" w:rsidP="0052098F">
      <w:pPr>
        <w:pStyle w:val="SntesisDescriptiva"/>
      </w:pPr>
    </w:p>
    <w:p w:rsidR="0052098F" w:rsidRDefault="0052098F" w:rsidP="0052098F">
      <w:pPr>
        <w:pStyle w:val="SntesisAnaltica"/>
      </w:pPr>
      <w:r>
        <w:t>Supuesta vulneración del derecho a la tutela judicial efectiva (ejecución): liquidación de frutos y rentas de unos locales comerciales, no compensados por otros gastos, que no se desvía del fallo ejecutado.</w:t>
      </w:r>
    </w:p>
    <w:p w:rsidR="0052098F" w:rsidRDefault="0052098F" w:rsidP="0052098F">
      <w:pPr>
        <w:pStyle w:val="SntesisAnaltica"/>
      </w:pPr>
    </w:p>
    <w:p w:rsidR="0052098F" w:rsidRDefault="0052098F" w:rsidP="0052098F">
      <w:pPr>
        <w:pStyle w:val="Extracto"/>
      </w:pPr>
      <w:r>
        <w:t>1.</w:t>
      </w:r>
      <w:r>
        <w:tab/>
        <w:t>No vulnera el art. 24 CE la afirmación contenida en el Auto impugnado, en el sentido de concretar en qué se centraba el debate, pues lejos de constituir una rectificación o reinterpretación del contenido y alcance del fallo fue una razonada y razonable concreción del sentido de tal fallo, admitida por el propio demandante de amparo [FJ 5].</w:t>
      </w:r>
    </w:p>
    <w:p w:rsidR="0052098F" w:rsidRDefault="0052098F" w:rsidP="0052098F">
      <w:pPr>
        <w:pStyle w:val="Extracto"/>
      </w:pPr>
    </w:p>
    <w:p w:rsidR="0052098F" w:rsidRDefault="0052098F" w:rsidP="0052098F">
      <w:pPr>
        <w:pStyle w:val="Extracto"/>
      </w:pPr>
      <w:r>
        <w:t>2.</w:t>
      </w:r>
      <w:r>
        <w:tab/>
        <w:t>El derecho a la tutela judicial efectiva actúa como límite que impide a los Jueces y Tribunales variar o revisar las resoluciones judiciales firmes al margen de los presupuestos y casos taxativamente previstos por la ley (SSTC 262/2000, 140/2001) [FJ 4].</w:t>
      </w:r>
    </w:p>
    <w:p w:rsidR="0052098F" w:rsidRDefault="0052098F" w:rsidP="0052098F">
      <w:pPr>
        <w:pStyle w:val="Extracto"/>
      </w:pPr>
    </w:p>
    <w:p w:rsidR="0052098F" w:rsidRDefault="0052098F" w:rsidP="0052098F">
      <w:pPr>
        <w:pStyle w:val="Extracto"/>
      </w:pPr>
      <w:r>
        <w:t>3.</w:t>
      </w:r>
      <w:r>
        <w:tab/>
        <w:t>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47/2006) [FJ 4].</w:t>
      </w:r>
    </w:p>
    <w:p w:rsidR="0052098F" w:rsidRDefault="0052098F" w:rsidP="0052098F">
      <w:pPr>
        <w:pStyle w:val="Extracto"/>
      </w:pPr>
    </w:p>
    <w:p w:rsidR="0052098F" w:rsidRDefault="0052098F" w:rsidP="0052098F">
      <w:pPr>
        <w:pStyle w:val="Extracto"/>
      </w:pPr>
      <w:r>
        <w:t>4.</w:t>
      </w:r>
      <w:r>
        <w:tab/>
        <w:t>La queja del recurrente no pone de manifiesto una real falta de motivación de la decisión judicial impugnada sino su disconformidad con el criterio del Auto recurrido, habiendo sido éste adoptado por el órgano judicial de manera razonada y no manifiestamente errónea o arbitraria, no pudiendo por tanto ser revisado por este Tribunal, al no constituirse como una tercera instancia revisora (SSTC 165/1999, 170/2002) [FJ 6].</w:t>
      </w:r>
    </w:p>
    <w:p w:rsidR="0052098F" w:rsidRDefault="0052098F" w:rsidP="0052098F">
      <w:pPr>
        <w:pStyle w:val="Extracto"/>
      </w:pPr>
    </w:p>
    <w:p w:rsidR="0052098F" w:rsidRDefault="0052098F" w:rsidP="0052098F">
      <w:pPr>
        <w:pStyle w:val="Extracto"/>
      </w:pPr>
      <w:r>
        <w:t>5.</w:t>
      </w:r>
      <w:r>
        <w:tab/>
        <w:t>El art. 24 CE no garantiza un pronunciamiento acorde con las pretensiones de la parte, sino una resolución fundada en Derecho, por lo que la simple discrepancia con la interpretación razonada que de la legalidad ordinaria realizan los Jueces y Tribunales no tiene cabida en el marco objetivo del recurso de amparo (SSTC 10/2000, 116/1995) [FJ 6].</w:t>
      </w:r>
    </w:p>
    <w:p w:rsidR="0052098F" w:rsidRDefault="0052098F" w:rsidP="0052098F">
      <w:pPr>
        <w:pStyle w:val="Extracto"/>
      </w:pPr>
    </w:p>
    <w:p w:rsidR="0052098F" w:rsidRDefault="0052098F" w:rsidP="0052098F">
      <w:pPr>
        <w:pStyle w:val="Extracto"/>
      </w:pPr>
      <w:r>
        <w:t>6.</w:t>
      </w:r>
      <w:r>
        <w:tab/>
        <w:t>Doctrina sobre la carencia de competencia del Tribunal Constitucional para proceder a una nueva valoración de los hechos (STC 8/2003) [FJ 6].</w:t>
      </w:r>
    </w:p>
    <w:p w:rsidR="0052098F" w:rsidRDefault="0052098F" w:rsidP="0052098F">
      <w:pPr>
        <w:pStyle w:val="Extracto"/>
      </w:pPr>
    </w:p>
    <w:p w:rsidR="0052098F" w:rsidRDefault="0052098F" w:rsidP="0052098F">
      <w:pPr>
        <w:pStyle w:val="Extracto"/>
      </w:pPr>
      <w:r>
        <w:lastRenderedPageBreak/>
        <w:t>7.</w:t>
      </w:r>
      <w:r>
        <w:tab/>
        <w:t>El incidente de nulidad de actuaciones no resulta un cauce procesal adecuado para lograr la nulidad de las Sentencias por motivos de fondo, de modo que, combatiéndose la sentencia impugnada por haber incurrido en este tipo de irregularidad, quedaba ya abierta la vía del recurso de amparo (SSTC 114/2005, 221/2007)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6902-2004, promovido por don Mariano Aguirán Esqués y actuando en calidad de Letrado y representado por el Procurador de los Tribunales don Federico José Olivares de Santiago, contra el Auto de fecha 18 de octubre de 2004 dictado por la Sección Segunda de la Audiencia Provincial de Zaragoza en recurso de apelación núm. 716-2001 en los autos de juicio de menor cuantía seguidos ante el Juzgado de Primera Instancia núm. 1 de Zaragoza bajo el núm. 966-1998. Ha comparecido doña María Pilar Agueda de la Iglesia Aguirán, representada por la Procuradora de los Tribunales doña María Soledad San Mateo García bajo la dirección del Letrado don Alberto Gómez Estaun. Ha intervenido el Ministerio Fiscal. Ha sido Ponente el Magistrado don Roberto García-Calvo y Montiel,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día 18 de noviembre de 2004, el Procurador de los Tribunales don Federico José Olivares de Santiago, en nombre y representación de don Mariano Aguirán Esqués, interpuso recurso de amparo contra el Auto que se menciona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demanda de amparo tiene su origen en los siguientes antecedentes: </w:t>
      </w:r>
    </w:p>
    <w:p w:rsidR="0052098F" w:rsidRDefault="0052098F" w:rsidP="0052098F">
      <w:pPr>
        <w:pStyle w:val="TextoNormal"/>
      </w:pPr>
      <w:r>
        <w:t xml:space="preserve">a) En los autos de juicio de menor cuantía núm. 966-1998, seguidos contra el demandante de amparo para la rendición de cuentas por parte de éste de los frutos y rentas obtenidos del patrimonio común heredado de sus padres, que era administrado por el demandante de amparo en vida de aquéllos, recayó Sentencia del Juzgado núm. 1 de Zaragoza de fecha 7 de mayo de 1999, en que se le condenaba a rendir cuenta detallada y justificada de su gestión de determinados bienes desde 1994, practicándose las oportunas liquidaciones correspondientes a los frutos y rentas obtenidos del patrimonio común. Esta resolución fue confirmada por la Audiencia Provincial en Sentencia de 25 de enero de 2000. Al objeto de proceder a </w:t>
      </w:r>
      <w:r>
        <w:lastRenderedPageBreak/>
        <w:t xml:space="preserve">la ejecución de la misma, por el demandante de amparo se presentó escrito de dación de cuentas, del que se confirió traslado a la otra parte, que la impugnó, por lo que se abrió a prueba el incidente. </w:t>
      </w:r>
    </w:p>
    <w:p w:rsidR="0052098F" w:rsidRDefault="0052098F" w:rsidP="0052098F">
      <w:pPr>
        <w:pStyle w:val="TextoNormal"/>
      </w:pPr>
      <w:r>
        <w:t xml:space="preserve">b) El Juzgado dictó Auto, de fecha 7 de diciembre de 2000, en cuya parte dispositiva dispuso que debía fijar en dos millones doscientas cincuenta y dos mil setecientas cincuenta y cuatro pesetas la cantidad que el demandante de amparo debía abonar a doña María del Pilar Aguirán Esqués. </w:t>
      </w:r>
    </w:p>
    <w:p w:rsidR="0052098F" w:rsidRDefault="0052098F" w:rsidP="0052098F">
      <w:pPr>
        <w:pStyle w:val="TextoNormal"/>
      </w:pPr>
      <w:r>
        <w:t xml:space="preserve">c) Contra esta resolución interpusieron recurso de apelación ambas partes, que resolvió la Audiencia por medio de Auto de fecha 18 de octubre de 2004, que estimó parcialmente el de doña María del Pilar y desestimó el del demandante de amparo. En consecuencia, revocó el Auto anterior, en el sentido de fijar la liquidación pendiente en la cantidad de siete millones ciento nueve mil quinientas setenta y cuatro pesetas. La Audiencia afirma que el debate se centra sobre los ingresos y gastos generados por los contratos de arrendamiento de tres locales comerciales cuya administración tuvo el demandante de amparo, y respecto de los que ha sido condenado a la oportuna rendición de cuentas y liquidación. En función de este criterio, no deduce de la liquidación determinados gastos que están relacionados con otros inmuebles heredados por los hermanos distintos de los locales, “lo que obliga a su exclusión”. </w:t>
      </w:r>
    </w:p>
    <w:p w:rsidR="0052098F" w:rsidRDefault="0052098F" w:rsidP="0052098F">
      <w:pPr>
        <w:pStyle w:val="TextoNormal"/>
      </w:pPr>
      <w:r>
        <w:t>d) La representación del demandante de amparo preparó recurso extraordinario por infracción procesal contra el Auto de la Audiencia Provincial, dictándose por la propia Audiencia Auto de fecha 15 de noviembre de 2004 por el que se rechaza el recurso, interponiéndose recurso de queja que es también rechazado por Auto de la misma Audiencia Provincial de fecha 15 de diciembre de 2004.</w:t>
      </w:r>
    </w:p>
    <w:p w:rsidR="0052098F" w:rsidRDefault="0052098F" w:rsidP="0052098F">
      <w:pPr>
        <w:pStyle w:val="TextoNormal"/>
      </w:pPr>
    </w:p>
    <w:p w:rsidR="0052098F" w:rsidRDefault="0052098F" w:rsidP="0052098F">
      <w:pPr>
        <w:pStyle w:val="TextoNormal"/>
      </w:pPr>
      <w:r w:rsidRPr="0052098F">
        <w:rPr>
          <w:rStyle w:val="NumeroAFNegritaCaracter"/>
        </w:rPr>
        <w:t>3</w:t>
      </w:r>
      <w:r>
        <w:t>. El recurrente aduce en su demanda de amparo que la resolución impugnada ha vulnerado sus derechos a la tutela judicial efectiva (art. 24.1 CE). Alega el demandante que la rendición de cuentas objeto del proceso se refería a todos los frutos y rentas (y, por supuesto, gastos), derivados del patrimonio común heredado, y no sólo a los locales integrados en la herencia.</w:t>
      </w:r>
    </w:p>
    <w:p w:rsidR="0052098F" w:rsidRDefault="0052098F" w:rsidP="0052098F">
      <w:pPr>
        <w:pStyle w:val="TextoNormal"/>
      </w:pPr>
    </w:p>
    <w:p w:rsidR="0052098F" w:rsidRDefault="0052098F" w:rsidP="0052098F">
      <w:pPr>
        <w:pStyle w:val="TextoNormal"/>
      </w:pPr>
      <w:r w:rsidRPr="0052098F">
        <w:rPr>
          <w:rStyle w:val="NumeroAFNegritaCaracter"/>
        </w:rPr>
        <w:t>4</w:t>
      </w:r>
      <w:r>
        <w:t>. La Sección Segunda de este Tribunal, por providencia de 26 de abril de 2007, acordó la admisión a trámite de la demanda de amparo y dirigir atenta comunicación a los órganos judiciales competentes para la remisión de copia testimoniada de las actuaciones y el emplazamiento a quienes hubieran sido parte en ese procedimiento para que pudieran comparecer en el proceso de amparo. En la misma fecha se incoó pieza de suspensión en la que, tras oír a las partes, se dictó Auto de fecha 18 de junio de 2007 denegando la suspensión solicitada.</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Secretaría de Justicia de la Sala Primera de 17 de julio de 2007 se tuvieron por recibidos los testimonios de las actuaciones, por personada y parte a la Procuradora doña María Soledad San Mateo García, en nombre y representación de doña María Pilar Agueda de la Iglesia tutora de la incapaz doña María del Pilar Aguirán Esqués; y, a tenor del art. 52 LOTC, se acordó dar vista de las actuaciones al Ministerio Fiscal y a las partes personadas por plazo común de veinte días para que pudieran presentar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6</w:t>
      </w:r>
      <w:r>
        <w:t>. La Procuradora Sra. San Mateo García, por escrito registrado el 21 de septiembre de 2007, presentó sus alegaciones, destacando en primer lugar la concurrencia de la causa de inadmisión de falta de agotamiento de la vía judicial previa, conforme a lo dispuesto en los arts. 44.1 a) y 50.1 a), ambos LOTC, por cuanto el demandante de amparo debía haber promovido incidente de nulidad de actuaciones previsto en el art. 241.1 LOPJ, al concurrir los requisitos y circunstancias previstas en dicho precepto para la interposición del referido incidente. Subsidiariamente se solicita la denegación del amparo al considerar que no se ha visto afectado el derecho a la tutela judicial efectiva (art. 24.1 CE), ya que en la resolución judicial no existe ningún error, ni resultan arbitrarias ni contrarias a lo resuelto en Sentencia las valoraciones, declaraciones y fallo contenidos en el Auto dictado por la Audiencia Provincial en el incidente de ejecución de Sentencia, con respecto a la liquidación y los ingresos, pagos, gastos, bienes, etc., a tener en consideración en la misma, máxime si se tiene en cuenta tanto la fecha desde que se pedía que el ahora demandante de amparo rindiera cuentas de su gestión (26 de abril de 1994, tal y como se acordó en Sentencia), como los bienes que pertenecían proindiviso a los tres hermanos que eran los que integraban el patrimonio común de estos y sobre los que se había conferido al demandante de amparo su administración, y que se circunscriben a los locales, tal y como consta en las actuaciones seguidas en el proceso, en el incidente de ejecución de Sentencia, así como del propio reconocimiento por parte del demandado en el proceso civil.</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Ministerio Fiscal, por escrito registrado el 20 de septiembre de 2007, presentó sus alegaciones interesando la desestimación de la demanda de amparo. Con carácter previo alega el Fiscal que la distancia temporal entre la notificación del Auto de 18 de octubre, que lo fue el subsiguiente 20 de octubre, y la fecha de entrada de la demanda de amparo ante el Tribunal Constitucional (18 de noviembre) hace temporánea la acción de amparo por hallarse dentro del plazo de veinte días del antiguo art. 44.2 LOTC (aplicable al caso por mor de la disposición transitoria tercera de la Ley Orgánica 6/2007). De otro lado, una interpretación pro actione debe llevar a no considerar que los recursos posteriormente interpuestos debieron tener su continuación en el recurso de queja ante el Tribunal Supremo para entender agotada la vía judicial, ya que su procedencia era dudosa. </w:t>
      </w:r>
    </w:p>
    <w:p w:rsidR="0052098F" w:rsidRDefault="0052098F" w:rsidP="0052098F">
      <w:pPr>
        <w:pStyle w:val="TextoNormal"/>
      </w:pPr>
      <w:r>
        <w:t>En relación con el fondo del asunto, alega el Fiscal que el análisis de la demanda apunta a que el demandante invoca un error patente de los jueces al no haber delimitado correctamente el objeto de la rendición de cuentas. Sin embargo, el contraste entre la doctrina constitucional sobre el particular y el caso planteado pone de relieve que falta el requisito inicial e imprescindible de que el error sea manifiesto, ya que de la lectura de las actuaciones no se infiere con claridad que los gastos deducibles de la rendición de cuentas lo sean del patrimonio total sino de los locales antes aludidos. De otro lado, tampoco de la Sentencia de la que dimana la ejecución se infiere con claridad que la imputación de gastos lo sea del total de la herencia y no solo de los tan repetidos locales. Por todo ello, considera el Fiscal que el Tribunal Constitucional no puede reconstruir la resolución combatida hasta el punto de revisar su fundamentación y fallo por una revaloración del objeto de la litis y del saldo resultante a favor o en contra de cada una de las partes, ya que forma parte del núcleo de la Sentencia, afecta a la facultad de juzgar (art. 117.3 CE) y no se deriva de modo claro y contundente, patente y manifiesto de la resolución recurrida y de sus precedentes.</w:t>
      </w:r>
    </w:p>
    <w:p w:rsidR="0052098F" w:rsidRDefault="0052098F" w:rsidP="0052098F">
      <w:pPr>
        <w:pStyle w:val="TextoNormal"/>
      </w:pPr>
    </w:p>
    <w:p w:rsidR="0052098F" w:rsidRDefault="0052098F" w:rsidP="0052098F">
      <w:pPr>
        <w:pStyle w:val="TextoNormal"/>
      </w:pPr>
      <w:r w:rsidRPr="0052098F">
        <w:rPr>
          <w:rStyle w:val="NumeroAFNegritaCaracter"/>
        </w:rPr>
        <w:t>8</w:t>
      </w:r>
      <w:r>
        <w:t>. El recurrente, por escrito registrado el 22 de marzo de 2004, presentó sus alegaciones reiterando lo expuesto en la demanda de amparo.</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fecha de 28 de enero de 2008 se señaló para deliberación y votación de la presente Sentencia el día 31 de dicho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recurrente aduce en su demanda de amparo que la resolución judicial impugnada ha vulnerado su derecho a la tutela judicial efectiva (art. 24.1 CE), al no haber identificado correctamente el órgano judicial el objeto del proceso, que se refería a la rendición de todos los frutos y rentas (y, por supuesto, gastos) derivados del patrimonio común heredado, y no sólo a los relativos a los locales integrados en la herencia, modificando así el contenido y alcance del fallo de la Sentencia firme recaída en el proceso civil subyacente. A ello se oponen el Ministerio Fiscal y la parte comparecida, por las razones expuestas en los antecedentes de esta resolución.</w:t>
      </w:r>
    </w:p>
    <w:p w:rsidR="0052098F" w:rsidRDefault="0052098F" w:rsidP="0052098F">
      <w:pPr>
        <w:pStyle w:val="TextoNormal"/>
      </w:pPr>
    </w:p>
    <w:p w:rsidR="0052098F" w:rsidRDefault="0052098F" w:rsidP="0052098F">
      <w:pPr>
        <w:pStyle w:val="TextoNormal"/>
      </w:pPr>
      <w:r w:rsidRPr="0052098F">
        <w:rPr>
          <w:rStyle w:val="NumeroAFNegritaCaracter"/>
        </w:rPr>
        <w:t>2</w:t>
      </w:r>
      <w:r>
        <w:t>. Antes de entrar al fondo de esta invocación, resulta necesario dar respuesta a las alegaciones planteadas por la parte comparecida en relación con la concurrencia de causa de inadmisión, consistente en que la demanda está incursa en falta de agotamiento de la vía judicial previa por no haberse interpuesto incidente de nulidad de actuaciones.</w:t>
      </w:r>
    </w:p>
    <w:p w:rsidR="0052098F" w:rsidRDefault="0052098F" w:rsidP="0052098F">
      <w:pPr>
        <w:pStyle w:val="TextoNormal"/>
      </w:pPr>
      <w:r>
        <w:t>Esta objeción debe rechazarse, sin embargo, pues, conforme hemos dicho en otras ocasiones, el mencionado incidente no resulta un cauce procesal adecuado para lograr la nulidad de la Sentencia por motivos de fondo, como ocurre en este caso, en el que, pese a lo que la parte comparecida alega de contrario, la tacha que denuncia el demandante de amparo consiste en la modificación que lleva a cabo el órgano judicial del contenido y alcance del fallo firme establecido en el proceso en el que venía practicándose, en fase de ejecución, la referida rendición de cuentas. De modo que, combatiéndose la Sentencia impugnada por haber incurrido en este tipo de irregularidad, y no siendo viable para remediarla cauce alguno en la vía judicial ordinaria, quedaba abierta la vía del recurso de amparo sin que fuera necesario interponer previamente el incidente de nulidad del art. 241 de la Ley Orgánica del Poder Judicial (LOPJ; últimamente, entre otras, STC 221/2007, de 8 de octubre, FJ 2, y las ahí citadas SSTC 114/2005, de 9 de mayo, FJ 2, y 158/2006, de 22 de mayo, FJ 3).</w:t>
      </w:r>
    </w:p>
    <w:p w:rsidR="0052098F" w:rsidRDefault="0052098F" w:rsidP="0052098F">
      <w:pPr>
        <w:pStyle w:val="TextoNormal"/>
      </w:pPr>
    </w:p>
    <w:p w:rsidR="0052098F" w:rsidRDefault="0052098F" w:rsidP="0052098F">
      <w:pPr>
        <w:pStyle w:val="TextoNormal"/>
      </w:pPr>
      <w:r w:rsidRPr="0052098F">
        <w:rPr>
          <w:rStyle w:val="NumeroAFNegritaCaracter"/>
        </w:rPr>
        <w:t>3</w:t>
      </w:r>
      <w:r>
        <w:t>. Entrando ya al fondo del asunto, y a fin de centrar adecuadamente la cuestión debatida, conviene destacar los siguientes hechos que dimanan de las actuaciones:</w:t>
      </w:r>
    </w:p>
    <w:p w:rsidR="0052098F" w:rsidRDefault="0052098F" w:rsidP="0052098F">
      <w:pPr>
        <w:pStyle w:val="TextoNormal"/>
      </w:pPr>
      <w:r>
        <w:t>a) La demanda rectora del procedimiento tenía como pretensión que se procediera a “realizar la oportuna rendición de cuentas desde el 26 de abril de 1994 y, si ha lugar, se practiquen las liquidaciones a favor de mi representada, si el Juzgado así lo estimare procedente, correspondiente por frutos y rentas obtenidos del patrimonio común”.</w:t>
      </w:r>
    </w:p>
    <w:p w:rsidR="0052098F" w:rsidRDefault="0052098F" w:rsidP="0052098F">
      <w:pPr>
        <w:pStyle w:val="TextoNormal"/>
      </w:pPr>
      <w:r>
        <w:t>b) La Sentencia de primera instancia, al estimar la demanda, condenó al demandado a rendir cuenta detallada, practicándose las oportunas liquidaciones correspondientes a los frutos y rentas obtenidas del patrimonio común.</w:t>
      </w:r>
    </w:p>
    <w:p w:rsidR="0052098F" w:rsidRDefault="0052098F" w:rsidP="0052098F">
      <w:pPr>
        <w:pStyle w:val="TextoNormal"/>
      </w:pPr>
      <w:r>
        <w:t>c) La Sentencia de apelación confirmó la anterior en lo que se refería al contenido exacto de la pretensión.</w:t>
      </w:r>
    </w:p>
    <w:p w:rsidR="0052098F" w:rsidRDefault="0052098F" w:rsidP="0052098F">
      <w:pPr>
        <w:pStyle w:val="TextoNormal"/>
      </w:pPr>
      <w:r>
        <w:t>d) En ejecución de la anterior resolución, y una vez practicada la referida liquidación, el Juzgado de Primera Instancia dictó Auto en que aprobaba determinada liquidación, siempre en relación con el patrimonio común familiar.</w:t>
      </w:r>
    </w:p>
    <w:p w:rsidR="0052098F" w:rsidRDefault="0052098F" w:rsidP="0052098F">
      <w:pPr>
        <w:pStyle w:val="TextoNormal"/>
      </w:pPr>
      <w:r>
        <w:lastRenderedPageBreak/>
        <w:t>e) Recurrido este Auto en apelación, la Audiencia Provincial dictó el Auto que ahora se recurre en amparo. En esta resolución, la Audiencia manifiesta que el debate se centra en los ingresos y gastos generados por los contratos de arrendamiento de los tres locales comerciales, “respecto de los que ha sido condenado en sentencia firme a la oportuna rendición de cuentas y liquidación”. Y, más adelante, añade que no toma en cuenta a la hora de calcular la liquidación determinada cantidad, porque se trata de gastos relacionados con otros inmuebles heredados por las partes “distintos de los locales que nos ocupan, lo que obliga a su exclusión”.</w:t>
      </w:r>
    </w:p>
    <w:p w:rsidR="0052098F" w:rsidRDefault="0052098F" w:rsidP="0052098F">
      <w:pPr>
        <w:pStyle w:val="TextoNormal"/>
      </w:pPr>
      <w:r>
        <w:t>En esta situación, el demandante de amparo afirma en su demanda que la rendición de cuenta objeto del procedimiento se refería a todos los frutos y rentas (y por supuesto gastos) derivados del patrimonio común heredado, y no sólo de unos locales integrados en la herencia, por lo que la resolución de la Audiencia que afirma esto último ha incurrido en violación de su derecho a la tutela judicial efectiva (art. 24.1 CE).</w:t>
      </w:r>
    </w:p>
    <w:p w:rsidR="0052098F" w:rsidRDefault="0052098F" w:rsidP="0052098F">
      <w:pPr>
        <w:pStyle w:val="TextoNormal"/>
      </w:pPr>
    </w:p>
    <w:p w:rsidR="0052098F" w:rsidRDefault="0052098F" w:rsidP="0052098F">
      <w:pPr>
        <w:pStyle w:val="TextoNormal"/>
      </w:pPr>
      <w:r w:rsidRPr="0052098F">
        <w:rPr>
          <w:rStyle w:val="NumeroAFNegritaCaracter"/>
        </w:rPr>
        <w:t>4</w:t>
      </w:r>
      <w:r>
        <w:t>. Para analizar esta queja, conviene recordar que, en lo que a la supuesta violación de la intangibilidad de las resoluciones judiciales se refiere, aunque la protección de la integridad de las resoluciones judiciales firmes se conecta dogmáticamente con el principio de seguridad jurídica que nuestra Constitución protege en su art. 9.3,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esta manera el derecho a la tutela judicial efectiva reconocido en el art. 24.1 CE actúa como límite que impide a los Jueces y Tribunales variar o revisar las resoluciones judiciales firmes al margen de los supuestos y casos taxativamente previstos por la ley (SSTC 262/2000, de 30 de octubre, FJ 2; 140/2001, de 18 de junio, FJ 3).</w:t>
      </w:r>
    </w:p>
    <w:p w:rsidR="0052098F" w:rsidRDefault="0052098F" w:rsidP="0052098F">
      <w:pPr>
        <w:pStyle w:val="TextoNormal"/>
      </w:pPr>
      <w:r>
        <w:t>Igualmente, este Tribunal ha declarado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 47/2006, de 13 de febrero, FJ 3).</w:t>
      </w:r>
    </w:p>
    <w:p w:rsidR="0052098F" w:rsidRDefault="0052098F" w:rsidP="0052098F">
      <w:pPr>
        <w:pStyle w:val="TextoNormal"/>
      </w:pPr>
      <w:r>
        <w:t>De conformidad con dicha doctrina, la función de este Tribunal, ha de limitarse en el caso a comprobar si el Auto recurrido puede considerarse como una respuesta válida desde la perspectiva del derecho fundamental a la tutela judicial efectiva, en especial si la pretensión del recurrente ha sido resuelta de forma razonada y motivada por la Audiencia Provincial y si la argumentación dada por la Audiencia Provincial para desestimar la pretensión incurre en algunos de los reproches constitucionales denunciados, en concreto, en el de irrazonabilidad, o mediante una modificación de una resolución judicial anterior fuera de los cauces legalmente previstos.</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Aplicando la anterior doctrina al caso, y visto que la Sentencia firme condenó al demandado “a rendir cuenta detallada, practicándose las oportunas liquidaciones correspondientes a los frutos y rentas obtenidas del patrimonio común”, en una primera aproximación </w:t>
      </w:r>
      <w:r>
        <w:lastRenderedPageBreak/>
        <w:t>pudiera parecer que declarar después que el debate se centra únicamente en la liquidación de cuentas relativa a tres locales comerciales, excluyendo partidas de gastos acreditadas únicamente por la razón de estar relacionadas con otros inmuebles, supone llevar a cabo una reinterpretación o rectificación de lo acordado con carácter de firme de modo precedente.</w:t>
      </w:r>
    </w:p>
    <w:p w:rsidR="0052098F" w:rsidRDefault="0052098F" w:rsidP="0052098F">
      <w:pPr>
        <w:pStyle w:val="TextoNormal"/>
      </w:pPr>
      <w:r>
        <w:t>Sin embargo, analizadas detenidamente las actuaciones, resulta que, requerido el demandante de amparo en fecha 31 de marzo de 2000, en fase de ejecución de la Sentencia firme, para que rindiera cuenta detallada y justificada desde el 25 de abril de 1994 de los frutos y rentas obtenidos del patrimonio común, presentó escrito, de fecha 28 de abril de 2000, en que afirmaba “Que dentro del plazo concedido por ese Juzgado procede a entregar en nombre de mi representado las cuentas del período comprendido entre marzo de 1994 y mayo de 1999, ambos inclusive, de manera detallada y justificada, las cuales han sido originadas por el arrendamiento de tres locales de propiedad indivisa de los tres hermanos Señores Aguirán Esqués derivada de aceptación de herencia que tuvo lugar el día 27 de abril de 1994, sitos en la calle de María Lostal números 26, y 28-30 de esta capital”. Posteriormente, interpuso recurso de reposición contra la providencia recibiendo a prueba el incidente de ejecución; y en dicho escrito afirmaba que “El Juzgado recurrido dictó Sentencia confirmada por la Audiencia por la que se exigía al demandado rindiese cuenta de alquileres producidos por tres locales de negocio propiedad proindiviso de los tres hermanos Aguirán Esqués”.</w:t>
      </w:r>
    </w:p>
    <w:p w:rsidR="0052098F" w:rsidRDefault="0052098F" w:rsidP="0052098F">
      <w:pPr>
        <w:pStyle w:val="TextoNormal"/>
      </w:pPr>
      <w:r>
        <w:t>Es decir, que el propio demandante, al rendir las liquidaciones correspondientes a los frutos y rentas obtenidas del patrimonio común, desde el primer momento fijó su objeto en el arrendamiento de los tres locales de negocio sitos en la calle de María Lostal números 26 y 28-30 de la ciudad de Zaragoza. A la vista de lo anterior, es claro que la afirmación contenida en el Auto de la Audiencia Provincial ahora impugnado, en el sentido de que el debate se centraba en los “ingresos y gastos generados por los contratos de arrendamiento de los tres locales comerciales sitos en la calle María Lostal de Zaragoza”, lejos de ser constituir una rectificación o reinterpretación del contenido y alcance del fallo, no fue sino una razonable y razonada concreción del sentido de tal fallo, admitido por el propio demandante de amparo, que desde el primer momento concretó con absoluta precisión que dicho patrimonio común era, precisamente, el que posteriormente indicó la Audiencia Provincial en la resolución ahora recurrida. El pronunciamiento judicial, por lo tanto, fue perfectamente irreprochable desde la perspectiva del derecho fundamental a la tutela judicial efectiva.</w:t>
      </w:r>
    </w:p>
    <w:p w:rsidR="0052098F" w:rsidRDefault="0052098F" w:rsidP="0052098F">
      <w:pPr>
        <w:pStyle w:val="TextoNormal"/>
      </w:pPr>
    </w:p>
    <w:p w:rsidR="0052098F" w:rsidRDefault="0052098F" w:rsidP="0052098F">
      <w:pPr>
        <w:pStyle w:val="TextoNormal"/>
      </w:pPr>
      <w:r w:rsidRPr="0052098F">
        <w:rPr>
          <w:rStyle w:val="NumeroAFNegritaCaracter"/>
        </w:rPr>
        <w:t>6</w:t>
      </w:r>
      <w:r>
        <w:t>. Por su parte, el demandante de amparo extiende su queja a que, con independencia de que la liquidación debía extenderse a todo el patrimonio común y no únicamente a los locales comerciales, no existe razón alguna para que el demandado no pueda deducir de los ingresos obtenidos de las rentas de esos locales gastos originados por el resto de los bienes hereditarios comunes a los tres herederos, ya que buena parte de estos gastos afectan también a dichos locales.</w:t>
      </w:r>
    </w:p>
    <w:p w:rsidR="0052098F" w:rsidRDefault="0052098F" w:rsidP="0052098F">
      <w:pPr>
        <w:pStyle w:val="TextoNormal"/>
      </w:pPr>
      <w:r>
        <w:t>Así acotado el contenido de esta segunda queja que se nos formula por el recurrente en amparo, el objeto de nuestro enjuiciamiento debe dirigirse exclusivamente a determinar si la resolución impugnada cumple con el canon constitucional relativo a la motivación de las resoluciones judiciales.</w:t>
      </w:r>
    </w:p>
    <w:p w:rsidR="0052098F" w:rsidRDefault="0052098F" w:rsidP="0052098F">
      <w:pPr>
        <w:pStyle w:val="TextoNormal"/>
      </w:pPr>
      <w:r>
        <w:t xml:space="preserve">Este Tribunal ha declarado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w:t>
      </w:r>
      <w:r>
        <w:lastRenderedPageBreak/>
        <w:t>el órgano judicial (SSTC 63/1999, de 26 de abril, FJ 2; 206/1999, de 8 de noviembre, FJ 4; 198/2000, de 24 de julio, FJ 2; 116/2001, de 21 de mayo, FJ 4, entre otras muchas).</w:t>
      </w:r>
    </w:p>
    <w:p w:rsidR="0052098F" w:rsidRDefault="0052098F" w:rsidP="0052098F">
      <w:pPr>
        <w:pStyle w:val="TextoNormal"/>
      </w:pPr>
      <w:r>
        <w:t>En realidad, en el presente caso nos encontramos ante una discrepancia con la valoración de la prueba (en este caso de la prueba pericial) realizada por el órgano judicial, debiéndose reiterar, una vez más, la carencia de competencia del Tribunal Constitucional para proceder a una nueva valoración de los hechos, conforme a lo dispuesto en los arts. 117 CE y 44.1 b) LOTC (STC 8/2003, de 20 de enero, FJ 9), no correspondiéndole la revisión de la valoración del material probatorio efectuada por los Tribunales ordinarios, sino sólo llevar a cabo una supervisión externa de la razonabilidad del discurso que enlaza la actividad probatoria con el relato fáctico resultante, pues, en rigor, la función de este Tribunal no consiste en enjuiciar el resultado alcanzado, sino ese control externo del razonamiento lógico seguido para llegar hasta él (así, SSTC 131/2003, de 30 de junio, FJ 7; 122/2003, de 17 de junio, FJ 4; y 97/2003, de 2 de junio, FJ 16).</w:t>
      </w:r>
    </w:p>
    <w:p w:rsidR="0052098F" w:rsidRDefault="0052098F" w:rsidP="0052098F">
      <w:pPr>
        <w:pStyle w:val="TextoNormal"/>
      </w:pPr>
      <w:r>
        <w:t>En este sentido, hay que añadir que la queja del recurrente no pone de manifiesto una real falta de motivación de la decisión judicial impugnada sino su disconformidad con el criterio del Auto recurrido, en relación con la procedencia o no de incluir en la liquidación determinados gastos, incluidos por el demandante de amparo en la rendición de cuentas. Y lo cierto es que dicho criterio fue adoptado por el órgano judicial de manera razonada y no manifiestamente errónea o arbitraria, en el ejercicio de la competencia que sólo a él corresponde (art. 117 CE) y que no puede ser cuestionado por este Tribunal que, como venimos señalando de manera reiterada, no constituye una tercera instancia revisora o casacional del grado de acierto de las resoluciones judiciales, ni puede indicar la interpretación que haya de darse a la legalidad ordinaria (por todas, SSTC 165/1999, de 27 de enero, FJ 6; 198/2000, de 24 de julio, FJ 2; 170/2202, de 30 de septiembre, FJ 17). A juicio de la Audiencia Provincial, que valora al efecto el resultado arrojado de la prueba pericial practicada, tales gastos están relacionados con “otros inmuebles heredados por los hermanos Aguirán Esqués distintos de los locales que aquí nos ocupan, lo que obliga a su exclusión”.</w:t>
      </w:r>
    </w:p>
    <w:p w:rsidR="0052098F" w:rsidRDefault="0052098F" w:rsidP="0052098F">
      <w:pPr>
        <w:pStyle w:val="TextoNormal"/>
      </w:pPr>
      <w:r>
        <w:t>Así las cosas, desde la consideración del derecho fundamental a la tutela judicial efectiva, debemos concluir que el demandante de amparo ha obtenido una respuesta que satisface dicho derecho, por más que haya sido contrario a sus pretensiones.  Este Tribunal ya ha afirmado en muchas ocasiones que el derecho fundamental a la tutela judicial efectiva no garantiza un pronunciamiento acorde con las pretensiones de la parte, sino una resolución fundada en Derecho (SSTC 10/2000, de 17 de enero, FJ 2; 88/ 2004, de 10 de mayo, FJ 5) y que la simple discrepancia con la interpretación razonada que de la legalidad ordinaria realizan los Juzgados y Tribunales integrantes del Poder Judicial, no tiene cabida en el marco objetivo del recurso de amparo, por no implicar dicha discrepancia, por si sola, la vulneración de ningún derecho fundamental (STC 44/1998, de 24 de febrero, FJ 2; AATC 208/1984, de 4 de abril, y 116/1995, de 4 de abril).</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Denegar el amparo solicitado por don Mariano Aguirán Esqués.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19" w:name="SENTENCIA_2008_16"/>
      <w:r>
        <w:lastRenderedPageBreak/>
        <w:t>SENTENCIA 16/2008, de 31 de enero de 2008</w:t>
      </w:r>
    </w:p>
    <w:bookmarkEnd w:id="19"/>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ECLI:ES:TC:2008:16</w:t>
      </w:r>
    </w:p>
    <w:p w:rsidR="0052098F" w:rsidRDefault="0052098F" w:rsidP="0052098F">
      <w:pPr>
        <w:pStyle w:val="SntesisDescriptiva"/>
      </w:pPr>
    </w:p>
    <w:p w:rsidR="0052098F" w:rsidRDefault="0052098F" w:rsidP="0052098F">
      <w:pPr>
        <w:pStyle w:val="SntesisDescriptiva"/>
      </w:pPr>
      <w:r>
        <w:t>Recurso de amparo 2140-2005. Promovido por Curtidos Gerónimo Gil, S.A., respecto a la Sentencia de la Sala de lo Contencioso-Administrativo del Tribunal Superior de Justicia de la Región de Murcia que desestimó su recurso contra la Dirección General de Trabajo de la Región de Murcia sobre sanción por un accidente laboral.</w:t>
      </w:r>
    </w:p>
    <w:p w:rsidR="0052098F" w:rsidRDefault="0052098F" w:rsidP="0052098F">
      <w:pPr>
        <w:pStyle w:val="SntesisDescriptiva"/>
      </w:pPr>
    </w:p>
    <w:p w:rsidR="0052098F" w:rsidRDefault="0052098F" w:rsidP="0052098F">
      <w:pPr>
        <w:pStyle w:val="SntesisAnaltica"/>
      </w:pPr>
      <w:r>
        <w:t>Vulneración del derecho a la tutela judicial efectiva: sentencia contencioso-administrativa sobre sanción que no toma en cuenta una previa sentencia social que, sobre los mismos hechos, absolvió a la empresa de un recargo en las cuotas de la seguridad social por falta de medidas de seguridad (STC 158/1985).</w:t>
      </w:r>
    </w:p>
    <w:p w:rsidR="0052098F" w:rsidRDefault="0052098F" w:rsidP="0052098F">
      <w:pPr>
        <w:pStyle w:val="SntesisAnaltica"/>
      </w:pPr>
    </w:p>
    <w:p w:rsidR="0052098F" w:rsidRDefault="0052098F" w:rsidP="0052098F">
      <w:pPr>
        <w:pStyle w:val="Extracto"/>
      </w:pPr>
      <w:r>
        <w:t>1.</w:t>
      </w:r>
      <w:r>
        <w:tab/>
        <w:t>La Sentencia impugnada vulnera el derecho a la tutela judicial efectiva, al confirmar las sanciones impuestas por la Administración autonómica, por considerar probada la ausencia de medidas de seguridad como causa determinante del accidente, a pesar de existir una resolución anterior del Juzgado de lo Social en la que se había afirmado que la empresa estableció las correspondientes medidas de seguridad [FFJJ 2, 3].</w:t>
      </w:r>
    </w:p>
    <w:p w:rsidR="0052098F" w:rsidRDefault="0052098F" w:rsidP="0052098F">
      <w:pPr>
        <w:pStyle w:val="Extracto"/>
      </w:pPr>
    </w:p>
    <w:p w:rsidR="0052098F" w:rsidRDefault="0052098F" w:rsidP="0052098F">
      <w:pPr>
        <w:pStyle w:val="Extracto"/>
      </w:pPr>
      <w:r>
        <w:t>2.</w:t>
      </w:r>
      <w:r>
        <w:tab/>
        <w:t>Cuando un órgano judicial vaya a dictar una resolución que pueda ser contradictoria con lo declarado por otra resolución judicial, debe exponer las razones por las cuales, a pesar de las apariencias, tal contradicción no existe (STC 158/1985) [FJ 2].</w:t>
      </w:r>
    </w:p>
    <w:p w:rsidR="0052098F" w:rsidRDefault="0052098F" w:rsidP="0052098F">
      <w:pPr>
        <w:pStyle w:val="Extracto"/>
      </w:pPr>
    </w:p>
    <w:p w:rsidR="0052098F" w:rsidRDefault="0052098F" w:rsidP="0052098F">
      <w:pPr>
        <w:pStyle w:val="Extracto"/>
      </w:pPr>
      <w:r>
        <w:t>3.</w:t>
      </w:r>
      <w:r>
        <w:tab/>
        <w:t>El deber de tener en cuenta para valorar unos hechos la existencia de un previo pronunciamiento judicial no supone la primacía o competencia específica de una jurisdicción, que sólo se produciría cuando así lo determine el Ordenamiento jurídico [FJ 3].</w:t>
      </w:r>
    </w:p>
    <w:p w:rsidR="0052098F" w:rsidRDefault="0052098F" w:rsidP="0052098F">
      <w:pPr>
        <w:pStyle w:val="Extracto"/>
      </w:pPr>
    </w:p>
    <w:p w:rsidR="0052098F" w:rsidRDefault="0052098F" w:rsidP="0052098F">
      <w:pPr>
        <w:pStyle w:val="Extracto"/>
      </w:pPr>
      <w:r>
        <w:t>4.</w:t>
      </w:r>
      <w:r>
        <w:tab/>
        <w:t>Cuando existen varias quejas deberán atenderse en primer lugar aquellas que pueden conducir a la retroacción de actuaciones y, dentro de ellas, las que determinan la misma a momentos anteriores, pero dado que, en el presente caso, todas darían lugar a la retroacción en el mismo momento, se seguirá el mismo orden expositivo contenido en la demanda (SSTC 19/2000, 100/2004) [FJ 2].</w:t>
      </w:r>
    </w:p>
    <w:p w:rsidR="0052098F" w:rsidRDefault="0052098F" w:rsidP="0052098F">
      <w:pPr>
        <w:pStyle w:val="Extracto"/>
      </w:pPr>
    </w:p>
    <w:p w:rsidR="0052098F" w:rsidRDefault="0052098F" w:rsidP="0052098F">
      <w:pPr>
        <w:pStyle w:val="Extracto"/>
      </w:pPr>
      <w:r>
        <w:t>5.</w:t>
      </w:r>
      <w:r>
        <w:tab/>
        <w:t>A pesar de que la recurrente ha solicitado la anulación tanto de la Sentencia como de las resoluciones administrativas recurridas en el proceso decidido por ella, el alcance de nuestro fallo no puede ser otro que el de anular la mencionada Sentencia, con retroacción al momento anterior al de su votación y fallo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2140-2005, promovido por Curtidos Gerónimo Gil, S.A., representada por la Procuradora de los Tribunales doña Raquel Olivares Pastor y asistida por el Letrado don Fulgencio Gil Jódar, contra la Sentencia de la Sección Primera de la Sala de lo Contencioso-Administrativo del Tribunal Superior de Justicia de la Región de Murcia, de 28 de febrero de 2005 (procedimiento ordinario núm. 224-2002), que desestimó el recurso contencioso-administrativo interpuesto frente a la desestimación presunta del recurso de alzada formulado contra Resolución de la Dirección General de Trabajo de la Comunidad Autónoma de la Región de Murcia, de 6 de abril de 2001, que le impuso una sanción de 1.150.001 pesetas (6911,65 euros) en el expediente sancionador núm. 4S00SA0943. Ha sido parte el Letrado de la Comunidad Autónoma de la Región de Murcia y ha intervenido el Ministerio Fiscal. Ha sido Ponente la Magistrada doña Elisa Pérez Vera,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28 de marzo de 2005, la Procuradora de los Tribunales doña Raquel Olivares Pastor, en representación de la recurrente, formuló demanda de amparo, impugnando la resolución judicial mencionada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de los que trae causa la demanda de amparo son, en síntesis, los siguientes: </w:t>
      </w:r>
    </w:p>
    <w:p w:rsidR="0052098F" w:rsidRDefault="0052098F" w:rsidP="0052098F">
      <w:pPr>
        <w:pStyle w:val="TextoNormal"/>
      </w:pPr>
      <w:r>
        <w:t xml:space="preserve">a) El 6 de julio de 2000 un operario de la demandante de amparo sufrió un accidente de trabajo cuando alimentaba la máquina rebajadora, quedándole atrapado el dedo pulgar de la mano derecha entre el rodillo inferior y el dispositivo de protección de la parte superior de la máquina. A consecuencia del mismo, la Inspección Provincial de Trabajo y Seguridad Social de Murcia levantó acta de infracción contra la empresa el 16 de noviembre de 2000, al considerar como causa determinante del accidente la falta de medidas de seguridad e higiene, por los siguientes extremos: 1) carecer la maquinaria rebajadora de documentación acreditativa del cumplimiento de las normas de seguridad (no se presentó, a requerimiento de la Inspección, autocertificado del fabricante, ni homologación oficial, ni certificación de organismo autorizado, careciendo además de marcado CE); 2) no cumplir el plan de acción preventiva establecido en la evaluación de riesgo de atrapamiento en la máquina de rebajar, fijando un método de trabajo seguro y pausas en el trabajo o rotaciones del personal. La primera infracción fue calificada como leve, y la segunda como grave. </w:t>
      </w:r>
    </w:p>
    <w:p w:rsidR="0052098F" w:rsidRDefault="0052098F" w:rsidP="0052098F">
      <w:pPr>
        <w:pStyle w:val="TextoNormal"/>
      </w:pPr>
      <w:r>
        <w:lastRenderedPageBreak/>
        <w:t xml:space="preserve">b) Por Resolución de la Dirección General de Trabajo de la Consejería de Trabajo y Política Social de la Región de Murcia, de 6 de abril de 2001, se confirmó el acta de infracción y se impuso a la actora una sanción de 1.150.001 pesetas, de las cuales 150.000 correspondían a la infracción de carácter leve, y 1.000.001 pesetas a la infracción grave. Frente a esta decisión interpuso la empresa sancionada recurso de alzada. </w:t>
      </w:r>
    </w:p>
    <w:p w:rsidR="0052098F" w:rsidRDefault="0052098F" w:rsidP="0052098F">
      <w:pPr>
        <w:pStyle w:val="TextoNormal"/>
      </w:pPr>
      <w:r>
        <w:t xml:space="preserve">c) Al no recibir respuesta a su recurso, con fecha 12 de febrero de 2002 promovió frente a tal desestimación presunta recurso contencioso-administrativo ante el Tribunal Superior de Justicia de la Región de Murcia. </w:t>
      </w:r>
    </w:p>
    <w:p w:rsidR="0052098F" w:rsidRDefault="0052098F" w:rsidP="0052098F">
      <w:pPr>
        <w:pStyle w:val="TextoNormal"/>
      </w:pPr>
      <w:r>
        <w:t xml:space="preserve">d) Paralelamente a dicha actuación, y con base en los mismos hechos, el Instituto Nacional de la Seguridad Social impuso a la actora un recargo en las cuotas correspondientes por falta de medidas de seguridad. Esta decisión fue impugnada por la actora ante el Juzgado de lo Social núm. 1 de Murcia, que dictó Sentencia con fecha 24 de noviembre de 2004 estimando la demanda y revocando la resolución de recargo, por entender que no había existido inobservancia por parte de la empresa de las medidas de seguridad e higiene en el trabajo, y que el accidente se produjo no por causa imputable a ella, que “puso de su parte todo lo que pudo para evitar el accidente”, sino “exclusivamente por la ligereza con que en los hechos actuó un tercero”. Según consta por diligencia del Secretario del Juzgado, esta Sentencia adquirió firmeza el 15 de diciembre de 2004. </w:t>
      </w:r>
    </w:p>
    <w:p w:rsidR="0052098F" w:rsidRDefault="0052098F" w:rsidP="0052098F">
      <w:pPr>
        <w:pStyle w:val="TextoNormal"/>
      </w:pPr>
      <w:r>
        <w:t xml:space="preserve">e) La demandante de amparo aportó la Sentencia del Juzgado de lo Social al procedimiento ordinario núm. 224-2002, seguido ante la Sección Primera de la Sala de lo Contencioso-Administrativo del Tribunal Superior de Justicia de la Región de Murcia, a través de escrito presentado el 3 de diciembre de 2004. </w:t>
      </w:r>
    </w:p>
    <w:p w:rsidR="0052098F" w:rsidRDefault="0052098F" w:rsidP="0052098F">
      <w:pPr>
        <w:pStyle w:val="TextoNormal"/>
      </w:pPr>
      <w:r>
        <w:t>f) Por providencia de la Sala de 14 de febrero de 2005 se señaló para votación y fallo el día 17 siguiente, dictándose Sentencia el 28 del mismo mes y año, en la que se desestimó el recurso y se confirmó la sanción impuesta, sin hacer mención alguna al fallo producido en el procedimiento seguido ante el orden social. Tras hacer referencia a la presunción iuris tantum de veracidad de la que gozan las actas de los Inspectores de trabajo, razona la Sala que la recurrente no ha desvirtuado dicha presunción con pruebas en contrario, “deduciéndose de las actuaciones que las infracciones obrantes en el acta impugnada fueron cometidas por la demandante, que incluso reconoció la falta de homologación de la máquina de autos por parte de la C.E., sufriendo el trabajador ... un accidente cuando utilizaba dicha máquina no homologada, no habiendo cumplido el empresario con su obligación legal de establecer las medidas preventivas precisas que prevean las distracciones o imprudencias no temerarias de un trabajador”.</w:t>
      </w:r>
    </w:p>
    <w:p w:rsidR="0052098F" w:rsidRDefault="0052098F" w:rsidP="0052098F">
      <w:pPr>
        <w:pStyle w:val="TextoNormal"/>
      </w:pPr>
    </w:p>
    <w:p w:rsidR="0052098F" w:rsidRDefault="0052098F" w:rsidP="0052098F">
      <w:pPr>
        <w:pStyle w:val="TextoNormal"/>
      </w:pPr>
      <w:r w:rsidRPr="0052098F">
        <w:rPr>
          <w:rStyle w:val="NumeroAFNegritaCaracter"/>
        </w:rPr>
        <w:t>3</w:t>
      </w:r>
      <w:r>
        <w:t>. La demandante de amparo alega que se ha vulnerado su derecho a la tutela judicial efectiva (art. 24.1 CE), en tres vertientes. En primer lugar, por la violación del principio de seguridad jurídica, ya que sobre los mismos hechos se han producido dos resoluciones judiciales absolutamente distintas y contradictorias, invocando, en este sentido, la doctrina sentada en la STC 367/1993, de 13 de enero. En segundo lugar, habría existido incongruencia por omisión en la Sentencia impugnada, a pesar de existir elementos documentales irrefutables que han sido acogidos por la Sentencia del Juzgado de lo Social núm. 1 de Murcia, y aunque ésta obraba en el recurso contencioso-administrativo, habiendo sido absolutamente omitida por la Sala, que realiza, además, una apreciación incongruente de la prueba, citándose en este sentido la STC 182/1994, de 20 de junio. Finalmente, y como consecuencia de las dos anteriores, aduce la actora que la Sentencia incurre en arbitrariedad, cuya interdicción protege el art. 9.3 CE que, según ha establecido este Tribunal, puede garantizarse a través del derecho a la tutela judicial efectiva.</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Por resolución de 20 de febrero de 2007 la Sala Segunda, de conformidad con lo dispuesto en el art. 11.2 LOTC, acordó conocer del recurso de amparo y admitir a trámite la demanda, y, a tenor del art. 51 LOTC, librar atenta comunicación a la Dirección General de Trabajo de la Comunidad Autónoma de la Región de Murcia a fin de que en plazo no superior a diez días remitiera certificación o fotocopia adverada de las actuaciones correspondientes al expediente núm. 4S00SA0943. Igual comunicación se acordó dirigir a la Sección Primera de la Sala de lo Contencioso-Administrativo del Tribunal Superior de Justicia de Murcia, para que en un plazo que no excediera de diez días remitiese certificación o fotocopia adverada de las actuaciones correspondientes al recurso núm. 224-2002, con emplazamiento previo de quienes hubieran sido parte en el procedimiento, excepto la parte recurrente en amparo, para que, en el término de diez días, pudieran comparecer en el presente proceso constitucional. Todo ello condicionado a que la Procuradora doña Raquel Olivares Pastor acreditara en el plazo de diez días la representación de la recurrente. </w:t>
      </w:r>
    </w:p>
    <w:p w:rsidR="0052098F" w:rsidRDefault="0052098F" w:rsidP="0052098F">
      <w:pPr>
        <w:pStyle w:val="TextoNormal"/>
      </w:pPr>
      <w:r>
        <w:t>Este último requerimiento fue atendido mediante escrito de 6 de marzo de 2007, al que se acompañaba el correspondiente poder notarial.</w:t>
      </w:r>
    </w:p>
    <w:p w:rsidR="0052098F" w:rsidRDefault="0052098F" w:rsidP="0052098F">
      <w:pPr>
        <w:pStyle w:val="TextoNormal"/>
      </w:pPr>
    </w:p>
    <w:p w:rsidR="0052098F" w:rsidRDefault="0052098F" w:rsidP="0052098F">
      <w:pPr>
        <w:pStyle w:val="TextoNormal"/>
      </w:pPr>
      <w:r w:rsidRPr="0052098F">
        <w:rPr>
          <w:rStyle w:val="NumeroAFNegritaCaracter"/>
        </w:rPr>
        <w:t>5</w:t>
      </w:r>
      <w:r>
        <w:t>. El 23 de marzo de 2007 tuvo entrada en el Registro General de este Tribunal escrito del Letrado de la Comunidad Autónoma de la Región de Murcia, personándose en el presente recurso de amparo.</w:t>
      </w:r>
    </w:p>
    <w:p w:rsidR="0052098F" w:rsidRDefault="0052098F" w:rsidP="0052098F">
      <w:pPr>
        <w:pStyle w:val="TextoNormal"/>
      </w:pPr>
    </w:p>
    <w:p w:rsidR="0052098F" w:rsidRDefault="0052098F" w:rsidP="0052098F">
      <w:pPr>
        <w:pStyle w:val="TextoNormal"/>
      </w:pPr>
      <w:r w:rsidRPr="0052098F">
        <w:rPr>
          <w:rStyle w:val="NumeroAFNegritaCaracter"/>
        </w:rPr>
        <w:t>6</w:t>
      </w:r>
      <w:r>
        <w:t>. Mediante diligencia de ordenación de 10 de septiembre de 2007 se tuvo por personado y parte al Letrado de la Comunidad Autónoma de la Región de Murcia, acordando entender con él las sucesivas actuaciones. Asimismo, se resolvió dar vista de las actuaciones recibidas a las partes personadas y al Ministerio Fiscal, por plazo común de veinte días, para que pudieran formular las alegaciones que estimaran pertinentes, de conformidad con lo dispuesto en el art. 52.1 LOTC.</w:t>
      </w:r>
    </w:p>
    <w:p w:rsidR="0052098F" w:rsidRDefault="0052098F" w:rsidP="0052098F">
      <w:pPr>
        <w:pStyle w:val="TextoNormal"/>
      </w:pPr>
    </w:p>
    <w:p w:rsidR="0052098F" w:rsidRDefault="0052098F" w:rsidP="0052098F">
      <w:pPr>
        <w:pStyle w:val="TextoNormal"/>
      </w:pPr>
      <w:r w:rsidRPr="0052098F">
        <w:rPr>
          <w:rStyle w:val="NumeroAFNegritaCaracter"/>
        </w:rPr>
        <w:t>7</w:t>
      </w:r>
      <w:r>
        <w:t>. La representación de la demandante de amparo presentó escrito el 3 de octubre de 2007, dando por reproducido el contenido del escrito de demanda.</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Letrado de la Comunidad Autónoma de la Región de Murcia, en escrito registrado también el 3 de octubre de 2007, mostró su oposición al otorgamiento del amparo. Sostiene el representante de la Administración que no es cierto que se haya vulnerado el derecho a la tutela judicial efectiva de la actora en ninguna de las tres vertientes que se mencionan en la demanda, pues la Sentencia impugnada se encuentra fundada en Derecho, entendiendo que lo que pretende la recurrente es discutir en esta sede la fundamentación jurídica de aquélla y que se efectúe una valoración diferente de las pruebas aportadas, lo que no es sino una cuestión de legalidad ordinaria no susceptible de amparo. Afirma que la resolución impugnada recoge de forma correcta en su fundamentación jurídica las razones por las que concluye en el fallo que la desestimación del recurso de alzada es conforme a Derecho, sin que resulte admisible el argumento de la recurrente respecto a que la Sala debió asumir la valoración del accidente que efectuó el Juzgado de lo Social núm. 1, ya que en dicho proceso lo único que habría que comprobar es si era conforme a derecho el recargo en las prestaciones económicas en caso de accidente de trabajo y enfermedad profesional, previsto en el art. 123 de la Ley general de Seguridad Social. Añade, además, que en el proceso tramitado ante la Jurisdicción social no fue parte la Comunidad Autónoma de Murcia, de manera que el </w:t>
      </w:r>
      <w:r>
        <w:lastRenderedPageBreak/>
        <w:t>hecho de que el Instituto Nacional de la Seguridad Social no recurriera dicha sentencia ante la Sala de lo Social no puede perjudicar a quien no ha intervenido en el proceso, pues ello causaría indefensión a la Administración autonómica.</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Ministerio Fiscal, en escrito de alegaciones registrado el 29 de octubre de 2007, interesó que se otorgue el amparo solicitado. Una vez expuestos los antecedentes del caso y la pretensión de la demandante, señala el Fiscal que, en supuestos como el que nos ocupa, según señala la doctrina de este Tribunal (entre otras, STC 158/1985), no nos encontramos ante un problema de dualidad jurisdiccional ni cabe pensar en la prevalencia de una jurisdicción sobre otra, pues cada órgano judicial es independiente para juzgar de los asuntos que le corresponden. Sin embargo, como se indica en la STC 73/1983, unos mismos hechos no pueden existir y dejar de existir para los órganos del Estado, y esta contradicción vulneraría el art. 24.1 CE y el principio de seguridad jurídica, que conlleva el derecho del justiciable a obtener una resolución inequívoca de los órganos judiciales, de modo que el derecho a la tutela judicial efectiva resultaría vulnerado por la firmeza de dos pronunciamientos contradictorios sobre unos mismos hechos. En el presente caso, existe una posible contradicción entre lo declarado probado por el órgano judicial social y lo declarado, como verdad formal, por la Sentencia del Tribunal Contencioso-Administrativo. Tanto en el supuesto del recargo de las prestaciones de la Seguridad Social como en el caso de las sanciones administrativas, uno de los presupuestos fácticos se halla en el incumplimiento de las normas sobre prevención en materia de seguridad e higiene en el trabajo por parte del empresario, de modo que la posible contradicción de las dos resoluciones judiciales se encontraría en si el demandante de amparo desconoció o no las citadas normas. </w:t>
      </w:r>
    </w:p>
    <w:p w:rsidR="0052098F" w:rsidRDefault="0052098F" w:rsidP="0052098F">
      <w:pPr>
        <w:pStyle w:val="TextoNormal"/>
      </w:pPr>
      <w:r>
        <w:t xml:space="preserve">A juicio del Fiscal, respecto a la primera infracción —carencia de la documentación relativa a la seguridad de la máquina rebajadora—, no cabe hablar de contradicción, pues la razón de la misma y el presupuesto jurídico del que parte la Sala son totalmente ajenos a la cuestión básica del presente recurso de amparo; es decir, la existencia de medidas de prevención de la máquina en cuestión, causante del accidente, y de las pautas de desarrollo del trabajo con la misma. Por ello no cabría hablar para esa primera sanción de vulneración del derecho a la tutela judicial efectiva sin indefensión, ya que en nada incide en la causación del accidente. Cosa distinta es si, en este supuesto, la resolución judicial del Tribunal contencioso-administrativo cumplió con el deber de motivación de las resoluciones judiciales. Teniendo en cuenta las posibles modalidades que puede revestir la motivación, según la doctrina de este Tribunal, entiende el Ministerio Fiscal que el pronunciamiento judicial cumple los parámetros constitucionales exigidos por este Tribunal para la motivación de las resoluciones judiciales. </w:t>
      </w:r>
    </w:p>
    <w:p w:rsidR="0052098F" w:rsidRDefault="0052098F" w:rsidP="0052098F">
      <w:pPr>
        <w:pStyle w:val="TextoNormal"/>
      </w:pPr>
      <w:r>
        <w:t xml:space="preserve">Por lo que se refiere a la segunda infracción —falta de medidas de prevención de riesgos y accidentes laborales—, se imputaba a la empresa no haber cumplido el plan de acción preventiva hasta la fecha de la inspección, por lo que tal conducta infringiría el art. 16.2 de la Ley de prevención de riesgos laborales, que fue sancionada conforme al art. 49 de la misma Ley. El fundamento de la sanción se halla aquí en la obligación de todo empleador de observar los deberes legales tendentes a reducir o hacer desaparecer el riesgo de la manipulación de máquinas, impuestos por la normativa sobre seguridad y riesgos laborales, considerados en abstracto. En cuanto a este extremo, recuerda el Fiscal que la demandante de amparo aportó la Sentencia de 24 de noviembre de 2004, del Juzgado de lo Social núm. 1 de Murcia, que estimaba la pretensión formulada ante él, dejando sin efecto el recargo en las prestaciones económicas de la Seguridad Social, al considerar que la empresa puso de su parte todo lo que pudo para evitar el accidente y que éste se produjo exclusivamente por </w:t>
      </w:r>
      <w:r>
        <w:lastRenderedPageBreak/>
        <w:t xml:space="preserve">la ligereza con que en los hechos actuó un tercero. Razona el Fiscal que, con carácter previo, se debe analizar si le era exigible al Tribunal contencioso, dado el momento procesal en el que se aportó la Sentencia del Juzgado de lo Social, admitir como prueba el testimonio de la Sentencia, sobre cuya admisión, por otra parte, no proveyó, o, por el contrario, dicho testimonio pudo ser ignorado por el citado Tribunal, ya que fue aportado con posterioridad al trámite de conclusiones y practicada ya la prueba propuesta. Teniendo en cuenta lo dispuesto en el art. 56.4 LJCA, en relación con el art. 270 LEC, la Sala pudo, a la hora de dictar sentencia, valorar la mencionada resolución judicial, tanto más cuando lo declarado probado en ella difería con la verdad formal que declaraba su propia resolución judicial. Se hace necesario, así, confrontar lo declarado probado por el orden Social y lo declarado por la jurisdicción contencioso-administrativa y analizar cómo vinculaba el contenido de la primera Sentencia al Tribunal Contencioso-Administrativo. </w:t>
      </w:r>
    </w:p>
    <w:p w:rsidR="0052098F" w:rsidRDefault="0052098F" w:rsidP="0052098F">
      <w:pPr>
        <w:pStyle w:val="TextoNormal"/>
      </w:pPr>
      <w:r>
        <w:t xml:space="preserve">A la luz de la doctrina sentada por el Tribunal Constitucional (STC 151/2001), aduce el Fiscal que, a pesar de no ser muy explícita sobre el cumplimiento de las medidas de prevención por el empresario demandante de amparo, la Sentencia social lo exculpa de la responsabilidad del accidente laboral, no atribuyendo el origen del mismo a la falta de medidas de prevención de los riesgos laborales. Por el contrario, la Sentencia del orden contencioso-administrativo se apoya en el acta de infracción de la Inspección de Trabajo, que atribuye la producción del accidente a la ausencia de dichas medidas. Ambas resoluciones parten de los mismos hechos y tienen, en inicio, su base probatoria en el acta de infracción, y, sin embargo, los pronunciamientos judiciales son contradictorios respecto de la existencia y observancia por la demandante de amparo de la normativa de prevención de riesgos laborales en relación con el uso y método de trabajo de la máquina. Y, teniendo en cuenta que el recargo en las prestaciones de la Seguridad Social y las multas por infracción de las normas sobre prevención de riesgos laborales tienen la misma naturaleza, que su imposición responde a la misma ratio y son contempladas por ambas jurisdicciones desde la misma perspectiva jurídica, el pronunciamiento del orden Social aparecía como un antecedente lógico de la resolución judicial del orden contencioso-administrativo, de modo que la Sala debió respetar los hechos declarados como probados por el primero y sólo le era dable apartarse de ese pronunciamiento mediante una motivación adecuada que evidenciara las razones por las que difería, respecto de la segunda infracción contemplada en el acta de la Inspección de Trabajo, de lo declarado como probado por el orden social. Sin embargo, se limitó a fundamentar su resolución en la remisión a dicha acta, declarando como no destruida la presunción iuris tantum de veracidad por la prueba practicada en el procedimiento y estableciendo como ciertos los hechos que en ella se relataban. </w:t>
      </w:r>
    </w:p>
    <w:p w:rsidR="0052098F" w:rsidRDefault="0052098F" w:rsidP="0052098F">
      <w:pPr>
        <w:pStyle w:val="TextoNormal"/>
      </w:pPr>
      <w:r>
        <w:t>Por todo lo anterior, considera el Ministerio Fiscal que procede otorgar el amparo solicitado y declarar que se ha vulnerado el derecho la tutela judicial efectiva sin indefensión de la recurrente, así como anular la Sentencia de 28 de febrero de 2005 respecto a la sanción impuesta por la segunda de las infracciones señaladas en el acta de infracción núm. 1447-2000, o, alternativamente, que se repongan las actuaciones en el momento anterior al trámite de votación y fallo para que por la Sala de lo Contencioso-Administrativo del Tribunal Superior de Justicia de la Región de Murcia se proceda a dictar nueva resolución a la vista de lo declarado por el Juzgado de lo Social núm. 1 de Murcia en su Sentencia de 24 de noviembre de 2004.</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28 de enero de 2008 se señaló para deliberación y fallo de la presente Sentencia el día 31 del mismo mes y año.</w:t>
      </w:r>
    </w:p>
    <w:p w:rsidR="0052098F" w:rsidRDefault="0052098F" w:rsidP="0052098F">
      <w:pPr>
        <w:pStyle w:val="TextoNormal"/>
      </w:pPr>
    </w:p>
    <w:p w:rsidR="0052098F" w:rsidRDefault="0052098F" w:rsidP="0052098F">
      <w:pPr>
        <w:pStyle w:val="TextoNormalNegritaCentrado"/>
        <w:keepNext/>
      </w:pPr>
      <w:r>
        <w:lastRenderedPageBreak/>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demandante de amparo impugna la Sentencia de la Sección Primera de la Sala de lo Contencioso-Administrativo del Tribunal Superior de Justicia de la Región de Murcia, de 28 de febrero de 2005, que desestimó el recurso contencioso-administrativo interpuesto contra la desestimación presunta del recurso de alzada formulado frente a la resolución de la Dirección General de Trabajo de la Comunidad Autónoma de la Región de Murcia, de 6 de abril de 2001, que le impuso una sanción de 1.150.001 pesetas (6911,65 euros) en el expediente sancionador núm. 4S00SA0943. Concretamente, la actora achaca a la resolución judicial combatida la vulneración de su derecho a la tutela judicial efectiva (art. 24.1 CE) desde tres perspectivas: En primer lugar, por la violación del principio de seguridad jurídica, ya que la Sentencia resulta contradictoria respecto a la dictada por el Juzgado de lo Social núm. 1 de Murcia sobre los mismos hechos. En segundo lugar, habría incurrido en incongruencia por omisión, reprochando a la Sentencia impugnada la valoración de la prueba que realiza al no haber tenido en cuenta los elementos documentales que habían sido acogidos por la Sentencia del Juzgado de lo Social núm. 1 de Murcia, incorporada al recurso contencioso-administrativo, y sobre la que no se hace ninguna referencia. Por último, y como consecuencia de las dos anteriores, se imputa a la Sentencia recurrida haber incurrido en arbitrariedad.</w:t>
      </w:r>
    </w:p>
    <w:p w:rsidR="0052098F" w:rsidRDefault="0052098F" w:rsidP="0052098F">
      <w:pPr>
        <w:pStyle w:val="TextoNormal"/>
      </w:pPr>
      <w:r>
        <w:t>El Ministerio Fiscal se muestra a favor del otorgamiento del amparo, mientras que se opone al mismo el Letrado de la Comunidad Autónoma de la Región de Murcia, que niega la existencia de la vulneración aducida por la demandante, por entender que la resolución judicial impugnada se encuentra fundada en Derecho y que lo que pretende la actora es discutir en esta sede la fundamentación jurídica de la Sentencia, cuestión de legalidad ordinaria no susceptible de amparo.</w:t>
      </w:r>
    </w:p>
    <w:p w:rsidR="0052098F" w:rsidRDefault="0052098F" w:rsidP="0052098F">
      <w:pPr>
        <w:pStyle w:val="TextoNormal"/>
      </w:pPr>
    </w:p>
    <w:p w:rsidR="0052098F" w:rsidRDefault="0052098F" w:rsidP="0052098F">
      <w:pPr>
        <w:pStyle w:val="TextoNormal"/>
      </w:pPr>
      <w:r w:rsidRPr="0052098F">
        <w:rPr>
          <w:rStyle w:val="NumeroAFNegritaCaracter"/>
        </w:rPr>
        <w:t>2</w:t>
      </w:r>
      <w:r>
        <w:t>. El planteamiento de varias quejas determinaría que, de acuerdo con los criterios establecidos por este Tribunal, atendiéramos en primer lugar a aquéllas que pueden conducir a la retroacción de actuaciones, y, dentro de éstas, a las que, al determinar la retroacción a momentos anteriores, hacen innecesario nuestro pronunciamiento sobre las restantes (SSTC 19/2000, de 31 de enero, FJ 2; 70/2002, de 3 de abril, FJ 2; y 100/2004, de 2 de junio, FJ 4, entre otras). Ahora bien en el presente caso todas las quejas darían lugar a la retroacción de actuaciones, y, además, al mismo momento, ya que todas ellas tienen carácter procesal y se refieren a la misma resolución judicial.</w:t>
      </w:r>
    </w:p>
    <w:p w:rsidR="0052098F" w:rsidRDefault="0052098F" w:rsidP="0052098F">
      <w:pPr>
        <w:pStyle w:val="TextoNormal"/>
      </w:pPr>
      <w:r>
        <w:t xml:space="preserve">Siguiendo pues el mismo orden expositivo contenido en la demanda comenzaremos nuestro análisis por la queja que denuncia la vulneración del derecho a la tutela judicial efectiva de la actora en la vertiente relacionada con el principio de seguridad jurídica. Tal vulneración se produciría por la contradicción en la que, según denuncia, habría incurrido la Sentencia impugnada al apreciar la existencia de incumplimiento de las normas de prevención en materia de seguridad e higiene por parte la actora, siendo así que la dictada por el Juzgado de lo Social núm. 1 de Murcia con fecha 24 de noviembre de 2004, al examinar los mismos hechos, consideró que no existía dicho incumplimiento. Esto es, la cuestión que plantea la recurrente consiste en determinar si la Sentencia impugnada ha vulnerado el derecho fundamental que consagra el art. 24.1 CE, al confirmar las sanciones impuestas por la Administración autonómica, por considerar probada la ausencia de medidas de seguridad </w:t>
      </w:r>
      <w:r>
        <w:lastRenderedPageBreak/>
        <w:t>como causa determinante del accidente, a pesar de existir una resolución anterior del Juzgado de lo Social en la que se había afirmado que la empresa puso de su parte todo lo que pudo para evitar el accidente, estableciendo las correspondientes medidas de seguridad.</w:t>
      </w:r>
    </w:p>
    <w:p w:rsidR="0052098F" w:rsidRDefault="0052098F" w:rsidP="0052098F">
      <w:pPr>
        <w:pStyle w:val="TextoNormal"/>
      </w:pPr>
      <w:r>
        <w:t>Como se recuerda, entre otras, en la STC 34/2003, de 25 de febrero, FJ 4, este Tribunal ha señalado en diversas ocasiones que la existencia de pronunciamientos contradictorios en las resoluciones judiciales de los que resulte que unos mismos hechos ocurrieron o no ocurrieron es incompatible con el principio de seguridad jurídica que, como una exigencia objetiva del Ordenamiento, se impone al funcionamiento de todos los órganos del Estado en el art. 9.3 CE —en cuanto dicho principio integra también la expectativa legítima de quienes son justiciables a obtener para una misma cuestión una respuesta inequívoca de los órganos encargados de impartir justicia—, y vulneraría, asimismo, el derecho a una tutela judicial efectiva que reconoce el art. 24.1 CE pues no resultan compatibles la efectividad de dicha tutela y la firmeza de los pronunciamientos judiciales contradictorios (SSTC 77/1983, de 3 de octubre, FJ 4; 62/1984, de 21 de mayo, FJ 5; 158/1985, de 26 de noviembre, FJ 4; 35/1990, de 1 de marzo, FJ 3; 30/1996, de 26 de febrero, FJ 5; 50/1996, de 26 de marzo, FJ 3; 190/1999, de 25 de octubre, FJ 4). Y ello porque, en la realidad jurídica, esto es, en la realidad histórica relevante para el Derecho, no puede admitirse que algo es y no es, que unos mismos hechos ocurrieron y no ocurrieron (STC 24/1984, de 23 de febrero, FJ 3), cuando la contradicción no deriva de haberse abordado unos mismos hechos desde perspectivas jurídicas diversas (SSTC 30/1996, de 26 de febrero, FJ 5, 50/1996, de 26 de marzo, FJ 3), y es claro que unos hechos idénticos no pueden existir y dejar de existir para los órganos del Estado, pues a ello se oponen principios elementales de lógica jurídica y extrajurídica (SSTC 77/1983, de 3 de octubre, FJ 4; 24/1984, de 23 de febrero, FJ 3; 158/1985, de 26 de noviembre, FJ 4; 151/2001, de 2 de julio, FJ 4, entre otras muchas).</w:t>
      </w:r>
    </w:p>
    <w:p w:rsidR="0052098F" w:rsidRDefault="0052098F" w:rsidP="0052098F">
      <w:pPr>
        <w:pStyle w:val="TextoNormal"/>
      </w:pPr>
      <w:r>
        <w:t>No obstante, también se ha sostenido que esta doctrina no conlleva que en todo caso los órganos judiciales deban aceptar siempre de forma mecánica los hechos declarados por otra jurisdicción, sino que una distinta apreciación de los hechos debe ser motivada y por ello cuando un órgano judicial vaya a dictar una resolución que pueda ser contradictoria con lo declarado por otra resolución judicial debe exponer las razones por las cuales, a pesar de las apariencias, tal contradicción no existe a su juicio (STC 158/1985, de 26 de noviembre, FJ 6). Como ha señalado la STC 151/2001, de 2 de julio, FJ 4, “aunque es verdad que unas mismas pruebas pueden conducir a considerar como probados o no probados los mismos hechos por los Tribunales de Justicia, también lo es que, afirmada la existencia de los hechos por los propios Tribunales de Justicia no es posible separarse de ellos sin acreditar razones ni fundamentos que justifiquen tal apartamiento”. De ahí que, de acuerdo con la doctrina de este Tribunal, unos mismos hechos, cuando la determinación de los mismos exija una previa calificación jurídica, puedan ser apreciados de forma distinta en diferentes resoluciones judiciales sin incurrir por ello en ninguna vulneración constitucional si el órgano judicial que se aparta de la apreciación de los hechos efectuada anteriormente en otra resolución judicial expone de modo razonado los motivos por los que se aparta de aquella primera calificación.</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el presente caso —según consta en los antecedentes de esta Sentencia—, a raíz del accidente sufrido por un operario de la recurrente, la Inspección Provincial de Trabajo y Seguridad Social de Murcia levantó acta de infracción al considerar que la causa determinante del accidente había sido la falta de medidas de seguridad e higiene en el trabajo, por carecer la máquina causante del accidente de la documentación acreditativa del cumplimiento de las normas de seguridad con anterioridad a la fecha del accidente, y por no haberse cumplido por parte de la empresa el plan de acción preventiva establecido respecto de dicha </w:t>
      </w:r>
      <w:r>
        <w:lastRenderedPageBreak/>
        <w:t>máquina. Esta actuación inspectora originó, a su vez, dos reacciones administrativas: por una parte, el Instituto Nacional de la Seguridad Social acordó la imposición del recargo previsto en el art. 123 de la Ley general de Seguridad Social por inobservancia de las medidas de seguridad e higiene en el trabajo, y, por otra, se incoó un expediente sancionador que concluyó por Resolución de la Dirección General de Trabajo de la Consejería de Trabajo y Política Social de la Región de Murcia, de 6 de abril de 2001, que confirmó el acta de infracción elaborada por la Inspección de Trabajo, e impuso a la actora una sanción de 1.150.001 pesetas (6.911,65 euros), por la comisión de una infracción leve (infracción del art. 3.2 del Reglamento de seguridad en máquinas, al carecer la máquina causante del accidente de documentación acreditativa del cumplimiento de las normas de seguridad) y de otra grave (incumplimiento del plan de acción preventiva).</w:t>
      </w:r>
    </w:p>
    <w:p w:rsidR="0052098F" w:rsidRDefault="0052098F" w:rsidP="0052098F">
      <w:pPr>
        <w:pStyle w:val="TextoNormal"/>
      </w:pPr>
      <w:r>
        <w:t>Frente a la primera de dichas actuaciones administrativas, la demandante de amparo formuló demanda ante la jurisdicción social, que fue estimada por Sentencia del Juzgado de lo Social núm. 1 de Murcia de 24 de noviembre de 2004, en la que se dejó sin efecto el recargo impuesto por el Instituto Nacional de la Seguridad Social, al considerar el órgano judicial que no existía incumplimiento de las medidas preventivas, sino que la empresa había puesto de su parte todo lo que le era posible para evitar el accidente, habiéndose producido éste exclusivamente por la ligereza con que en los hechos actuó un tercero.</w:t>
      </w:r>
    </w:p>
    <w:p w:rsidR="0052098F" w:rsidRDefault="0052098F" w:rsidP="0052098F">
      <w:pPr>
        <w:pStyle w:val="TextoNormal"/>
      </w:pPr>
      <w:r>
        <w:t>Ante la sanción administrativa impuesta por la Consejería de Trabajo y Política Social de la Comunidad Autónoma de la Región de Murcia, la empresa reaccionó interponiendo un recurso de alzada y, al no obtener respuesta dentro del plazo legalmente previsto, entendió desestimada su pretensión y acudió a la jurisdicción contencioso-administrativa, sustanciándose su recurso ante la Sección Primera de la Sala de lo Contencioso-Administrativo del Tribunal Superior de Justicia de la Región de Murcia.  Antes del señalamiento para votación y fallo, aunque después de practicada la prueba y desarrollado el trámite de conclusiones, la demandante aportó la resolución dictada por el Juzgado de lo Social mediante escrito presentado el 3 de diciembre de 2004.  La Sala dictó Sentencia con fecha 28 de febrero de 2005, en la que desestimó el recurso al considerar que la empresa no había cumplido “con su obligación legal de establecer las medidas preventivas precisas que prevean las distracciones o imprudencias no temerarias de un trabajador”. En esta resolución no se hizo referencia alguna a la Sentencia del Juzgado de lo Social.</w:t>
      </w:r>
    </w:p>
    <w:p w:rsidR="0052098F" w:rsidRDefault="0052098F" w:rsidP="0052098F">
      <w:pPr>
        <w:pStyle w:val="TextoNormal"/>
      </w:pPr>
      <w:r>
        <w:t xml:space="preserve">Ciertamente, las normas aplicadas por uno y otro órganos judiciales no son las mismas, pues, en un caso, el recargo de prestaciones económicas en caso de accidente de trabajo viene regulado en el art. 123 de la Ley general de la Seguridad Social, mientras que, en el otro, las concretas infracciones que se imputaban a la empresa se encontraban tipificadas en los arts. 46.5 y 47.1 de la Ley 31/1995, de 8 de noviembre, de prevención de riesgos laborales (a la sazón vigentes), aparte de otras prescripciones jurídicas, como las del art. 3.2 del Reglamento de seguridad en máquinas (aprobado por Real Decreto 1495/1986, de 26 de mayo), art. 16.2 de la misma Ley de prevención de riesgos laborales y art. 36.5 del Real Decreto Legislativo 1/1995, de 24 de marzo, cuyo incumplimiento originaba la comisión de las concretas infracciones por las que fue sancionada la demandante. Sin embargo, el factum, esto es, el presupuesto de aplicación de unos y otros preceptos es el mismo: la existencia de un incumplimiento por parte de la empresa de las normas sobre prevención de riesgos laborales en relación con la máquina que originó el accidente. En este sentido, como señala el Ministerio Fiscal, las dos resoluciones judiciales parten de los mismos hechos y tienen su origen último en el acta de infracción de la Inspección de Trabajo, pero mientras una —la del orden social— declaró que no hay incumplimiento de aquellas normas, la Sentencia de la Sala de lo Contencioso-Administrativo entendió que la recurrente no había adoptado las </w:t>
      </w:r>
      <w:r>
        <w:lastRenderedPageBreak/>
        <w:t>medidas de prevención de riesgos para el adecuado uso de la máquina causante del accidente, conclusión a la que llegó partiendo la presunción iuris tantum de veracidad de que gozan las actas de los Inspectores de Trabajo que, a su juicio, no había desvirtuado la recurrente con pruebas en contrario.</w:t>
      </w:r>
    </w:p>
    <w:p w:rsidR="0052098F" w:rsidRDefault="0052098F" w:rsidP="0052098F">
      <w:pPr>
        <w:pStyle w:val="TextoNormal"/>
      </w:pPr>
      <w:r>
        <w:t>En suma, el Tribunal Superior de Justicia no ha tenido en cuenta para valorar los hechos la existencia de un previo pronunciamiento judicial; de ahí que ambos resulten claramente contradictorios en cuanto a la observancia por parte de la demandante de amparo de las normas sobre prevención de riesgos laborales con respecto a la máquina en cuestión. Y lo que es más importante, en el momento en el que la resolución aquí impugnada se dicta, existe ya una resolución firme recaída en otro orden jurisdiccional, que niega la existencia del incumplimiento de las normas sobre prevención de riesgos laborales que se achacaba a la actora, declaración que no podía ser desconocida por la Sala de lo Contencioso-Administrativo del Tribunal Superior de Justicia de la Región de Murcia. Ello no supone, como dijimos en la STC 158/1985, de 26 de noviembre, la primacía o la competencia específica de una jurisdicción, que sólo se produciría cuando así lo determine el Ordenamiento jurídico, como ocurrirá, por ejemplo, cuando una decisión tenga carácter prejudicial respecto a otra. Fuera de esos casos, lo que cuenta es que el Estado, a través de uno de sus órganos jurisdiccionales, ha declarado la existencia o inexistencia de unos hechos, y no cabe, por las razones expresadas anteriormente, que otro órgano jurisdiccional del mismo Estado desconozca dicha declaración. Naturalmente, para que el órgano judicial pudiera tomar en cuenta una resolución firme de otro órgano era preciso que tuviera conocimiento oficial de la misma, porque se hallara incorporada al proceso tramitado ante él, presupuesto que aquí concurre, dado que la demandante de amparo aportó la Sentencia del Juzgado de lo Social a las actuaciones del recurso contencioso-administrativo casi tres meses antes de que la Sala procediera a dictar Sentencia resolviendo el recurso sometido a su conocimiento. Y, aunque tal aportación se realizó una vez concluido el período probatorio y celebrado el trámite de conclusiones, lo cierto es que, como sostiene el Ministerio Fiscal, los arts. 56.4 de la Ley de la jurisdicción contencioso-administrativa (LJCA) y 270 de la Ley de enjuiciamiento civil (LEC) permitían incorporar la Sentencia de lo Social al recurso, por lo que el Tribunal la tenía a su disposición y pudo y debió valorarla al adoptar su decisión.</w:t>
      </w:r>
    </w:p>
    <w:p w:rsidR="0052098F" w:rsidRDefault="0052098F" w:rsidP="0052098F">
      <w:pPr>
        <w:pStyle w:val="TextoNormal"/>
      </w:pPr>
      <w:r>
        <w:t>En tal tesitura, es evidente que la Sala no podía desconocer la premisa básica que con anterioridad se había establecido y que, para desestimar el recurso interpuesto por la actora, tenía que haber entrado a razonar, con una motivación suficiente que exteriorizase el fundamento de la decisión adoptada, por qué, si antes se había acordado por el Juzgado de lo Social, en una decisión judicial ya firme, que no había existido incumplimiento por la empresa de las normas sobre prevención de riesgos laborales, ahora partía de la premisa contraria. No obstante, la Sala no incluyó esa motivación en la Sentencia recurrida, sino que, con omisión de toda referencia a esa previa resolución, ratificó la sanción administrativa impuesta, declarando que no se había destruido la presunción de veracidad de las actas de la inspección.</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Todo lo hasta aquí expuesto conduce, en línea con lo interesado por el Ministerio Fiscal, a estimar vulnerado el derecho a la tutela judicial efectiva de la recurrente. Y, a pesar de que la recurrente ha solicitado la anulación tanto de la Sentencia de 28 de noviembre de 2005 como de las resoluciones administrativas recurridas en el proceso decidido por ella, lo cierto es que el alcance de nuestro fallo no puede ser otro que el de anular la mencionada Sentencia, con retroacción al momento anterior al de su votación y fallo, para que por la Sala, previos los trámites procesales que sean pertinentes, se dicte una nueva Sentencia que </w:t>
      </w:r>
      <w:r>
        <w:lastRenderedPageBreak/>
        <w:t>resulte respetuosa con el derecho fundamental de la actora que ha sido vulnerado, y en la que, en consecuencia, con libertad de criterio, se analice el alcance de lo declarado por la Sentencia del Juzgado de lo Social núm. 1 de Murcia de 24 de noviembre de 2004.</w:t>
      </w:r>
    </w:p>
    <w:p w:rsidR="0052098F" w:rsidRDefault="0052098F" w:rsidP="0052098F">
      <w:pPr>
        <w:pStyle w:val="TextoNormal"/>
      </w:pPr>
      <w:r>
        <w:t>Por lo demás, la estimación del recurso con fundamento en esta queja nos exime de la necesidad de analizar las otras quejas planteadas en la demanda de amparo.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el recurso de amparo interpuesto por Curtidos Gerónimo Gil, S.A., y en su virtud:</w:t>
      </w:r>
    </w:p>
    <w:p w:rsidR="0052098F" w:rsidRDefault="0052098F" w:rsidP="0052098F">
      <w:pPr>
        <w:pStyle w:val="TextoNormal"/>
      </w:pPr>
      <w:r>
        <w:t>1º Declarar vulnerado el derecho de la recurrente a la tutela judicial efectiva (art. 24.1 CE).</w:t>
      </w:r>
    </w:p>
    <w:p w:rsidR="0052098F" w:rsidRDefault="0052098F" w:rsidP="0052098F">
      <w:pPr>
        <w:pStyle w:val="TextoNormal"/>
      </w:pPr>
      <w:r>
        <w:t>2º Restablecerla en su derecho y, a tal fin, declarar la nulidad de la Sentencia de 28 de febrero de 2005, de la Sección Primera de la Sala de lo Contencioso-Administrativo del Tribunal Superior de Justicia de Murcia, recaída en el procedimiento ordinario núm. 224-2002, con retroacción de las actuaciones al momento inmediatamente anterior al dictado de dicha resolución, para que se pronuncie una nueva que sea respetuosa con el derecho a la tutela judicial efectiva de la actora.</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0" w:name="SENTENCIA_2008_17"/>
      <w:r>
        <w:lastRenderedPageBreak/>
        <w:t>SENTENCIA 17/2008, de 31 de enero de 2008</w:t>
      </w:r>
    </w:p>
    <w:bookmarkEnd w:id="20"/>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ECLI:ES:TC:2008:17</w:t>
      </w:r>
    </w:p>
    <w:p w:rsidR="0052098F" w:rsidRDefault="0052098F" w:rsidP="0052098F">
      <w:pPr>
        <w:pStyle w:val="SntesisDescriptiva"/>
      </w:pPr>
    </w:p>
    <w:p w:rsidR="0052098F" w:rsidRDefault="0052098F" w:rsidP="0052098F">
      <w:pPr>
        <w:pStyle w:val="SntesisDescriptiva"/>
      </w:pPr>
      <w:r>
        <w:t>Recurso de amparo 3323-2005. Promovido por doña Rosa María Albacar Aguirre y otros frente a los Autos de la Audiencia Provincial y de un Juzgado de Primera Instancia de Barcelona que terminaron el pleito de reclamación de cantidad por enriquecimiento injusto.</w:t>
      </w:r>
    </w:p>
    <w:p w:rsidR="0052098F" w:rsidRDefault="0052098F" w:rsidP="0052098F">
      <w:pPr>
        <w:pStyle w:val="SntesisDescriptiva"/>
      </w:pPr>
    </w:p>
    <w:p w:rsidR="0052098F" w:rsidRDefault="0052098F" w:rsidP="0052098F">
      <w:pPr>
        <w:pStyle w:val="SntesisAnaltica"/>
      </w:pPr>
      <w:r>
        <w:t>Vulneración del derecho a la tutela judicial efectiva: inadmisión de demanda civil por apreciar la cosa juzgada de una absolución penal sin causa legal, porque la sentencia penal había dejado imprejuzgada la acción civil (STC 15/2002).</w:t>
      </w:r>
    </w:p>
    <w:p w:rsidR="0052098F" w:rsidRDefault="0052098F" w:rsidP="0052098F">
      <w:pPr>
        <w:pStyle w:val="SntesisAnaltica"/>
      </w:pPr>
    </w:p>
    <w:p w:rsidR="0052098F" w:rsidRDefault="0052098F" w:rsidP="0052098F">
      <w:pPr>
        <w:pStyle w:val="Extracto"/>
      </w:pPr>
      <w:r>
        <w:t>1.</w:t>
      </w:r>
      <w:r>
        <w:tab/>
        <w:t>Los órganos judiciales del orden civil, al apreciar la excepción de cosa juzgada material fundada en la existencia de la previa Sentencia penal firme, han privado a los recurrente de un pronunciamiento sobre el fondo de la pretensión ejercitada en el proceso civil, sin que exista causa legal para ello, violando el derecho a la tutela judicial efectiva [FJ 5].</w:t>
      </w:r>
    </w:p>
    <w:p w:rsidR="0052098F" w:rsidRDefault="0052098F" w:rsidP="0052098F">
      <w:pPr>
        <w:pStyle w:val="Extracto"/>
      </w:pPr>
    </w:p>
    <w:p w:rsidR="0052098F" w:rsidRDefault="0052098F" w:rsidP="0052098F">
      <w:pPr>
        <w:pStyle w:val="Extracto"/>
      </w:pPr>
      <w:r>
        <w:t>2.</w:t>
      </w:r>
      <w:r>
        <w:tab/>
        <w:t>Cuando la Sentencia penal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siendo la única excepción lo dispuesto en el art. 116 LECrim (STC 15/2002) [FJ 4].</w:t>
      </w:r>
    </w:p>
    <w:p w:rsidR="0052098F" w:rsidRDefault="0052098F" w:rsidP="0052098F">
      <w:pPr>
        <w:pStyle w:val="Extracto"/>
      </w:pPr>
    </w:p>
    <w:p w:rsidR="0052098F" w:rsidRDefault="0052098F" w:rsidP="0052098F">
      <w:pPr>
        <w:pStyle w:val="Extracto"/>
      </w:pPr>
      <w:r>
        <w:t>3.</w:t>
      </w:r>
      <w:r>
        <w:tab/>
        <w:t>El derecho a la tutela judicial efectiva protege y garantiza la eficacia de la cosa juzgada material, tanto en su aspecto negativo o excluyente como positivo o prejudicial, correspondiendo a los órganos judiciales la determinación del alcance que quepa atribuir a la cosa juzgada (SSTC 242/1992, 135/2001) [FJ 3].</w:t>
      </w:r>
    </w:p>
    <w:p w:rsidR="0052098F" w:rsidRDefault="0052098F" w:rsidP="0052098F">
      <w:pPr>
        <w:pStyle w:val="Extracto"/>
      </w:pPr>
    </w:p>
    <w:p w:rsidR="0052098F" w:rsidRDefault="0052098F" w:rsidP="0052098F">
      <w:pPr>
        <w:pStyle w:val="Extracto"/>
      </w:pPr>
      <w:r>
        <w:t>4.</w:t>
      </w:r>
      <w:r>
        <w:tab/>
        <w:t>La utilización de recursos o remedios procesales manifiestamente improcedentes contra una resolución judicial firme no suspende el plazo de veinte días para recurrir en amparo, lo que no sucede en este caso, pues aunque la improcedencia del recurso extraordinario era manifiesta, la demanda se presentó dentro del plazo establecido en el art. 44.2 LOTC [FJ 2].</w:t>
      </w:r>
    </w:p>
    <w:p w:rsidR="0052098F" w:rsidRDefault="0052098F" w:rsidP="0052098F">
      <w:pPr>
        <w:pStyle w:val="Extracto"/>
      </w:pPr>
    </w:p>
    <w:p w:rsidR="0052098F" w:rsidRDefault="0052098F" w:rsidP="0052098F">
      <w:pPr>
        <w:pStyle w:val="Extracto"/>
      </w:pPr>
      <w:r>
        <w:t>5.</w:t>
      </w:r>
      <w:r>
        <w:tab/>
        <w:t>La comprobación de los presupuestos procesales para la viabilidad de la acción puede siempre abordarse en la Sentencia, de oficio o a instancia de parte, pudiendo dar lugar a un pronunciamiento de inadmisión, sin que a ello sea obstáculo el carácter tasado de los pronunciamientos previstos en el art. 53 LOTC (SSTC 53/1983, 204/2005)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3323-2005, promovido por doña Rosa María, don Manuel, don Jacobo y don Javier Albacar Aguirre, representados por el Procurador de los Tribunales don Santos de Gandarillas Carmona y asistidos por el Abogado don Manuel Delgado Rodríguez, contra el Auto de la Sección Decimocuarta de la Audiencia Provincial de Barcelona de 4 de abril de 2005, recaído en el recurso de apelación núm. 587-2004, interpuesto contra el Auto de 6 de mayo de 2004 del Juzgado de Primera Instancia núm. 4 de Barcelona, dictado en procedimiento ordinario núm. 912-2003, sobre reclamación de cantidad. Ha comparecido doña María Luisa Albacar Gelabert, representada por el Procurador de los Tribunales don Esteban Jabardo Margareto y asistida por la Abogada doña María Dolores Alegre Santamaría. Ha intervenido el Ministerio Fiscal. Ha sido Ponente el Magistrado don Manuel Aragón Reyes,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10 de mayo de 2005, doña Rosa María, don Manuel, don Jacobo y don Javier Albacar Aliño, representados por el Procurador de los Tribunales don Santos de Gandarillas Carmona, interpusieron recurso de amparo contra las resoluciones judiciales que se citan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de los que trae causa la demanda de amparo, relevantes para la resolución de este recurso, son los que se expresan a continuación: </w:t>
      </w:r>
    </w:p>
    <w:p w:rsidR="0052098F" w:rsidRDefault="0052098F" w:rsidP="0052098F">
      <w:pPr>
        <w:pStyle w:val="TextoNormal"/>
      </w:pPr>
      <w:r>
        <w:t xml:space="preserve">a) Don Pedro Albacar Aliño, tío de los recurrentes en amparo, otorgó el 10 de octubre de 1990 poderes generales a doña María Luisa Albacar Gelabert (que era su hijastra y le cuidaba en su domicilio desde los primeres meses de dicho año), la cual el 18 de marzo de 1991 traspasó a su cuenta bancaria la suma de 11.000.000 de pesetas de una cuenta a plazo del primero y retiró dicha cantidad el 17 de mayo de 1991; en esta misma fecha traspasó a su cuenta bancaria 307.000 pesetas de otra cuenta corriente de la que también era titular el Sr. Albacar Aliño, suma de la que un mes más tarde restaba un saldo de 754 pesetas, habiendo quedado la cuenta a cero en diciembre de 1991. Asimismo, la Sra. Albacar Gelabert trasladó a su domicilio en Barcelona, con autorización del Sr. Albacar Aliño, determinados muebles que éste tenía en su domicilio de Valencia, valorados en 3.800.000 pesetas. Tras ser ingresado en mayo de 1991 en una residencia de ancianos el Sr. Albacar Aliño revocó el 5 de junio de 1991 los poderes otorgados a la Sra. Albacar Gelabert, lo que le notificó a ésta el 14 de junio de 1991, requiriéndole asimismo por conducto notarial la devolución de los muebles y de los saldos bancarios de los que había dispuesto. </w:t>
      </w:r>
    </w:p>
    <w:p w:rsidR="0052098F" w:rsidRDefault="0052098F" w:rsidP="0052098F">
      <w:pPr>
        <w:pStyle w:val="TextoNormal"/>
      </w:pPr>
      <w:r>
        <w:lastRenderedPageBreak/>
        <w:t xml:space="preserve">b) Al no ser atendidos sus requerimientos el Sr. Albacar Aliño formuló en 1992 querella por apropiación indebida y estafa contra la Sra. Albacar Gelabert, que dio lugar a la incoación de las diligencias previas núm. 4903-1992 del Juzgado de Instrucción núm. 28 de Barcelona. Las referidas diligencias previas se transformaron en el procedimiento abreviado núm. 531-1995 ante el Juzgado de lo Penal núm. 2 de Barcelona, siendo en el juicio oral el querellante apartado del ejercicio de la acción penal por razón de parentesco por afinidad, de conformidad con el art. 103.2 LECrim, quedando como única parte acusadora el Ministerio Fiscal, que ejercitó tanto la acción penal como la civil, por expresa solicitud del querellante. Por Sentencia de 16 de julio de 2001 el Juzgado de lo Penal consideró que la no devolución de los muebles constituye un delito de apropiación indebida del art. 535 del Código penal de 1973; y respecto de las sumas retiradas por la acusada de las cuentas bancarias del SSr. Albacar Aliño, el Juzgado concluyó que la única cantidad de la que aquélla dispuso ilícitamente, por constarle en aquél momento revocados los poderes, fue la de 764 pesetas, descartando en todo caso la existencia de un delito de estafa, por no quedar acreditado que la acusada engañase a su padrastro para conseguir un acto de disposición patrimonial. Pese a considerar estos hechos constitutivos de delito de apropiación indebida la Sentencia absolvió a la acusada, al apreciar la concurrencia de la excusa absolutoria de parentesco del art. 564 del Código penal de 1973, si bien la condenó en concepto de responsabilidad civil a restituir los mencionados muebles a los legítimos herederos del querellante o, en caso de que la restitución no fuera posible, a indemnizarles en la cantidad de 3.800.000 pesetas, así como a restituir a los herederos la suma de 764 pesetas. Dicha Sentencia no fue apelada, deviniendo firme. </w:t>
      </w:r>
    </w:p>
    <w:p w:rsidR="0052098F" w:rsidRDefault="0052098F" w:rsidP="0052098F">
      <w:pPr>
        <w:pStyle w:val="TextoNormal"/>
      </w:pPr>
      <w:r>
        <w:t xml:space="preserve">c) Fallecido don Pedro Albacar Aliño el 11 de noviembre de 2004, sus sobrinos y herederos, ahora recurrentes en amparo, iniciaron un proceso civil en el que reclamaban a la Sra. Albacar Gelabert la cantidad de 66.111,33 euros (11.000.000 pesetas) que había transferido el 18 de marzo de 1991 de una cuenta del Sr. Albacar Aliño a una cuenta de su titularidad y que había retirado el 17 de mayo de 1991, antes de que se le notificara la revocación de los poderes otorgados por aquél. La demanda, que se fundamentaba en el uso indebido por parte de la demandada Sra. Albacar Gelabert de los poderes otorgados por el Sr. Albacar Aliño, calificando el desplazamiento patrimonial como enriquecimiento sin causa (art. 1274 del Código civil), dio lugar al procedimiento ordinario núm. 912-2003 del Juzgado de Primera Instancia núm. 4 de Barcelona. La demandada —acusada en el anterior proceso penal— alegó en su contestación a la demanda la excepción de cosa juzgada, con fundamento en la existencia de un previo pronunciamiento firme del orden penal sobre la misma cuestión (la citada Sentencia firme de 16 de julio de 2001 del Juzgado de lo Penal núm. 2 de Barcelona), excepción que, ratificada en el acto de la audiencia previa, fue estimada por el Juzgado por Auto de 6 de mayo de 2004, declarando concluido el proceso. Se razona en el Auto que el objeto de la reclamación del proceso civil ya fue resuelto en el previo proceso penal, donde se enjuiciaron los actos de disposición patrimonial realizados por la demandada. </w:t>
      </w:r>
    </w:p>
    <w:p w:rsidR="0052098F" w:rsidRDefault="0052098F" w:rsidP="0052098F">
      <w:pPr>
        <w:pStyle w:val="TextoNormal"/>
      </w:pPr>
      <w:r>
        <w:t xml:space="preserve">d) Contra dicho Auto los demandantes interpusieron recurso de apelación, que fue desestimado por Auto de la Sección Decimocuarta de la Audiencia Provincial de Barcelona de 4 de abril de 2005 (rollo de apelación núm. 587-2004), notificado el siguiente 11 de abril. La Audiencia razona que “la Juez de lo Penal recogió como hecho probado el traspaso de 11.000.000 de pesetas de una cuenta a otra pero valoró que estaba amparado por el poder otorgado por el causante de los recurrentes a favor de la Sra. Gelabert, reduciendo la responsabilidad civil a sólo 764 pesetas. Por tanto, juzgó la licitud de la operación, agotando el análisis de la pretensión. En la medida en que los actores insisten en la consideración del traspaso como derivado de exceso en el mandato (poder) con enriquecimiento injusto, es </w:t>
      </w:r>
      <w:r>
        <w:lastRenderedPageBreak/>
        <w:t xml:space="preserve">evidente la identidad subjetiva, objetiva y causal (art. 222 LEC) de las pretensiones del segundo pleito frente al primero”, por lo que concluye que procede apreciar la excepción de cosa juzgada, confirmando el Auto recurrido, habida cuenta de que “la sentencia penal, que resultó condenatoria, al contener pronunciamientos civiles de índole indemnizatoria, impide que pueda promoverse juicio civil posterior sobre los mismos hechos”. </w:t>
      </w:r>
    </w:p>
    <w:p w:rsidR="0052098F" w:rsidRDefault="0052098F" w:rsidP="0052098F">
      <w:pPr>
        <w:pStyle w:val="TextoNormal"/>
      </w:pPr>
      <w:r>
        <w:t>e) Los demandantes prepararon recurso extraordinario por infracción procesal, al estimar vulnerado su derecho a la tutela judicial efectiva (art. 24.1 CE). Por Auto de 18 de abril de 2005 la Sección Decimocuarta de la Audiencia Provincial de Barcelona acordó denegar la preparación del recurso por no ser procedente, de conformidad con lo dispuesto en la disposición final 16.1.2 LEC, en relación con los arts. 468 y 477.2, 1 y 2, del mismo texto legal.</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la demanda de amparo se alega que las resoluciones judiciales impugnadas han vulnerado el derecho a la tutela judicial efectiva (art. 24.1 CE), en su vertiente de derecho a obtener una resolución fundada en Derecho, vulneración que se considera producida como consecuencia de la indebida apreciación de la cosa juzgada, que ha impedido a los demandantes obtener un pronunciamiento sobre el fondo de su pretensión. Con cita de la doctrina sentada en la STC 15/2002, de 28 de enero, sostienen los demandantes que la jurisdicción civil ha apreciado la excepción de la cosa juzgada sin justificación ni causa legal para ello, ya que, al no haberse apreciado delito en la vía penal por la disposición patrimonial de 66.111,33 euros (11.000.000 pesetas) realizada por la Sra. Albacar Gelabert antes de que se le notificara la revocación de poderes y no haberse dictado Sentencia condenatoria por este hecho, quedó imprejuzgada en el orden penal la responsabilidad civil derivada de esa conducta. </w:t>
      </w:r>
    </w:p>
    <w:p w:rsidR="0052098F" w:rsidRDefault="0052098F" w:rsidP="0052098F">
      <w:pPr>
        <w:pStyle w:val="TextoNormal"/>
      </w:pPr>
      <w:r>
        <w:t>Por ello, los demandantes concluyen solicitando que se otorgue el amparo, declarando la nulidad de los Autos recurridos y ordenando que se retrotraigan las actuaciones al momento inmediatamente anterior al de dictarse el Auto de 6 de mayo de 2004 por el Juzgado de Primera Instancia núm. 4 de Barcelona, continuando la tramitación del juicio ordinario sin la apreciación de la excepción de la cosa juzgada.</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13 de junio de 2007 la Sección Primera de este Tribunal acordó admitir a trámite la demanda de amparo y, a tenor de lo dispuesto en el art. 51 LOTC, requerir a la Sección Decimocuarta de la Audiencia Provincial de Barcelona y al Juzgado de Primera Instancia núm. 4 de Barcelona para que en el plazo de diez días remitiesen, respectivamente, testimonio del rollo de apelación núm. 587-2004 y del procedimiento ordinario núm. 912-2003, interesándose asimismo el emplazamiento de quienes fueron parte en el referido procedimiento, con excepción de los recurrentes en amparo, ya personados, para que en el plazo de diez días pudiesen comparecer en el presente proceso constitucional, con traslado a dichos efectos de copia de la demanda de amparo presentada.</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Secretaría de Justicia de la Sala Primera de este Tribunal de 20 de julio de 2007 se tuvieron por recibidos los testimonios de actuaciones y por personado al Procurador de los Tribunales don Esteban Jabardo Margareto, en nombre y representación de doña María Luisa Albacar Gelabert. Asimismo se acordó, conforme a lo dispuesto en el art. 52 LOTC, dar vista de las actuaciones por un plazo común de veinte días al Ministerio Fiscal y a los Procuradores de los recurrentes en amparo y de doña María Luisa Albacar Gelabert, para que dentro de dicho plazo presentasen las alegaciones que a su derecho conviniesen.</w:t>
      </w:r>
    </w:p>
    <w:p w:rsidR="0052098F" w:rsidRDefault="0052098F" w:rsidP="0052098F">
      <w:pPr>
        <w:pStyle w:val="TextoNormal"/>
      </w:pPr>
    </w:p>
    <w:p w:rsidR="0052098F" w:rsidRDefault="0052098F" w:rsidP="0052098F">
      <w:pPr>
        <w:pStyle w:val="TextoNormal"/>
      </w:pPr>
      <w:r w:rsidRPr="0052098F">
        <w:rPr>
          <w:rStyle w:val="NumeroAFNegritaCaracter"/>
        </w:rPr>
        <w:t>6</w:t>
      </w:r>
      <w:r>
        <w:t>. Mediante escrito registrado en este Tribunal el 12 de septiembre de 2007 la representación procesal de los recurrentes formuló sus alegaciones, dando por reproducidas las expuestas en la demanda de amparo.</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Ministerio Fiscal presentó su escrito de alegaciones el 21 de septiembre de 2007, en el que, tras exponer los antecedentes relevantes del caso, interesa que el recurso de amparo sea inadmitido por extemporáneo, toda vez que los recurrentes han provocado un alargamiento artificial del plazo de caducidad establecido en el art. 44.2 LOTC, al haber preparado contra el Auto dictado en apelación, que agota la vía judicial, un recurso extraordinario por infracción procesal que resulta manifiestamente improcedente, a la vista de la consolidada doctrina jurisprudencial de la Sala de lo Civil del Tribunal Supremo sobre la interpretación de la disposición final 16.1.2 LEC, en relación con los arts. 468 y 477.2, 1 y 2, del mismo texto legal. </w:t>
      </w:r>
    </w:p>
    <w:p w:rsidR="0052098F" w:rsidRDefault="0052098F" w:rsidP="0052098F">
      <w:pPr>
        <w:pStyle w:val="TextoNormal"/>
      </w:pPr>
      <w:r>
        <w:t xml:space="preserve">No obstante, en el caso de que este Tribunal no considerase extemporánea la demanda de amparo, el Ministerio Fiscal entiende que procedería otorgar el amparo solicitado por los recurrentes, reconociendo su derecho a la tutela judicial efectiva (art. 24.1 CE), anulando los Autos impugnados y ordenando que se retrotraigan las actuaciones al momento inmediatamente anterior al de dictarse el Auto de 6 de mayo de 2004 por el Juzgado de Primera Instancia núm. 4 de Barcelona, a fin de que continúe la tramitación del procedimiento ordinario respetando el derecho a la tutela judicial efectiva de los recurrentes. </w:t>
      </w:r>
    </w:p>
    <w:p w:rsidR="0052098F" w:rsidRDefault="0052098F" w:rsidP="0052098F">
      <w:pPr>
        <w:pStyle w:val="TextoNormal"/>
      </w:pPr>
      <w:r>
        <w:t xml:space="preserve">Sostiene el Fiscal que asiste la razón a los recurrentes en su queja frente a los Autos impugnados en amparo, pues a la vista de la doctrina sentada por este Tribunal en la STC 15/2002, de 28 de enero, resulta que cuando la sentencia penal, por haber sido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La citada regla sólo sufre una excepción en virtud de lo dispuesto en el art. 116 LECrim, según el cual si la sentencia penal resultó absolutoria precisamente por declarar que no existió el hecho que fue objeto de enjuiciamiento en el ámbito criminal, este pronunciamiento vinculará positivamente al Juez civil que no podrá ya fundar ninguna responsabilidad civil en la existencia del hecho que fue declarado inexistente por la jurisdicción penal. En definitiva, cuando la acción civil no llegó a ser enjuiciada en el proceso penal no puede afirmarse que exista cosa juzgada. </w:t>
      </w:r>
    </w:p>
    <w:p w:rsidR="0052098F" w:rsidRDefault="0052098F" w:rsidP="0052098F">
      <w:pPr>
        <w:pStyle w:val="TextoNormal"/>
      </w:pPr>
      <w:r>
        <w:t xml:space="preserve">Tal acontece en el presente caso —continúa el Fiscal— pues en el proceso penal previo, si bien la Sentencia firme dictada por el Juzgado de lo Penal absolvió a la Sra. Albacar Gelabert de los delitos patrimoniales de los que venía siendo acusada, por aplicación de la excusa absolutoria del art. 564 del Código penal de 1973, lo cierto es que ello no excluye la responsabilidad civil derivada de los hechos cometidos, y que el examen de dicha Sentencia evidencia que no todos los hechos que integraban el complejo objeto del proceso penal fueron objeto de enjuiciamiento expreso. En efecto, la Sentencia penal limita su enjuiciamiento a dos actos de desplazamiento patrimonial de los cuatro que integraban los hechos de la acusación, concretamente a la disposición de dinero que tuvo lugar con posterioridad a la revocación de los poderes concedidos por el querellante y a la apropiación de los muebles que éste tenía en su domicilio de Valencia. Sólo estos dos actos de desplazamiento patrimonial han sido objeto de enjuiciamiento expreso condenatorio en la Sentencia penal e integran la base fáctica sobre la que se produce la operación de subsunción en el delito de apropiación indebida. Es cierto que el hecho consistente en la disposición del saldo bancario de </w:t>
      </w:r>
      <w:r>
        <w:lastRenderedPageBreak/>
        <w:t xml:space="preserve">11.000.000 pesetas (66.111,33 euros) que motivó la posterior reclamación civil fue objeto de debate durante el acto del juicio oral, pero la Sentencia penal excluye su tipicidad a efectos de apreciar un delito de apropiación indebida. Por tanto, la reclamación de cantidad derivada de ese acto de desplazamiento patrimonial quedó absolutamente imprejuzgada en el ámbito penal, como resulta de la lectura del fundamento del Derecho cuarto de la Sentencia penal dedicado a la responsabilidad civil ex delicto, que no contiene ninguna mención a dicha reclamación. Además, la declaración de no ilicitud de la conducta que se hace en la Sentencia penal lo es a los exclusivos efectos de excluir su trascendencia penal, esto es, su subsunción en el delito de apropiación indebida, pero no supone un pronunciamiento definitivo acerca de la licitud o ilicitud civil del acto de disposición. No es suficiente para apreciar la excepción de cosa juzgada con que la acción civil se hubiera ejercitado en el proceso penal, sino que es necesario además que la misma no haya quedado imprejuzgada, como sucede en el presente caso, como consecuencia de la implícita declaración de falta de tipicidad de los hechos de los que trae causa. En estas condiciones nada impedía que los ahora demandantes de amparo pudieran instar un posterior pleito civil en reclamación de la cantidad de 11.000.000 pesetas (66.111,33 euros) de la que dispuso la acusada. </w:t>
      </w:r>
    </w:p>
    <w:p w:rsidR="0052098F" w:rsidRDefault="0052098F" w:rsidP="0052098F">
      <w:pPr>
        <w:pStyle w:val="TextoNormal"/>
      </w:pPr>
      <w:r>
        <w:t>En suma —concluye el Fiscal—, en el presente asunto los órganos judiciales civiles, al apreciar la excepción de cosa juzgada material fundada la existencia de la previa Sentencia penal, han privado a los recurrentes de un pronunciamiento sobre el fondo de la pretensión ejercitada en el proceso civil sin que exista causa legal para ello, por lo que los Autos impugnados deben reputarse irrazonables y, por tanto, lesivos del derecho a la tutela judicial efectiva, por lo que procedería la estimación de la demanda de amparo, en el caso de que no se apreciase su extemporaneidad.</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La representación procesal de doña María Luisa Albacar Gelabert presentó su escrito de alegaciones el 21 de septiembre de 2007, interesando la denegación del amparo, con imposición de costas a los recurrentes, por temeridad (art. 95.2 LOTC). </w:t>
      </w:r>
    </w:p>
    <w:p w:rsidR="0052098F" w:rsidRDefault="0052098F" w:rsidP="0052098F">
      <w:pPr>
        <w:pStyle w:val="TextoNormal"/>
      </w:pPr>
      <w:r>
        <w:t xml:space="preserve">Sostiene la representación de la Sra. Albacar Gelabert que la apreciación que se hace en los Autos de la excepción de cosa juzgada, como consecuencia del previo pronunciamiento penal firme sobre los mismos hechos, es absolutamente correcta, y en todo caso se fundamenta en una interpretación razonada y razonable de la legalidad ordinaria, por lo que no existe vulneración alguna del derecho de los recurrentes a la tutela judicial efectiva, que no implica en modo alguno un pretendido derecho a obtener un pronunciamiento favorable o de acuerdo con el propio criterio. La Sentencia penal enjuició y condenó como un delito continuado de apropiación indebida las diversas disposiciones de dinero y apropiación de muebles que entre finales de 1990 y el primer semestre de 1991 llevó a cabo la Sra. Albacar Gelabert, si bien finalmente no le impuso pena por apreciar que concurre la excusa absolutoria de parentesco. Sin embargo, sí le impuso una condena en concepto de responsabilidad civil (restitución a los herederos del querellante de la suma de 764 pesetas y de los muebles), que resultaba obligada porque no existió reserva de acciones civiles en la vía penal, habiendo, en consecuencia, el Fiscal ejercitado tanto la acción criminal como la civil. Por tanto, la reclamación de la cantidad de 66.111,33 euros (11.000.000 pesetas) que constituye el objeto de la pretensión en el posterior pleito civil ya fue enjuiciada en el previo proceso penal, no siendo, en consecuencia, aplicable al presente caso la STC 15/2002, de 28 de enero, invocada por los demandantes de amparo, y sí, por el contrario, la reiterada doctrina constitucional conforme a la cual la determinación del alcance que quepa atribuir a la cosa juzgada constituye una cuestión que corresponde a la estricta competencia de los órganos judiciales, sólo revisable en amparo si tal interpretación resulta incongruente, arbitraria o </w:t>
      </w:r>
      <w:r>
        <w:lastRenderedPageBreak/>
        <w:t>irrazonable (SSTC 242/1992, 79/1993, 92/1993, 152/1993, 135/1994 y 87/1996). Los Autos impugnados no incurren en incongruencia, arbitrariedad ni irrazonabilidad, pues han apreciado de forma motivada y razonable la excepción de cosa juzgada, por lo que no existe vulneración alguna del derecho a la tutela judicial efectiva.</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28 de enero de 2008 se acordó señalar para deliberación y votación de la presente Sentencia el día 31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Como ha quedado expuesto en el relato de antecedentes, los recurrentes consideran que tanto el Auto de 6 de mayo de 2004 del Juzgado de Primera Instancia núm. 4 de Barcelona, dictado en procedimiento ordinario núm. 912-2003, como el Auto de la Sección Decimocuarta de la Audiencia Provincial de Barcelona de 4 de abril de 2005, recaído en el recurso de apelación núm. 587-2004, confirmatorio del anterior, han vulnerado su derecho a la tutela judicial efectiva (art. 24.1 CE), ya que estas resoluciones impidieron obtener una respuesta motivada y fundada en Derecho sobre el fondo de la pretensión ejercitada en el pleito civil, al apreciar injustificadamente la excepción de cosa juzgada alegada de contrario por la demandada en dicho pleito, doña María Luisa Albacar Gelabert, con fundamento en la Sentencia penal firme dictada en el proceso penal anteriormente seguido contra aquélla.</w:t>
      </w:r>
    </w:p>
    <w:p w:rsidR="0052098F" w:rsidRDefault="0052098F" w:rsidP="0052098F">
      <w:pPr>
        <w:pStyle w:val="TextoNormal"/>
      </w:pPr>
      <w:r>
        <w:t>El Ministerio Fiscal solicita que la demanda de amparo sea inadmitida por extemporánea; no obstante, para el caso de que no sea apreciado este óbice procesal, el Fiscal interesa el otorgamiento del amparo, por vulneración del derecho a la tutela judicial efectiva. Por su parte, la representación procesal de doña María Luisa Albacar Gelabert postula la desestimación del recurso de amparo, con imposición de costas por temeridad a los recurrentes.</w:t>
      </w:r>
    </w:p>
    <w:p w:rsidR="0052098F" w:rsidRDefault="0052098F" w:rsidP="0052098F">
      <w:pPr>
        <w:pStyle w:val="TextoNormal"/>
      </w:pPr>
    </w:p>
    <w:p w:rsidR="0052098F" w:rsidRDefault="0052098F" w:rsidP="0052098F">
      <w:pPr>
        <w:pStyle w:val="TextoNormal"/>
      </w:pPr>
      <w:r w:rsidRPr="0052098F">
        <w:rPr>
          <w:rStyle w:val="NumeroAFNegritaCaracter"/>
        </w:rPr>
        <w:t>2</w:t>
      </w:r>
      <w:r>
        <w:t>. Antes de entrar en el fondo de la queja planteada por los recurrentes es necesario examinar la eventual causa de inadmisibilidad del recurso, alegada por el Ministerio Fiscal, ya que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pudiendo dar lugar a un pronunciamiento de inadmisión por falta de tales presupuestos, sin que a ello sea obstáculo el carácter tasado de los pronunciamientos previstos en el art. 53 LOTC (SSTC 53/1983, de 20 de junio, FJ 2; 90/1987, de 3 de junio, FJ 1; 50/1991, de 11 de marzo, FJ 3; 107/1995, de 3 de julio, FJ 2; 77/1999, de 26 de abril, FJ 2; 208/2001, de 22 de octubre, FJ 2; 133/2002, de 3 de junio, FJ 2; 69/2003, de 9 de abril, FJ 2; 29/2004, de 4 de marzo, FJ 2; y 204/2005, de 18 de julio, FJ 5, entre otras muchas).</w:t>
      </w:r>
    </w:p>
    <w:p w:rsidR="0052098F" w:rsidRDefault="0052098F" w:rsidP="0052098F">
      <w:pPr>
        <w:pStyle w:val="TextoNormal"/>
      </w:pPr>
      <w:r>
        <w:t>En su escrito de alegaciones el Ministerio público interesa con carácter principal, como ya se ha indicado, que el recurso de amparo sea inadmitido por extemporáneo, toda vez que, a juicio del Fiscal, los recurrentes han prolongado artificialmente el plazo de caducidad establecido en el art. 44.2 LOTC, al preparar contra el Auto dictado en apelación, que agota la vía judicial, un recurso extraordinario por infracción procesal que resulta manifiestamente improcedente, a la vista de la consolidada doctrina jurisprudencial de la Sala de lo Civil del Tribunal Supremo sobre la interpretación de la disposición final 16.1.2 de la Ley de enjuiciamiento civil (LEC), en relación con los arts. 468 y 477.2, 1 y 2, del mismo texto legal.</w:t>
      </w:r>
    </w:p>
    <w:p w:rsidR="0052098F" w:rsidRDefault="0052098F" w:rsidP="0052098F">
      <w:pPr>
        <w:pStyle w:val="TextoNormal"/>
      </w:pPr>
      <w:r>
        <w:lastRenderedPageBreak/>
        <w:t>Ciertamente, como se ha dicho, el presente recurso de amparo se dirige exclusivamente contra el Auto de 6 de mayo de 2004 del Juzgado de Primera Instancia núm. 4 de Barcelona y contra el Auto de la Sección Decimocuarta de la Audiencia Provincial de Barcelona de 4 de abril de 2005, que confirma el anterior en apelación. Ningún reproche se formula en la demanda de amparo contra el Auto posterior que dictó dicha Sección el 18 de abril de 2005 denegando la preparación del recurso extraordinario por infracción procesal contra el referido Auto de apelación. Según lo razonado por la Audiencia Provincial de Barcelona el recurso extraordinario por infracción procesal era improcedente, improcedencia que el silencio de la demanda de amparo sobre esta cuestión —el mismo que guardaron los recurrentes en la vía judicial, en la que tampoco discutieron la imposibilidad de promover el citado recurso extraordinario, aquietándose a lo acordado en el Auto de 18 de abril de 2005— hace más patente. En definitiva, la improcedencia del recurso extraordinario por infracción procesal era manifiesta, perceptible sin necesidad de esfuerzo interpretativo alguno, máxime si se tiene en cuenta que los demandantes estaban asistidos por Abogado (STC 10/2006, de 16 de enero, FJ 3).</w:t>
      </w:r>
    </w:p>
    <w:p w:rsidR="0052098F" w:rsidRDefault="0052098F" w:rsidP="0052098F">
      <w:pPr>
        <w:pStyle w:val="TextoNormal"/>
      </w:pPr>
      <w:r>
        <w:t>Teniendo en cuenta lo anterior resulta obligado recordar que es jurisprudencia consolidada de este Tribunal (por todas, STC 288/2005, de 7 de noviembre) que el plazo para recurrir en amparo frente a resoluciones judiciales, establecido en el art. 44.2 LOTC en veinte días (en la redacción vigente anterior a la reforma introducida por la Ley Orgánica 6/2007, de 24 de mayo), a partir de la notificación de la resolución recaída en el proceso judicial, es un plazo de caducidad que no puede quedar al arbitrio de las partes ni ser objeto de prórrogas artificiales, por lo que no es admisible pretender alargarlo mediante la prolongación de las actuaciones judiciales previas a través de la utilización de recursos inexistentes en la Ley o manifiestamente improcedentes. Dicho en otras palabras, la utilización de recursos o remedios procesales manifiestamente improcedentes contra una resolución judicial firme no suspende el plazo de veinte días para recurrir en amparo, por lo que la interposición de un recurso cuya improcedencia resulte manifiesta puede determinar la extemporaneidad del recurso de amparo.</w:t>
      </w:r>
    </w:p>
    <w:p w:rsidR="0052098F" w:rsidRDefault="0052098F" w:rsidP="0052098F">
      <w:pPr>
        <w:pStyle w:val="TextoNormal"/>
      </w:pPr>
      <w:r>
        <w:t>Mas no es esto lo que ocurre en el presente caso, pues si bien la improcedencia del recurso extraordinario por infracción procesal preparado por los recurrentes es manifiesta, por lo que no suspende el plazo de caducidad para la interposición de la demanda de amparo, que comenzó a contar a partir de la notificación del Auto de la Sección Decimocuarta de la Audiencia Provincial de Barcelona de 4 de abril de 2005, resolución que pone fin a la vía judicial, es lo cierto que, tal como queda expuesto en los antecedentes, la notificación de esta resolución judicial tuvo lugar el 11 de abril de 2005, en tanto que la demanda de amparo fue presentada en este Tribunal el 10 de mayo de 2005, dentro, por tanto, del plazo de veinte días hábiles establecido en el art. 44.2 LOTC. Consiguientemente, el óbice procesal opuesto por el Ministerio Fiscal ha de ser rechazado.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Entrando ya a examinar el fondo de la queja planteada por los recurrentes, resulta obligado recordar que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impida entrar en el fondo de la cuestión planteada, si esta decisión se funda en la existencia de una causa legal que así lo justifique, aplicada razonablemente por el órgano judicial (SSTC 19/1981, de 8 de junio, FJ 2; 69/1984, de 11 de junio, FJ 2; 6/1986, de 21 de enero, FJ 3; </w:t>
      </w:r>
      <w:r>
        <w:lastRenderedPageBreak/>
        <w:t>118/1987, de 8 de julio, FJ 2; 57/1988, de 5 de abril, FJ 1; 124/1988, de 23 de junio, FJ 3; 216/1989, de 21 de diciembre, FJ 3; 154/1992, de 19 de octubre, FJ 2; 55/1995, de 6 de marzo, FJ 2; 104/1997, de 2 de junio, FJ 2; 108/2000, de 5 de mayo, FJ 3; entre otras muchas), pues, al ser el derecho a la tutela judicial efectiva un derecho prestacional de configuración legal, su ejercicio y efectividad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 FJ 2).</w:t>
      </w:r>
    </w:p>
    <w:p w:rsidR="0052098F" w:rsidRDefault="0052098F" w:rsidP="0052098F">
      <w:pPr>
        <w:pStyle w:val="TextoNormal"/>
      </w:pPr>
      <w:r>
        <w:t>Asimismo, hemos declarado que una de la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respecto a su firmeza y a la intangibilidad de las situaciones jurídicas en ellas declaradas, sin perjuicio, naturalmente, de su revisión o modificación a través de los cauces extraordinarios legalmente reconocidos. En otro caso, es decir, si se desconociera el efecto de la cosa juzgada material se privaría de eficacia a lo que se decidió con firmeza en el proceso, lesionándose así la paz y seguridad jurídica de quien se vio protegido judicialmente por una sentencia dictada en un proceso anterior entre las mismas partes (entre otras, SSTC 159/1987, de 26 de octubre, FJ 2; 135/1994, de 9 de mayo, FJ 2; 198/1994, de 4 de julio, FJ 3; 59/1996, de 15 de abril, FJ 2; 43/1998, de 24 de febrero, FJ 3; 53/2000, de 28 de febrero, FJ 6; 55/2000, de 28 de febrero, FJ 4; 207/2000, de 24 de julio, FJ 2; 309/2000, de 18 de diciembre, FJ 3; y 151/2001, de 2 de julio, FJ 3).</w:t>
      </w:r>
    </w:p>
    <w:p w:rsidR="0052098F" w:rsidRDefault="0052098F" w:rsidP="0052098F">
      <w:pPr>
        <w:pStyle w:val="TextoNormal"/>
      </w:pPr>
      <w:r>
        <w:t>Por ello, el derecho a la tutela judicial efectiva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w:t>
      </w:r>
    </w:p>
    <w:p w:rsidR="0052098F" w:rsidRDefault="0052098F" w:rsidP="0052098F">
      <w:pPr>
        <w:pStyle w:val="TextoNormal"/>
      </w:pPr>
      <w:r>
        <w:t>Igualmente, este Tribunal tiene dicho que la determinación del alcance que quepa atribuir a la cosa juzgada constituye una cuestión que corresponde a la estricta competencia de los órganos judiciales, por lo que sus decisiones en esta materia sólo son revisables por la jurisdicción constitucional si resultan incongruentes, arbitrarias o irrazonables (SSTC 242/1992, de 21 de diciembre, FJ 3; 92/1993, de 15 de marzo, FJ 3; 135/1994, de 9 de mayo, FJ 2; 43/1998, de 24 de febrero, FJ 4; y 135/2001, de 18 de julio, FJ 6, por todas).</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Asimismo es preciso recordar que, como hemos tenido ocasión de afirmar en diversas ocasiones (así, SSTC 367/1993, de 13 de diciembre, FJ 3; 135/2001, de 18 de junio, FJ 7; y 15/2002, de 28 de enero, FJ 4), en nuestro ordenamiento jurídico el proceso penal no queda limitado al ejercicio y conocimiento de la acción penal; por el contrario, en el proceso penal puede ejercitarse y decidirse también la acción civil dirigida a satisfacer la responsabilidad civil derivada del hecho ilícito que es constitutivo de delito o falta. Además, el legislador, por razones de economía o de oportunidad, considera que el ejercicio de la acción penal lleva aparejado el ejercicio de la acción civil, de forma que salvo que el perjudicado por el hecho delictivo haya renunciado a la acción civil o se haya reservado expresamente esta acción para ejercitarla después de terminado el proceso penal en el correspondiente juicio civil (art. 112 de la Ley de enjuiciamiento criminal: LECrim), la sentencia que ponga fin al proceso penal, en el caso de que sea condenatoria (y excepcionalmente, cuando sea absolutoria en los supuestos del art. 118 del Código penal) deberá pronunciarse también sobre la </w:t>
      </w:r>
      <w:r>
        <w:lastRenderedPageBreak/>
        <w:t>responsabilidad civil ex delicto. A este fin, el Ministerio Fiscal está obligado, haya o no acusador particular, a ejercer la acción civil, salvo que el perjudicado haya renunciado o se haya reservado las acciones civiles (art. 108 LECrim).</w:t>
      </w:r>
    </w:p>
    <w:p w:rsidR="0052098F" w:rsidRDefault="0052098F" w:rsidP="0052098F">
      <w:pPr>
        <w:pStyle w:val="TextoNormal"/>
      </w:pPr>
      <w:r>
        <w:t>De este modo, el legislador ha querido que la sentencia penal decida definitivamente toda las consecuencias penales y civiles derivadas del hecho delictivo, salvo el supuesto de renuncia o de reserva de las acciones civiles por parte del perjudicado, pues no existiendo esta renuncia o reserva de acciones el Ministerio Fiscal ostenta una legitimación extraordinaria o por sustitución para ejercer, en nombre de los perjudicados, las acciones civiles que puedan corresponderles, por lo que, ejercitadas estas acciones por el Fiscal, el perjudicado no podrá ya volver a ejercitarlas en un posterior proceso civil, salvo que se trate de cuestiones civiles no discutidas en la previa sentencia penal.</w:t>
      </w:r>
    </w:p>
    <w:p w:rsidR="0052098F" w:rsidRDefault="0052098F" w:rsidP="0052098F">
      <w:pPr>
        <w:pStyle w:val="TextoNormal"/>
      </w:pPr>
      <w:r>
        <w:t>Corolario de lo expuesto es, como señala la citada STC 15/2002, de 28 de enero, FJ 4, invocada por los recurrentes en apoyo de su pretensión, “que la Sentencia penal condenatoria que se haya pronunciado sobre la responsabilidad civil del condenado produce efectos de cosa juzgada en el ulterior proceso civil que pueda plantear el perjudicado, pues la Sentencia penal produce efectos consuntivos de cuantas acciones penales y civiles se ejercitaron y ventilaron en el proceso penal. Sólo aquellas acciones civiles que no fueron objeto de la Sentencia penal, ya sea porque la Sentencia fue absolutoria, ya sea porque el perjudicado se las reservó para ejercitarlas en un posterior proceso civil, o porque no fueron ejercitadas en el proceso penal, son las que podrán ejercerse y ventilarse en un posterior proceso civil y no quedarán afectadas por la cosa juzgada que produce la Sentencia penal.</w:t>
      </w:r>
    </w:p>
    <w:p w:rsidR="0052098F" w:rsidRDefault="0052098F" w:rsidP="0052098F">
      <w:pPr>
        <w:pStyle w:val="TextoNormal"/>
      </w:pPr>
      <w:r>
        <w:t>Es decir, cuando la Sentencia penal, por haber sido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La citada regla sólo sufre una excepción en virtud de lo dispuesto en el art. 116 LECrim, según el cual si la Sentencia penal resultó absolutoria precisamente por declarar que no existió el hecho que fue objeto de enjuiciamiento en el ámbito criminal, este pronunciamiento vinculará positivamente al juez civil que no podrá ya fundar ninguna responsabilidad civil en la existencia del hecho que fue declarado inexistente por la jurisdicción penal”.</w:t>
      </w:r>
    </w:p>
    <w:p w:rsidR="0052098F" w:rsidRDefault="0052098F" w:rsidP="0052098F">
      <w:pPr>
        <w:pStyle w:val="TextoNormal"/>
      </w:pPr>
    </w:p>
    <w:p w:rsidR="0052098F" w:rsidRDefault="0052098F" w:rsidP="0052098F">
      <w:pPr>
        <w:pStyle w:val="TextoNormal"/>
      </w:pPr>
      <w:r w:rsidRPr="0052098F">
        <w:rPr>
          <w:rStyle w:val="NumeroAFNegritaCaracter"/>
        </w:rPr>
        <w:t>5</w:t>
      </w:r>
      <w:r>
        <w:t>. De conformidad con la doctrina expuesta, la función de este Tribunal se contrae a comprobar si la decisión de los Autos recurridos de declarar concluido el proceso civil seguido a instancia de los recurrentes, por apreciar la excepción de cosa juzgada derivada de la sentencia firme recaída en el anterior proceso penal seguido contra quien es demandada en el posterior pleito civil, puede considerarse una respuesta válida desde la perspectiva del derecho a la tutela judicial efectiva o si, por el contrario, resulta una decisión arbitraria, incongruente o irrazonable que no satisface las exigencias del art. 24.1 CE.</w:t>
      </w:r>
    </w:p>
    <w:p w:rsidR="0052098F" w:rsidRDefault="0052098F" w:rsidP="0052098F">
      <w:pPr>
        <w:pStyle w:val="TextoNormal"/>
      </w:pPr>
      <w:r>
        <w:t>Según se expuso en el relato de antecedentes, los recurrentes en amparo formularon demanda de juicio ordinario contra doña María Luisa Albacar Gelabert en reclamación de la cantidad de 66.111,33 euros (11.000.000 pesetas), de la que aquélla había dispuesto usando los poderes otorgados por el causante de los recurrentes, antes de que se le notificara la revocación de los poderes. La demanda se fundamentaba en la acción de enriquecimiento injusto o sin causa del art. 1274 del Código civil.</w:t>
      </w:r>
    </w:p>
    <w:p w:rsidR="0052098F" w:rsidRDefault="0052098F" w:rsidP="0052098F">
      <w:pPr>
        <w:pStyle w:val="TextoNormal"/>
      </w:pPr>
      <w:r>
        <w:t xml:space="preserve">Esta pretensión civil es rechazada por el Juzgado de Primera Instancia núm. 4 de Barcelona en Auto de 6 de mayo de 2004, confirmado por Auto de 4 de abril de 2005 de la Sección Decimocuarta de la Audiencia Provincial de Barcelona —resoluciones contra las que se dirige el recurso de amparo— sin entrar en el fondo del asunto, por apreciar los órganos </w:t>
      </w:r>
      <w:r>
        <w:lastRenderedPageBreak/>
        <w:t>judiciales la excepción de cosa juzgada alegada por la demandada Sra. Albacar Gelabert, que se funda en la existencia de una previa Sentencia penal firme, recaída en un anterior procedimiento abreviado seguido contra aquélla por los mismos hechos, y que fue absolutoria en cuanto a la responsabilidad criminal por apreciación de la excusa absolutoria de parentesco (art. 564 del Código penal de 1973), si bien el Juzgado de lo Penal la condenó en concepto de responsabilidad civil a restituir a los herederos del querellante la suma de 764 pesetas (cantidad de la que la Sra. Albacar dispuso tras conocer la revocación de poderes) y los bienes muebles (o a indemnizarles en la cantidad de 3.800.000 pesetas, en caso de que la restitución de los muebles no fuera posible). En suma, los Autos impugnados consideran que el objeto de la reclamación del proceso civil ya fue resuelto en el previo proceso penal, donde se enjuiciaron todos los actos de disposición patrimonial realizados por la demandada Sra. Albacar, recayendo Sentencia condenatoria, puesto que contiene pronunciamientos civiles de índole indemnizatoria, lo que impide que pueda promoverse juicio civil posterior sobre los mismos hechos.</w:t>
      </w:r>
    </w:p>
    <w:p w:rsidR="0052098F" w:rsidRDefault="0052098F" w:rsidP="0052098F">
      <w:pPr>
        <w:pStyle w:val="TextoNormal"/>
      </w:pPr>
      <w:r>
        <w:t>Sin embargo, el examen de las actuaciones permite constatar que la excepción de cosa juzgada apreciada por los Autos impugnados, con el efecto de no entrar en el fondo de la pretensión ejercitada en el proceso civil, ha sido apreciada sin que exista causa legal para ello, tal como sostienen los demandantes de amparo y el Ministerio Fiscal, pues, frente a lo afirmado en dichos Autos, lo cierto es que respecto del hecho que constituye el objeto de la reclamación en el posterior proceso civil (la disposición por la demandada Sra. Albacar de la suma de 11.000.000 pesetas con anterioridad a la notificación de la revocación de poderes) no hubo Sentencia penal de condena, según se infiere claramente de la fundamentación de la Sentencia de 16 de julio de 2001 del Juzgado de lo Penal núm. 2 de Barcelona, sino Sentencia absolutoria, no sólo en cuanto a la responsabilidad criminal, sino también en cuanto a la responsabilidad civil ex delicto; pronunciamiento de absolución que, además, no se basa en la inexistencia del hecho —supuesto en el que, como recuerda la citada STC 15/2002, FJ 4, el art. 116 LECrim ampararía la eficacia vinculante de la sentencia penal en el posterior proceso civil—, sino en la no ilicitud penal de dicha conducta (por ser el acto de desplazamiento patrimonial previo al conocimiento por la acusada de la revocación de los poderes), lo que obviamente no impide que pueda entrañar un ilícito civil, que era la pretensión de fondo que los recurrentes plantearon en el posterior proceso civil y que no fue resuelta en el fondo como consecuencia de la apreciación de la excepción de cosa juzgada.</w:t>
      </w:r>
    </w:p>
    <w:p w:rsidR="0052098F" w:rsidRDefault="0052098F" w:rsidP="0052098F">
      <w:pPr>
        <w:pStyle w:val="TextoNormal"/>
      </w:pPr>
      <w:r>
        <w:t>Dicho de otro modo, el Juzgado de lo Penal núm. 2 de Barcelona no se pronunció en la Sentencia firme de 16 de julio de 2001 sobre las eventuales responsabilidades civiles en que pudo incurrir la acusada Sra. Albacar por el acto de disposición patrimonial realizado por ésta antes de que le fuera comunicada la revocación de poderes por el tío y causante de los demandantes de amparo, cuestión que, por consiguiente, quedó imprejuzgada en el previo proceso penal, por lo que la apreciación de la cosa juzgada en el posterior proceso civil no puede considerarse una respuesta judicial fundada en Derecho, a la luz de la doctrina constitucional antes citada.</w:t>
      </w:r>
    </w:p>
    <w:p w:rsidR="0052098F" w:rsidRDefault="0052098F" w:rsidP="0052098F">
      <w:pPr>
        <w:pStyle w:val="TextoNormal"/>
      </w:pPr>
      <w:r>
        <w:t>En suma, debe concluirse que en el presente caso los órganos judiciales del orden civil, al apreciar la excepción de cosa juzgada material fundada en la existencia de la previa Sentencia penal firme de 16 de julio de 2001 del Juzgado de lo Penal núm. 2 de Barcelona, han privado a los recurrentes de un pronunciamiento sobre el fondo de la pretensión ejercitada en el proceso civil, sin que exista causa legal para ello, por lo que los Autos impugnados deben reputarse irrazonables y restrictivos de la efectividad del derecho a la tutela judicial efectiva (art. 24.1 CE), procediendo el otorgamiento del amparo solicitado.</w:t>
      </w:r>
    </w:p>
    <w:p w:rsidR="0052098F" w:rsidRDefault="0052098F" w:rsidP="0052098F">
      <w:pPr>
        <w:pStyle w:val="TextoNormal"/>
      </w:pPr>
    </w:p>
    <w:p w:rsidR="0052098F" w:rsidRDefault="0052098F" w:rsidP="0052098F">
      <w:pPr>
        <w:pStyle w:val="TextoNormalCentrado"/>
        <w:keepNext/>
      </w:pPr>
      <w:r>
        <w:lastRenderedPageBreak/>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a doña Rosa María, don Manuel, don Jacobo y don Javier Albacar Aguirre el amparo solicitado y, en consecuencia:</w:t>
      </w:r>
    </w:p>
    <w:p w:rsidR="0052098F" w:rsidRDefault="0052098F" w:rsidP="0052098F">
      <w:pPr>
        <w:pStyle w:val="TextoNormal"/>
      </w:pPr>
      <w:r>
        <w:t>1º Reconocer su derecho a la tutela judicial efectiva (art. 24.1 CE).</w:t>
      </w:r>
    </w:p>
    <w:p w:rsidR="0052098F" w:rsidRDefault="0052098F" w:rsidP="0052098F">
      <w:pPr>
        <w:pStyle w:val="TextoNormal"/>
      </w:pPr>
      <w:r>
        <w:t>2º Anular el Auto de 6 de mayo de 2004 del Juzgado de Primera Instancia núm. 4 de Barcelona, dictado en procedimiento ordinario núm. 912-2003, sobre reclamación de cantidad, así como el Auto de la Sección Decimocuarta de la Audiencia Provincial de Barcelona de 4 de abril de 2005, recaído en el recurso de apelación núm. 587-2004, interpuesto contra el anterior.</w:t>
      </w:r>
    </w:p>
    <w:p w:rsidR="0052098F" w:rsidRDefault="0052098F" w:rsidP="0052098F">
      <w:pPr>
        <w:pStyle w:val="TextoNormal"/>
      </w:pPr>
      <w:r>
        <w:t>3º Retrotraer las actuaciones al momento inmediatamente anterior al de dictarse el Auto de 6 de mayo de 2004 por el Juzgado de Primera Instancia núm. 4 de Barcelona, a fin de que continúe la tramitación del procedimiento ordinario núm. 912-2003 sin apreciar la excepción de cosa juzgada.</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1" w:name="SENTENCIA_2008_18"/>
      <w:r>
        <w:lastRenderedPageBreak/>
        <w:t>SENTENCIA 18/2008, de 31 de enero de 2008</w:t>
      </w:r>
    </w:p>
    <w:bookmarkEnd w:id="21"/>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ECLI:ES:TC:2008:18</w:t>
      </w:r>
    </w:p>
    <w:p w:rsidR="0052098F" w:rsidRDefault="0052098F" w:rsidP="0052098F">
      <w:pPr>
        <w:pStyle w:val="SntesisDescriptiva"/>
      </w:pPr>
    </w:p>
    <w:p w:rsidR="0052098F" w:rsidRDefault="0052098F" w:rsidP="0052098F">
      <w:pPr>
        <w:pStyle w:val="SntesisDescriptiva"/>
      </w:pPr>
      <w:r>
        <w:t>Recurso de amparo 4028-2005. Promovido por el Gobierno de Cantabria respecto al Auto de la Audiencia Provincial de Cantabria que denegó su personación en causa de jurado en Torrelavega por delito de homicidio.</w:t>
      </w:r>
    </w:p>
    <w:p w:rsidR="0052098F" w:rsidRDefault="0052098F" w:rsidP="0052098F">
      <w:pPr>
        <w:pStyle w:val="SntesisDescriptiva"/>
      </w:pPr>
    </w:p>
    <w:p w:rsidR="0052098F" w:rsidRDefault="0052098F" w:rsidP="0052098F">
      <w:pPr>
        <w:pStyle w:val="SntesisAnaltica"/>
      </w:pPr>
      <w:r>
        <w:t>Vulneración del derecho a la tutela judicial efectiva (acceso a la justicia penal): STC 8/2008.</w:t>
      </w:r>
    </w:p>
    <w:p w:rsidR="0052098F" w:rsidRDefault="0052098F" w:rsidP="0052098F">
      <w:pPr>
        <w:pStyle w:val="SntesisAnaltica"/>
      </w:pPr>
    </w:p>
    <w:p w:rsidR="0052098F" w:rsidRDefault="0052098F" w:rsidP="0052098F">
      <w:pPr>
        <w:pStyle w:val="Extracto"/>
      </w:pPr>
      <w:r>
        <w:t>1.</w:t>
      </w:r>
      <w:r>
        <w:tab/>
        <w:t>Aplica doctrina sobre denegación de personación para ejercicio de la acción popular a los poderes públicos, de la STC 8/2008 [FJ único].</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4028-2005, promovido por la Letrada de los Servicios Jurídicos del Gobierno de Cantabria, en la representación que legalmente ostenta, contra el Auto de la Sección Tercera de la Audiencia Provincial de Cantabria de 12 de abril de 2005, dictado en el rollo de apelación núm. 65-2005, por el que se estima el recurso de apelación interpuesto y se acuerda no tener por personado al Gobierno de Cantabria en ejercicio de la acción popular en el procedimiento de Tribunal de Jurado núm. 1-2004, tramitado por el Juzgado de Instrucción núm. 4 de Torrelavega, por homicidio. Ha intervenido el Ministerio Fiscal. Ha sido Ponente el Magistrado don Pablo Pérez Tremps,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1 de junio de 2005, la Letrada de los Servicios Jurídicos del Gobierno de Cantabria, en la representación que legalmente ostenta, formuló demanda de amparo contra la resolución judicial que se menciona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demanda de amparo tiene su origen en los siguientes antecedentes: </w:t>
      </w:r>
    </w:p>
    <w:p w:rsidR="0052098F" w:rsidRDefault="0052098F" w:rsidP="0052098F">
      <w:pPr>
        <w:pStyle w:val="TextoNormal"/>
      </w:pPr>
      <w:r>
        <w:t xml:space="preserve">a) La Letrada de los Servicios Jurídicos del Gobierno de Cantabria, en la representación que legalmente ostenta, por escrito de 1 de octubre de 2004, solicitó que se la tuviera por personada en ejercicio de la acción popular en el procedimiento de Tribunal de Jurado núm. 1-2004, tramitado por el Juzgado de Instrucción núm. 4 de Torrelavega por un delito de homicidio, al amparo del art. 18 de la Ley de Cantabria 1/2004, de 1 de abril, integral para la prevención de la violencia contra las mujeres y la protección a sus víctimas, que habilita a la Administración de la Comunidad Autónoma para ejercer la acción popular en los procedimientos penales por violencia de género en que se produzca la muerte, lesiones graves o incapacitación definitiva de la víctima. Por providencia de 5 de octubre de 2004 se tuvo por personado al Gobierno de Cantabria. El Ministerio Fiscal interpuso recurso de reforma y subsidiario de apelación, alegando que el ejercicio de la acción popular, en los términos expuestos en el art. 125 CE, queda reservado a los ciudadanos, condición que no ostenta la Administración pública. Por Auto de 22 de febrero de 2005 se desestimó el recurso, señalando que existe una norma autonómica específica que prevé la personación en el ejercicio de la acción popular en este tipo de procedimientos. </w:t>
      </w:r>
    </w:p>
    <w:p w:rsidR="0052098F" w:rsidRDefault="0052098F" w:rsidP="0052098F">
      <w:pPr>
        <w:pStyle w:val="TextoNormal"/>
      </w:pPr>
      <w:r>
        <w:t>b) El recurso de apelación fue estimado por Auto de la Sección Tercera de la Audiencia Provincial de Cantabria de 12 de abril de 2005, dictado en el rollo de apelación núm. 65-2005, remitiéndose a lo ya resuelto en su Auto de 28 de marzo de 2005, en que se exponían los argumentos jurídicos para denegar el ejercicio de la acción popular al Gobierno de la Comunidad Autónoma en este tipo de procedimientos. Así se destaca, en primer lugar, que el art. 125 CE limita la acción popular a los ciudadanos, lo que, según la STC 129/2001, de 4 de junio, debía interpretarse limitado a las personas privadas. En segundo lugar, se señala que la causa se sigue por delito público, por lo que, no pudiendo tener el Gobierno de Cantabria otro interés que la defensa del interés público, tal función es asumida por el Ministerio Fiscal. Y, por último, se incide en que el art. 18 de la Ley de Cantabria 1/2004, autoriza el ejercicio de la acción popular a la Comunidad Autónoma en la forma y condiciones establecidas por la legislación procesal, habiendo sido esta legislación “interpretada por el Tribunal Constitucional en los términos ya expuestos”.</w:t>
      </w:r>
    </w:p>
    <w:p w:rsidR="0052098F" w:rsidRDefault="0052098F" w:rsidP="0052098F">
      <w:pPr>
        <w:pStyle w:val="TextoNormal"/>
      </w:pPr>
    </w:p>
    <w:p w:rsidR="0052098F" w:rsidRDefault="0052098F" w:rsidP="0052098F">
      <w:pPr>
        <w:pStyle w:val="TextoNormal"/>
      </w:pPr>
      <w:r w:rsidRPr="0052098F">
        <w:rPr>
          <w:rStyle w:val="NumeroAFNegritaCaracter"/>
        </w:rPr>
        <w:t>3</w:t>
      </w:r>
      <w:r>
        <w:t>. El recurrente aduce en su demanda de amparo la vulneración del derecho a la tutela judicial efectiva (art. 24.1 CE), en su vertiente de derecho de acceso a la jurisdicción, argumentando que se le ha denegado el ejercicio de la acción popular inaplicando un precepto autonómico de rango legal que le reconoce expresamente dicha posibilidad, y basado en una interpretación restrictiva y contraria al principio pro actione del art. 125 CE y de la capacidad de acceso de las Administraciones Públicas al ejercicio de la acción popular. Igualmente, invoca el derecho a la vida e integridad física de las personas (art. 15 CE) en cuanto que la resolución judicial recurrida no permite su protección por la Administración autonómica, que tiene obligación legal de prestarla.</w:t>
      </w:r>
    </w:p>
    <w:p w:rsidR="0052098F" w:rsidRDefault="0052098F" w:rsidP="0052098F">
      <w:pPr>
        <w:pStyle w:val="TextoNormal"/>
      </w:pPr>
    </w:p>
    <w:p w:rsidR="0052098F" w:rsidRDefault="0052098F" w:rsidP="0052098F">
      <w:pPr>
        <w:pStyle w:val="TextoNormal"/>
      </w:pPr>
      <w:r w:rsidRPr="0052098F">
        <w:rPr>
          <w:rStyle w:val="NumeroAFNegritaCaracter"/>
        </w:rPr>
        <w:t>4</w:t>
      </w:r>
      <w:r>
        <w:t>. La Sección Segunda de este Tribunal, por providencia de 12 de abril de 2007, acordó la admisión a trámite de la demanda de amparo y dirigir atenta comunicación a los órganos judiciales competentes para la remisión de testimonio de las actuaciones, el emplazamiento a quienes hubieran sido parte en el procedimiento para que pudieran comparecer en el mismo y la formación de la pieza separada de suspensión, que, tras los trámites oportunos, fue archivada por ATC 284/2007, de 18 de junio, por pérdida de objeto.</w:t>
      </w:r>
    </w:p>
    <w:p w:rsidR="0052098F" w:rsidRDefault="0052098F" w:rsidP="0052098F">
      <w:pPr>
        <w:pStyle w:val="TextoNormal"/>
      </w:pPr>
    </w:p>
    <w:p w:rsidR="0052098F" w:rsidRDefault="0052098F" w:rsidP="0052098F">
      <w:pPr>
        <w:pStyle w:val="TextoNormal"/>
      </w:pPr>
      <w:r w:rsidRPr="0052098F">
        <w:rPr>
          <w:rStyle w:val="NumeroAFNegritaCaracter"/>
        </w:rPr>
        <w:t>5</w:t>
      </w:r>
      <w:r>
        <w:t>. La Secretaría de Justicia de la Sala Primera de este Tribunal, por diligencia de ordenación de 20 de julio de 2007, a tenor del art. 52 LOTC, dio vista de las actuaciones al Ministerio Fiscal y al recurrente por plazo común de veinte días para que pudieran presentar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6</w:t>
      </w:r>
      <w:r>
        <w:t>. El Ministerio Fiscal, por escrito registrado el 5 de octubre de 2007, presentó alegaciones interesando el otorgamiento del amparo, por vulneración del art. 24.1 CE, “dándole una extensión meramente declarativa y no devolutiva, para evitar mayores retrasos en el enjuiciamiento de este caso grave, máxime si ya ha sido resuelto”. Así, expone que, si bien debe prescindirse del análisis de la invocación del art. 15 CE, al carecer de la necesaria fundamentación, ha de estimarse vulnerado el art. 24.1 CE a la vista de la STC 311/2006, de 23 de octubre, en la que ya se señaló que el establecimiento de la acción popular es una decisión que corresponde al legislador que no viene impuesta por los arts. 125 ó 24.1 CE, pero que una vez establecida legalmente habrá de considerarse como un medio de acceso a la jurisdicción. Por ello, cualquier interpretación restrictiva del ejercicio de la acción popular puede reputarse contraria al art. 24.1 CE, que es lo que sucede en este caso con el término ciudadano del art. 125 CE, que la STC 175/2001, de 26 de julio, ya lo había ampliado a las personas jurídico-públicas.</w:t>
      </w:r>
    </w:p>
    <w:p w:rsidR="0052098F" w:rsidRDefault="0052098F" w:rsidP="0052098F">
      <w:pPr>
        <w:pStyle w:val="TextoNormal"/>
      </w:pPr>
    </w:p>
    <w:p w:rsidR="0052098F" w:rsidRDefault="0052098F" w:rsidP="0052098F">
      <w:pPr>
        <w:pStyle w:val="TextoNormal"/>
      </w:pPr>
      <w:r w:rsidRPr="0052098F">
        <w:rPr>
          <w:rStyle w:val="NumeroAFNegritaCaracter"/>
        </w:rPr>
        <w:t>7</w:t>
      </w:r>
      <w:r>
        <w:t>. El Gobierno de Cantabria, por escrito registrado el 13 de septiembre de 2007, presentó alegaciones ratificándose en las expuestas en la demanda de amparo y considerando aplicable la jurisprudencia establecida en la STC 311/2006, de 23 de octubre.</w:t>
      </w:r>
    </w:p>
    <w:p w:rsidR="0052098F" w:rsidRDefault="0052098F" w:rsidP="0052098F">
      <w:pPr>
        <w:pStyle w:val="TextoNormal"/>
      </w:pPr>
    </w:p>
    <w:p w:rsidR="0052098F" w:rsidRDefault="0052098F" w:rsidP="0052098F">
      <w:pPr>
        <w:pStyle w:val="TextoNormal"/>
      </w:pPr>
      <w:r w:rsidRPr="0052098F">
        <w:rPr>
          <w:rStyle w:val="NumeroAFNegritaCaracter"/>
        </w:rPr>
        <w:t>8</w:t>
      </w:r>
      <w:r>
        <w:t>. Por providencia de 28 de enero de 2008, se señaló para deliberación y votación de la presente Sentencia el día 31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F10479">
        <w:rPr>
          <w:rStyle w:val="NumeroAFNegritaCaracter"/>
        </w:rPr>
        <w:t>Único.</w:t>
      </w:r>
      <w:r>
        <w:t xml:space="preserve"> El objeto de este recurso de amparo es determinar si la resolución impugnada ha vulnerado al Gobierno de Cantabria su derecho a la tutela judicial efectiva (art. 24.1 CE), desde la perspectiva del derecho de acceso a la jurisdicción, al denegar su</w:t>
      </w:r>
    </w:p>
    <w:p w:rsidR="0052098F" w:rsidRDefault="0052098F" w:rsidP="0052098F">
      <w:pPr>
        <w:pStyle w:val="TextoNormal"/>
      </w:pPr>
      <w:r>
        <w:t>personación para el ejercicio de la acción popular, a pesar de de tener reconocida legalmente dicha posibilidad en una norma autonómica con rango de Ley, en concreto el art. 18 de la Ley de Cantabria 1/2004, de 1 de abril.</w:t>
      </w:r>
    </w:p>
    <w:p w:rsidR="0052098F" w:rsidRDefault="0052098F" w:rsidP="0052098F">
      <w:pPr>
        <w:pStyle w:val="TextoNormal"/>
      </w:pPr>
      <w:r>
        <w:t>La STC 8/2008, de 21 de enero, en un asunto idéntico a éste, en el que se resuelve el recurso de amparo interpuesto por el Gobierno de Cantabria contra el Auto de la Sección Tercera de la Audiencia Provincial de Cantabria de 28 de marzo de 2005, a cuya argumentación se remite la resolución impugnada en el presente amparo para denegar su personación, ya ha expuesto las razones por las que, siguiendo lo fundamentado en la STC 311/2006, de 23 de octubre, se debe considerar que dicha denegación vulnera el art. 24.1 CE, así como la modulación de los efectos del otorgamiento del amparo. Por tanto, ha de bastar esta remisión a los fundamentos jurídicos de la STC 8/2008, para otorgar el amparo y reconocer vulnerado el derecho a la tutela judicial efectiva del recurrente.</w:t>
      </w:r>
    </w:p>
    <w:p w:rsidR="0052098F" w:rsidRDefault="0052098F" w:rsidP="0052098F">
      <w:pPr>
        <w:pStyle w:val="TextoNormal"/>
      </w:pPr>
    </w:p>
    <w:p w:rsidR="0052098F" w:rsidRDefault="0052098F" w:rsidP="0052098F">
      <w:pPr>
        <w:pStyle w:val="TextoNormalCentrado"/>
        <w:keepNext/>
      </w:pPr>
      <w:r>
        <w:lastRenderedPageBreak/>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al Gobierno de Cantabria y, en su virtud, reconocer su derecho a la tutela judicial efectiva (art. 24.1 CE).</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2" w:name="SENTENCIA_2008_19"/>
      <w:r>
        <w:lastRenderedPageBreak/>
        <w:t>SENTENCIA 19/2008, de 31 de enero de 2008</w:t>
      </w:r>
    </w:p>
    <w:bookmarkEnd w:id="22"/>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ECLI:ES:TC:2008:19</w:t>
      </w:r>
    </w:p>
    <w:p w:rsidR="0052098F" w:rsidRDefault="0052098F" w:rsidP="0052098F">
      <w:pPr>
        <w:pStyle w:val="SntesisDescriptiva"/>
      </w:pPr>
    </w:p>
    <w:p w:rsidR="0052098F" w:rsidRDefault="0052098F" w:rsidP="0052098F">
      <w:pPr>
        <w:pStyle w:val="SntesisDescriptiva"/>
      </w:pPr>
      <w:r>
        <w:t>Recurso de amparo 1364-2006. Promovido por el Instituto Nacional de la Seguridad Social respecto a la Sentencia y el Auto de nulidad de la Sala de lo Social del Tribunal Superior de Justicia de Madrid que, en grado de suplicación, estimó la demanda de doña Encarnación Luisa Fernández Pérez sobre invalidez.</w:t>
      </w:r>
    </w:p>
    <w:p w:rsidR="0052098F" w:rsidRDefault="0052098F" w:rsidP="0052098F">
      <w:pPr>
        <w:pStyle w:val="SntesisDescriptiva"/>
      </w:pPr>
    </w:p>
    <w:p w:rsidR="0052098F" w:rsidRDefault="0052098F" w:rsidP="0052098F">
      <w:pPr>
        <w:pStyle w:val="SntesisAnaltica"/>
      </w:pPr>
      <w:r>
        <w:t>Alegada vulneración del derecho a la tutela judicial efectiva (motivación): derechos fundamentales de los entes públicos; falta de legitimación activa y agotamiento de los recursos en vía judicial.</w:t>
      </w:r>
    </w:p>
    <w:p w:rsidR="0052098F" w:rsidRDefault="0052098F" w:rsidP="0052098F">
      <w:pPr>
        <w:pStyle w:val="SntesisAnaltica"/>
      </w:pPr>
    </w:p>
    <w:p w:rsidR="0052098F" w:rsidRDefault="0052098F" w:rsidP="0052098F">
      <w:pPr>
        <w:pStyle w:val="Extracto"/>
      </w:pPr>
      <w:r>
        <w:t>1.</w:t>
      </w:r>
      <w:r>
        <w:tab/>
        <w:t>La demanda debe inadmitirse por falta de agotamiento de los recursos en vía judicial ya que las pretensiones que se articulaban en el incidente de nulidad de actuaciones no concernían, propiamente, al vicio procesal de la incongruencia, resultando el recurso manifiestamente improcedente y no suspendiendo el cómputo del plazo para presentar el amparo (STC 245/2000) [FFJJ 2, 3].</w:t>
      </w:r>
    </w:p>
    <w:p w:rsidR="0052098F" w:rsidRDefault="0052098F" w:rsidP="0052098F">
      <w:pPr>
        <w:pStyle w:val="Extracto"/>
      </w:pPr>
    </w:p>
    <w:p w:rsidR="0052098F" w:rsidRDefault="0052098F" w:rsidP="0052098F">
      <w:pPr>
        <w:pStyle w:val="Extracto"/>
      </w:pPr>
      <w:r>
        <w:t>2.</w:t>
      </w:r>
      <w:r>
        <w:tab/>
        <w:t>La recurrente es una entidad pública que carece de legitimación en casos como el enjuiciado, ya que la eventual vulneración del art. 24.1 CE en su dimensión de derecho a obtener una resolución judicial razonable, motivada y fundada en Derecho, no constituye uno de los supuestos excepcionales enumerados en el fundamento jurídico octavo de la STC 175/2001 (SSTC 87/2004, 186/2004) [FJ 4].</w:t>
      </w:r>
    </w:p>
    <w:p w:rsidR="0052098F" w:rsidRDefault="0052098F" w:rsidP="0052098F">
      <w:pPr>
        <w:pStyle w:val="Extracto"/>
      </w:pPr>
    </w:p>
    <w:p w:rsidR="0052098F" w:rsidRDefault="0052098F" w:rsidP="0052098F">
      <w:pPr>
        <w:pStyle w:val="Extracto"/>
      </w:pPr>
      <w:r>
        <w:t>3.</w:t>
      </w:r>
      <w:r>
        <w:tab/>
        <w:t>Doctrina sobre el planteamiento de la solicitud de aclaración de Sentencia (SSTC 218/1999, 305/2006) [FJ 2].</w:t>
      </w:r>
    </w:p>
    <w:p w:rsidR="0052098F" w:rsidRDefault="0052098F" w:rsidP="0052098F">
      <w:pPr>
        <w:pStyle w:val="Extracto"/>
      </w:pPr>
    </w:p>
    <w:p w:rsidR="0052098F" w:rsidRDefault="0052098F" w:rsidP="0052098F">
      <w:pPr>
        <w:pStyle w:val="Extracto"/>
      </w:pPr>
      <w:r>
        <w:t>4.</w:t>
      </w:r>
      <w:r>
        <w:tab/>
        <w:t>Los defectos insubsanables de que pudiera estar afectado el recurso de amparo no resultan sanados porque haya sido inicialmente admitido a trámite (SSTC 228/2001, 93/2007)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lastRenderedPageBreak/>
        <w:t>SENTENCIA</w:t>
      </w:r>
    </w:p>
    <w:p w:rsidR="0052098F" w:rsidRDefault="0052098F" w:rsidP="0052098F">
      <w:pPr>
        <w:pStyle w:val="TextoNormalCentrado"/>
        <w:keepNext/>
      </w:pPr>
    </w:p>
    <w:p w:rsidR="0052098F" w:rsidRDefault="0052098F" w:rsidP="0052098F">
      <w:pPr>
        <w:pStyle w:val="TextoNormal"/>
      </w:pPr>
      <w:r>
        <w:t>En el recurso de amparo núm. 1364-2006, interpuesto por el Instituto Nacional de la Seguridad Social (INSS), representado por el Letrado de la Administración de la Seguridad Social don Alberto Llorente Álvarez, contra la Sentencia del Tribunal Superior de Justicia de Madrid, Sala de lo Social, Sección Tercera, de 31 de marzo de 2005, que estimó el recurso de suplicación núm. 6443-2004 formalizado frente a la Sentencia de 20 de septiembre de 2004 del Juzgado de lo Social núm. 8 de Madrid, dictada en autos núm. 551-2004 sobre invalidez permanente absoluta, así como contra el Auto de 9 de diciembre de 2005 de aquel mismo órgano judicial, que desestimó el incidente de nulidad de actuaciones formulado por el INSS contra la Sentencia citada, de 31 de marzo de 2005. Han intervenido doña Encarnación Luisa Fernández Pérez, representada por la Procuradora de los Tribunales doña Cristina Palma Martínez y asistida por el Letrado don Juan Martín Barato, y el Ministerio Fiscal. Ha sido Ponente el Magistrado don Jorge Rodríguez-Zapata Pérez,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10 de febrero de 2006, el Letrado de la Administración de la Seguridad Social, actuando en nombre y representación del INSS, interpuso recurso de amparo contra el Auto de 9 de diciembre de 2005 y la Sentencia de 31 de marzo de 2005 de la Sala de lo Social, Sección Tercera, del Tribunal Superior de Justicia de Madrid, dictados en el recurso de suplicación núm. 6443-2004 formalizado frente a la Sentencia de 20 de septiembre de 2004 del Juzgado de lo Social núm. 8 de Madrid.</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fundamentos de hecho de la demanda de amparo son, los siguientes: </w:t>
      </w:r>
    </w:p>
    <w:p w:rsidR="0052098F" w:rsidRDefault="0052098F" w:rsidP="0052098F">
      <w:pPr>
        <w:pStyle w:val="TextoNormal"/>
      </w:pPr>
      <w:r>
        <w:t xml:space="preserve">a) Doña Encarnación Luisa Fernández Pérez interpuso demanda en materia de Seguridad Social, solicitando la declaración de incapacidad permanente absoluta o, subsidiariamente, total para su profesión habitual. En su escrito señalaba que la base reguladora que se debía tener en cuenta para fijar la pensión era la de 698,99 euros mensuales, elevando su cuantía en el acto del juicio a 998,60 euros, dado que, según decía, ésta era “la correcta y no la que consta en la demanda”. El INSS, por su parte, la cuantificó en 823,01 euros mensuales y aportó informes de cotización en los que la base reguladora se cifraba en esa suma (folios 226 y siguientes de las actuaciones). </w:t>
      </w:r>
    </w:p>
    <w:p w:rsidR="0052098F" w:rsidRDefault="0052098F" w:rsidP="0052098F">
      <w:pPr>
        <w:pStyle w:val="TextoNormal"/>
      </w:pPr>
      <w:r>
        <w:t xml:space="preserve">b) La demanda fue desestimada por Sentencia del Juzgado de lo Social núm. 8 de Madrid, de 20 de septiembre de 2004, que razonaba que las dolencias padecidas por la actora no le impedían la realización de su trabajo, al no limitarle para la realización de actividades sedentarias o livianas de las existentes en el amplio abanico laboral ni, en particular, para las propias de su profesión de ayudante postal. Por tal motivo, absolvió al INSS de los pedimentos formulados en su contra. </w:t>
      </w:r>
    </w:p>
    <w:p w:rsidR="0052098F" w:rsidRDefault="0052098F" w:rsidP="0052098F">
      <w:pPr>
        <w:pStyle w:val="TextoNormal"/>
      </w:pPr>
      <w:r>
        <w:t xml:space="preserve">El hecho probado cuarto establecía que: “La base reguladora de la prestación de incapacidad permanente de la actora, derivada de enfermedad común asciende a 998,60 euros mensuales con fecha de efectos, si prosperase la demanda, de 09.02.2004”. </w:t>
      </w:r>
    </w:p>
    <w:p w:rsidR="0052098F" w:rsidRDefault="0052098F" w:rsidP="0052098F">
      <w:pPr>
        <w:pStyle w:val="TextoNormal"/>
      </w:pPr>
      <w:r>
        <w:t xml:space="preserve">c) Disconforme la parte actora, formuló recurso de suplicación en cuyo primer motivo, al amparo del art. 191 b) LPL, postulaba la revisión de los hechos probados a fin de que se hiciese constar cuáles eran las tareas inherentes a su profesión habitual, que debían incluir, </w:t>
      </w:r>
      <w:r>
        <w:lastRenderedPageBreak/>
        <w:t xml:space="preserve">decía, las de carga y descarga de sacas, trenes, camiones, furgones y furgonetas. En el segundo motivo del recurso, articulado con base en el art. 191 c) LPL, denunciaba la infracción de normas sustantivas, reclamando el reconocimiento de la incapacidad solicitada. Y suplicaba que se le declarase en situación de incapacidad permanente absoluta, o subsidiariamente permanente total, con abono del porcentaje correspondiente en cada caso de la base reguladora de 998,60 euros mensuales. </w:t>
      </w:r>
    </w:p>
    <w:p w:rsidR="0052098F" w:rsidRDefault="0052098F" w:rsidP="0052098F">
      <w:pPr>
        <w:pStyle w:val="TextoNormal"/>
      </w:pPr>
      <w:r>
        <w:t xml:space="preserve">El INSS presentó escrito de impugnación. En el primer motivo se oponía a la revisión fáctica solicitada. En el segundo instaba la revisión de la base reguladora que cifraba el hecho probado cuarto de la Sentencia recurrida en 998,60 euros mensuales. Argumentaba al respecto que “Ésta fue la base reguladora que aclaró [la parte actora] en el acto del juicio pero, sin aportar certificación detallada alguna. Por el contrario, esta representación sí aportó al ramo de prueba el cálculo de la citada base reguladora que asciende a 823,01 euros/mes, y, si bien en la sentencia y por error sin duda, se recoge la primera de las bases reguladoras citadas, esta parte al resultar absuelta en el procedimiento no ha tenido legitimación para formalizar Recurso de Suplicación en este sentido, ni tampoco ha podido acudir a la Aclaración, toda vez que la misma, según el artículo 267 Ley Orgánica del Poder Judicial, sólo puede formularse respecto de conceptos oscuros integrantes del Fallo de la Sentencia o, que obedezcan a errores materiales o aritméticos y, en el presente supuesto en cuanto que, como ya se dijo, resultamos absueltos y, en consecuencia no ostentamos legitimación para formalizar recurso de suplicación alguno”. </w:t>
      </w:r>
    </w:p>
    <w:p w:rsidR="0052098F" w:rsidRDefault="0052098F" w:rsidP="0052098F">
      <w:pPr>
        <w:pStyle w:val="TextoNormal"/>
      </w:pPr>
      <w:r>
        <w:t xml:space="preserve">La Sentencia de la Sala de lo Social del Tribunal Superior de Justicia de Madrid, de 31 de marzo de 2005, tras aceptar la revisión fáctica propugnada, estimó parcialmente el recurso de suplicación interpuesto por doña Encarnación Luisa Fernández Pérez en su pretensión subsidiaria (incapacidad permanente total), al considerar que, teniendo en cuenta las tareas de su profesión, sus dolencias se podían ver agravadas. Y añadía a continuación lo siguiente: </w:t>
      </w:r>
    </w:p>
    <w:p w:rsidR="0052098F" w:rsidRDefault="0052098F" w:rsidP="0052098F">
      <w:pPr>
        <w:pStyle w:val="TextoNormal"/>
      </w:pPr>
      <w:r>
        <w:t xml:space="preserve">“estando en cuanto a la base a la que consta en la sentencia habida cuenta su falta de impugnación —posible en vía de aclaración e incluso de recurso por falta de motivación o por el precedente que podría suponer— sin que sea carga del Tribunal plantearse ahora una cuestión en términos diversos a los planteados en la instancia e investigar de oficio las razones de discrepancia cuantitativa que el impugnante, al menos, debiera haber explicado. En cuanto a los efectos habrá de estarse también a la sentencia al no impugnar el mismo motivo sobre tal extremo”. </w:t>
      </w:r>
    </w:p>
    <w:p w:rsidR="0052098F" w:rsidRDefault="0052098F" w:rsidP="0052098F">
      <w:pPr>
        <w:pStyle w:val="TextoNormal"/>
      </w:pPr>
      <w:r>
        <w:t xml:space="preserve">d) El INSS planteó incidente de nulidad de actuaciones, denunciando que la Sala de lo Social había incurrido en incongruencia omisiva “en atención a la argumentación que esgrime respecto de la base reguladora en el último párrafo del fundamento de Derecho segundo” (transcrito en la letra anterior). A su juicio, la cuestión debatida en la instancia consistía en determinar si la actora se encontraba o no afecta de incapacidad permanente en el grado de absoluta o, subsidiariamente, total para su profesión habitual, en ambos casos con una base reguladora, según la demandante, de 998,6 euros/mes. Dicha cuantía fue propuesta por la actora sin presentar cálculo numérico ni documento de cotización alguno que permitieran cifrar la base reguladora en esa suma. Por el contrario, el INSS se opuso a dicha base reguladora aportando la documentación pertinente que contenía todas las bases de cotización mensuales del período temporal comprendido entre diciembre de 1995 y noviembre de 2003, según exige el art. 140 de la Ley general de la seguridad social, impugnando así la cuantía que, sin justificación, había propuesto la demandante. Esto así —concluía su escrito— se incurrió en incongruencia “ya que no se ha dado una respuesta razonada a la cuestión que esta parte planteó en el escrito de impugnación”, no tomando en consideración </w:t>
      </w:r>
      <w:r>
        <w:lastRenderedPageBreak/>
        <w:t xml:space="preserve">el órgano judicial esa alegación del escrito pese a que el INSS no tenía otro medio legal que el de ese trámite para oponerse a la base reguladora erróneamente fijada en la Sentencia de instancia. La motivación, decía, constituye un requisito ineludible de la actividad judicial “existiendo incongruencia omisiva cuando se omite todo razonamiento respecto del algún punto esencial”. </w:t>
      </w:r>
    </w:p>
    <w:p w:rsidR="0052098F" w:rsidRDefault="0052098F" w:rsidP="0052098F">
      <w:pPr>
        <w:pStyle w:val="TextoNormal"/>
      </w:pPr>
      <w:r>
        <w:t xml:space="preserve">Asimismo, se oponía el INSS al razonamiento de la Sentencia de suplicación en cuanto al cauce procesal adecuado para plantear la revisión de la base reguladora, y ello porque —decía— la vía de la aclaración no era posible (al no existir un concepto oscuro u omisión o error material o aritmético que hubiese de ser suplido, ya que el hecho probado cuarto se limitaba a consignar la base reguladora pedida por la actora), ni tampoco era factible la vía del recurso de suplicación (dado que el INSS no se encontraba legitimado para recurrir una sentencia cuyo fallo le había resultado favorable, conforme a lo dispuesto en el art. 448 LEC). </w:t>
      </w:r>
    </w:p>
    <w:p w:rsidR="0052098F" w:rsidRDefault="0052098F" w:rsidP="0052098F">
      <w:pPr>
        <w:pStyle w:val="TextoNormal"/>
      </w:pPr>
      <w:r>
        <w:t xml:space="preserve">Afirmaba, finalmente, que no podía compartir el argumento de la Sala de lo Social relativo a que las razones de la discrepancia cuantitativa no habían sido explicadas por el impugnante, ya que de la lectura del escrito de impugnación se colegía que mientras la parte actora no había aportado certificación detallada que avalase la cuantía de base reguladora propugnada, el INSS sí había incorporado al ramo de prueba su cálculo pormenorizado. No existe, pues, “motivación de sentencia ya que refleja un razonamiento viciado en cuanto que se sustenta sobre una premisa fáctica inexistente y no real por lo que desconocemos cuál haya sido el argumento lógico, racional y coherente que ha servido de sustento al pronunciamiento judicial”. </w:t>
      </w:r>
    </w:p>
    <w:p w:rsidR="0052098F" w:rsidRDefault="0052098F" w:rsidP="0052098F">
      <w:pPr>
        <w:pStyle w:val="TextoNormal"/>
      </w:pPr>
      <w:r>
        <w:t xml:space="preserve">En suma, concluía el escrito, “el incidente de nulidad se sustenta en que al no ofrecer la Sala un razonamiento lógico y coherente y basarse en un presupuesto fáctico que entendemos inexistente, consideramos que adolece la Sentencia de incongruencia omisiva por no motivación suficiente, lo que conlleva una vulneración del art. 24.1 en relación con el art. 120.3 ambos de la Constitución Española, conculcándose así el derecho a la tutela judicial efectiva y, en definitiva, produciendo un resultado de indefensión”. Solicitaba, por ello, la nulidad de la Sentencia de 31 de marzo de 2005 y el dictado de un nuevo pronunciamiento que determinase como base reguladora la de 823,01 euros mensuales. </w:t>
      </w:r>
    </w:p>
    <w:p w:rsidR="0052098F" w:rsidRDefault="0052098F" w:rsidP="0052098F">
      <w:pPr>
        <w:pStyle w:val="TextoNormal"/>
      </w:pPr>
      <w:r>
        <w:t xml:space="preserve">e) Por medio de Auto de la Sala de lo Social del Tribunal Superior de Justicia de Madrid, de 9 de diciembre de 2005, se desestimó el incidente de nulidad de actuaciones. Razona la resolución que el incidente “es manifiestamente improcedente en cuanto, a su través, se pretende plantear una cuestión como es la cuantía de la base reguladora que se cifra en 823,01 euros al mes y no, como fijó la sentencia en 998,60 euros, pese a no haber utilizado en su día el cauce procesal adecuado para hacer valer tal base”. Cauce procesal adecuado que, según la Sala de lo Social, o bien era el de la aclaración de la Sentencia —si se consideraba que existía un error subsanable o se entendía que el hecho probado cuarto no estaba motivado—, o bien venía constituido por la formalización de un recurso de suplicación por ese motivo. Por el contrario, afirma, “A tal cuestión sólo hizo referencia [el INSS] en la impugnación del recurso de modo lacónico alegando su propio cálculo de la base”. </w:t>
      </w:r>
    </w:p>
    <w:p w:rsidR="0052098F" w:rsidRDefault="0052098F" w:rsidP="0052098F">
      <w:pPr>
        <w:pStyle w:val="TextoNormal"/>
      </w:pPr>
      <w:r>
        <w:t xml:space="preserve">En definitiva, resultando que no se impugnó el hecho probado cuarto y que el recurso de suplicación es un recurso extraordinario de cognición limitada, el Tribunal no podía extender su conocimiento a cuestiones ajenas al ámbito de la impugnación procesal. De modo que el INSS, concluye el Auto de 9 de diciembre de 2005, debió haber reaccionado contra la Sentencia, esto es, “ser recurrente y no recurrido o solicitado su aclaración”, por lo que no hay indefensión (o, en su caso, ésta se habría producido por la inactividad procesal de la </w:t>
      </w:r>
      <w:r>
        <w:lastRenderedPageBreak/>
        <w:t>parte) y tampoco existe incongruencia, ya que la cuestión planteada fue objeto de consideración en la Sentencia.</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Reiterando en esencia los argumentos que formuló en el incidente de nulidad de actuaciones, aduce el INSS en su recurso de amparo la vulneración del art. 24.1 CE, denunciando que el Tribunal Superior de Justicia de Madrid no ha dado respuesta de fondo, motivada y fundada en Derecho, a todas las pretensiones formuladas en su escrito de impugnación del recurso de suplicación, en concreto al motivo segundo dirigido a fijar la base reguladora de la prestación. Situación que el recurso de amparo califica como “incongruencia omisiva por no motivación suficiente”. </w:t>
      </w:r>
    </w:p>
    <w:p w:rsidR="0052098F" w:rsidRDefault="0052098F" w:rsidP="0052098F">
      <w:pPr>
        <w:pStyle w:val="TextoNormal"/>
      </w:pPr>
      <w:r>
        <w:t xml:space="preserve">La Sentencia de suplicación, a su juicio, refleja un razonamiento viciado que se sustenta sobre una premisa fáctica inexistente y no real, desconociéndose cuál ha sido el argumento lógico, racional y coherente que ha servido de soporte al pronunciamiento judicial. Y ello es así pese a que, a diferencia de lo que hizo la parte actora, el INSS propuso como base reguladora la de 823,01 euros al mes, aportando al respecto documentación acreditativa en la que, en relación con las cotizaciones efectivamente realizadas por el interesado durante su vida laboral, se fijaba la base que correspondía al demandante. El Tribunal Superior de Justicia, sin embargo, se limitó a no acoger el motivo de impugnación entendiendo que la cuestión debió plantearse mediante la vía de la aclaración o a través del recurso procedente, medios que, en realidad, según se expuso en el proceso judicial, no resultaban aptos a tal fin. </w:t>
      </w:r>
    </w:p>
    <w:p w:rsidR="0052098F" w:rsidRDefault="0052098F" w:rsidP="0052098F">
      <w:pPr>
        <w:pStyle w:val="TextoNormal"/>
      </w:pPr>
      <w:r>
        <w:t>Por todo ello, solicita de este Tribunal la anulación de la Sentencia de 31 de marzo de 2005 y del Auto de 9 de diciembre de 2005 de la Sala de lo Social del Tribunal Superior de Justicia de Madrid, dictados en el recurso de suplicación núm. 6443-2004 formalizado frente a la Sentencia de 20 de septiembre de 2004 del Juzgado de lo Social núm. 8 de Madrid, por la vulneración del derecho fundamental a la tutela judicial efectiva (art. 24.1 CE).</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25 de mayo de 2007, la Sección Segunda de este Tribunal acordó admitir a trámite el recurso de amparo, y a tenor de lo dispuesto en el art. 51 LOTC requerir atentamente al Juzgado de lo Social núm. 8 de Madrid y a la Sala de lo Social, Sección Tercera, del Tribunal Superior de Justicia de Madrid la remisión del testimonio de las actuaciones, interesándose al propio tiempo del Juzgado de lo Social que emplazara a quienes fueron parte en el procedimiento, con excepción del recurrente en amparo, para que en el plazo de diez días pudiesen comparecer en este proceso constitucional, con traslado a dichos efectos de copia de la demanda presentada.</w:t>
      </w:r>
    </w:p>
    <w:p w:rsidR="0052098F" w:rsidRDefault="0052098F" w:rsidP="0052098F">
      <w:pPr>
        <w:pStyle w:val="TextoNormal"/>
      </w:pPr>
    </w:p>
    <w:p w:rsidR="0052098F" w:rsidRDefault="0052098F" w:rsidP="0052098F">
      <w:pPr>
        <w:pStyle w:val="TextoNormal"/>
      </w:pPr>
      <w:r w:rsidRPr="0052098F">
        <w:rPr>
          <w:rStyle w:val="NumeroAFNegritaCaracter"/>
        </w:rPr>
        <w:t>5</w:t>
      </w:r>
      <w:r>
        <w:t>. El día 26 de junio de 2007 tuvo entrada en el Registro General de este Tribunal escrito de la Procuradora de los Tribunales doña Cristina Palma Martínez, actuando en representación de doña Encarnación Luisa Fernández Pérez, en el que solicitaba que se le tuviera por personada en este procedimiento de amparo. La posterior diligencia de ordenación, de 13 de julio de 2007, acordó en el sentido solicitado y tuvo por recibidos los testimonios de las actuaciones remitidos por el Juzgado de lo Social núm. 8 de Madrid y la Sección Tercera de la Sala de lo Social del Tribunal Superior de Justicia de Madrid. Asimismo, a tenor de lo dispuesto en el art. 52 de la Ley Orgánica del Tribunal Constitucional, concedió un plazo de veinte días a las partes personadas y al Ministerio Fiscal para que presentaran las alegaciones que estimaran pertinentes.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6</w:t>
      </w:r>
      <w:r>
        <w:t>. En escrito registrado en este Tribunal con fecha de 26 de julio de 2007, el INSS se ratificó en el escrito de su demanda de amparo.</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La representación procesal de doña Encarnación Luisa Fernández Pérez evacuó el trámite de alegaciones el día 19 de septiembre de 2007. </w:t>
      </w:r>
    </w:p>
    <w:p w:rsidR="0052098F" w:rsidRDefault="0052098F" w:rsidP="0052098F">
      <w:pPr>
        <w:pStyle w:val="TextoNormal"/>
      </w:pPr>
      <w:r>
        <w:t xml:space="preserve">Aduce que, en contra de lo que el INSS afirma, en el acto de la vista la Letrada de la Seguridad Social se limitó a señalar que la cuantía de la base reguladora que en su caso correspondería aplicar a la recurrente era la de 823,01 euros mensuales, sin que en ningún momento facilitara ningún tipo de cálculo matemático donde estuvieran desglosadas las operaciones aritméticas de las que se concluyera que, efectivamente, aquélla era la base reguladora que el Juzgado debía considerar y no la cantidad de 998,60 alegada por la parte demandante en el proceso judicial. Así se constata, afirma, en el acta del juicio. Consecuentemente, no se ha limitado el derecho fundamental de defensa de la recurrente, pues ambas partes formularon sus defensas en términos de estricta igualdad. Lo que pretende el INSS es, por tanto, que se supla su falta de actividad probatoria, imponiendo al juzgador la carga de efectuar las correspondientes operaciones aritméticas para comprobar la veracidad de la simple afirmación verbal de la Letrada de la Administración de la Seguridad Social. </w:t>
      </w:r>
    </w:p>
    <w:p w:rsidR="0052098F" w:rsidRDefault="0052098F" w:rsidP="0052098F">
      <w:pPr>
        <w:pStyle w:val="TextoNormal"/>
      </w:pPr>
      <w:r>
        <w:t xml:space="preserve">Por otra parte, prosigue el escrito, el INSS debió recurrir ad cautelam la cuantía de la base reguladora fijada en la Sentencia de instancia, dado que tenía un interés legítimo en atención a las posibilidades de éxito del posible recurso de contrario. Y pudo hacerlo bien por el trámite de aclaración de sentencia, o bien por el cauce previsto para la rectificación de errores aritméticos, ya que, si bien en principio puede parecer que no es tal la filosofía que impregna la Ley Orgánica del Poder Judicial, así como la de la Ley de Enjuiciamiento Civil, una vez acreditado el indicado interés legítimo ante la posibilidad del recurso que de adverso les pudiera ser planteado no existía obstáculo procesal que impidiera a dicha Administración recurrir la cuantía por uno de los dos cauces indicados. Por lo demás, añade finalmente, si la Sala de lo Social del Tribunal Superior de Justicia de Madrid hubiera modificado los hechos probados habría causado indefensión material a la Sra. Fernández Pérez. </w:t>
      </w:r>
    </w:p>
    <w:p w:rsidR="0052098F" w:rsidRDefault="0052098F" w:rsidP="0052098F">
      <w:pPr>
        <w:pStyle w:val="TextoNormal"/>
      </w:pPr>
      <w:r>
        <w:t>Solicita, por todo ello, que se dicte Sentencia inadmitiendo (sic) el recurso o, subsidiariamente, denegando el amparo.</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Ministerio Fiscal presentó su escrito de alegaciones el día 25 de septiembre de 2007. En opinión del Fiscal, la Sentencia ahora impugnada no contiene omisión alguna, resultando evidente que da respuesta al segundo de los motivos del escrito de impugnación del INSS cuando éste pide que se corrija la determinación de la cuantía de la base reguladora. Cuestión distinta es que el pronunciamiento consista en la decisión de no resolver sobre lo pretendido al existir un óbice procesal (empleo de un cauce procesal inadecuado), ya que la Sentencia del Tribunal Superior de Justicia indica al INSS la procedencia de la utilización de otras vías distintas a la impugnación del recurso de suplicación interpuesto por la trabajadora. Es esta remisión la que el organismo demandante no comparte, considerando que tal respuesta judicial constituye una incongruencia omisiva. </w:t>
      </w:r>
    </w:p>
    <w:p w:rsidR="0052098F" w:rsidRDefault="0052098F" w:rsidP="0052098F">
      <w:pPr>
        <w:pStyle w:val="TextoNormal"/>
      </w:pPr>
      <w:r>
        <w:t xml:space="preserve">A juicio del Fiscal, atendiendo a la jurisprudencia constitucional, el estrecho cauce que representa el extraordinario recurso de suplicación no permitía en modo alguno que mediante la impugnación del recurso de tal naturaleza, deducido de contrario, pudiere modificarse un hecho probado declarado como tal en la Sentencia de instancia. Esto así, la decisión desestimatoria de la Sala de lo Social a tal respecto no puede juzgarse como negadora del derecho a la tutela judicial efectiva del artículo 24.1 CE. Por el contrario, sí era posible </w:t>
      </w:r>
      <w:r>
        <w:lastRenderedPageBreak/>
        <w:t xml:space="preserve">canalizar esa pretensión con un recurso de suplicación formalizado por el propio INSS, puesto que la determinación de la cuantía de la base reguladora no sólo tenía relevancia en la esfera procesal -como efectivamente ha acontecido en el proceso subyacente al estimarse el recurso de suplicación-, sino que además proyectaba su eficacia al ámbito extraprocesal, en tanto que tal declaración, contenida en una resolución judicial, se erigía en elemento que podía ser invocado por la trabajadora en cualquier hipotética reclamación que en el futuro quisiere dirigir al organismo ahora recurrente. El perjuicio para el INSS resultaría así de una claridad meridiana, y por ello cabe hablar de una cierta pasividad, negligencia o impericia en la conducta procesal de la entidad demandante, pues no resultaba improcedente la directa interposición de un recurso de suplicación. </w:t>
      </w:r>
    </w:p>
    <w:p w:rsidR="0052098F" w:rsidRDefault="0052098F" w:rsidP="0052098F">
      <w:pPr>
        <w:pStyle w:val="TextoNormal"/>
      </w:pPr>
      <w:r>
        <w:t>Con base en todo ello, el Fiscal interesa la desestimación del recurso de amparo, habida cuenta que el rechazo de la pretensión planteada en el escrito de impugnación no constituye una vulneración del derecho a la tutela judicial efectiva del artículo 24.1 CE sino la razonada denegación de una petición defectuosamente planteada a través de una vía procesal sobre cuyos requisitos le es dado pronunciarse al órgano judicial.</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28 de enero de 2008, se señaló para deliberación y votación de la presente Sentencia el día 31 del mismo mes y año, trámite que ha finalizado en el día de hoy.</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recurso de amparo impugna la Sentencia de la Sala de lo Social del Tribunal Superior de Justicia de Madrid, de 31 de marzo de 2005, dictada en el recurso de suplicación núm. 6443-2004, y el Auto del mismo órgano judicial de 9 de diciembre de 2005, desestimatorio del incidente de nulidad de actuaciones planteado contra aquélla por el Instituto Nacional de la Seguridad Social (INSS). La Sentencia de suplicación estimó parcialmente el recurso formalizado por doña Encarnación Luisa Fernández Pérez y revocó la resolución de instancia, del Juzgado de lo Social núm. 8 de Madrid, de 20 de septiembre de 2004, estimando en parte la demanda rectora del proceso y declarando a la actora en situación de incapacidad permanente total para su profesión habitual, por enfermedad común, con derecho a pensión en cuantía inicial del 55 por 100 de la base reguladora mensual de 998,60 euros, incrementada en un 20 por 100 durante los periodos de inactividad, con efectos de 9 de febrero de 2004, condenando al INSS a abonársela con las revalorizaciones de aplicación.</w:t>
      </w:r>
    </w:p>
    <w:p w:rsidR="0052098F" w:rsidRDefault="0052098F" w:rsidP="0052098F">
      <w:pPr>
        <w:pStyle w:val="TextoNormal"/>
      </w:pPr>
      <w:r>
        <w:t>El debate procesal versó, en lo que afecta al presente recurso de amparo, sobre la cuantía de la base reguladora de la pensión. Entiende el INSS, demandante de amparo, que justificó en el proceso que su cuantía era menor que la fijada por el juzgador a quo en el hecho probado cuarto de su Sentencia de 20 de septiembre de 2004, en el que estableció la suma solicitada por la parte actora, y que así lo hizo constar en su escrito de contrarrecurso al de suplicación de doña Encarnación Luisa Fernández Pérez, desatendiendo sus alegaciones la Sala de lo Social del Tribunal Superior de Justicia de Madrid pese a que en ellas se acreditaba el error en la cuantía de la base, por lo que el órgano judicial vulneró el derecho a la tutela judicial efectiva (art.  24.1 CE).</w:t>
      </w:r>
    </w:p>
    <w:p w:rsidR="0052098F" w:rsidRDefault="0052098F" w:rsidP="0052098F">
      <w:pPr>
        <w:pStyle w:val="TextoNormal"/>
      </w:pPr>
      <w:r>
        <w:t xml:space="preserve">El Tribunal Superior de Justicia, en definitiva, causó la lesión del derecho fundamental al no dar una respuesta de fondo a la impugnación, limitándose a afirmar que la misma debió haber sido articulada en aclaración de Sentencia o a través del recurso procedente directamente formulado por el INSS, aun cuando éste había sido absuelto en instancia. Medios de </w:t>
      </w:r>
      <w:r>
        <w:lastRenderedPageBreak/>
        <w:t>reacción procesal que, por lo demás, en contra de lo mantenido por el citado órgano judicial, no resultaban aptos a tal fin o eran inexigibles.  Todo ello revela la falta de una respuesta motivada y fundada en Derecho a lo planteado en el escrito de impugnación al recurso de suplicación, o lo que el recurso de amparo califica como “incongruencia omisiva por no motivación suficiente”, habiéndose fundado la Sentencia recurrida en un razonamiento viciado que se sustenta sobre una premisa fáctica inexistente y no real, desconociéndose cuál ha sido el argumento lógico, racional y coherente que ha servido de soporte al pronunciamiento judicial, puesto que, a diferencia de lo que hizo apodícticamente la parte actora en el proceso, el INSS propuso como base reguladora la de 823,01 euros al mes, aportando al respecto documentación acreditativa de las cotizaciones efectivamente realizadas por el interesado durante su vida laboral.</w:t>
      </w:r>
    </w:p>
    <w:p w:rsidR="0052098F" w:rsidRDefault="0052098F" w:rsidP="0052098F">
      <w:pPr>
        <w:pStyle w:val="TextoNormal"/>
      </w:pPr>
      <w:r>
        <w:t>Tanto la compareciente doña Encarnación Luisa Fernández Pérez como el Ministerio Fiscal se oponen al otorgamiento del amparo, conforme a las alegaciones recogidas con detalle en el apartado de antecedentes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Con carácter previo procede examinar si concurren las objeciones de carácter procesal que se plantean en el presente caso, y que, de ser apreciables, determinarían la inadmisión del recurso en esta fase, pues, como es sabido, los defectos insubsanables de que pudiera estar afectado no resultan sanados porque haya sido inicialmente admitido a trámite (SSTC 228/2001, de 26 de noviembre, FJ 2; 18/2002, de 28 de enero, FJ 3; 213/2003, de 1 de diciembre, FJ 2; 106/2005, de 9 de mayo, FJ 2, 17/2006, de 30 de enero, FJ 2, y 93/2007, de 7 de mayo, FJ 3, entre otras).</w:t>
      </w:r>
    </w:p>
    <w:p w:rsidR="0052098F" w:rsidRDefault="0052098F" w:rsidP="0052098F">
      <w:pPr>
        <w:pStyle w:val="TextoNormal"/>
      </w:pPr>
      <w:r>
        <w:t>Vista la reiteración con la que el Tribunal Superior de Justicia de Madrid opone al INSS lo no utilización de determinados cauces de reacción procesal frente a la decisión de cuantificación de la base reguladora adoptada por el juzgador a quo en el hecho probado cuarto de su Sentencia, debemos enjuiciar, en primer lugar, si procede declarar la inadmisibilidad de la demanda de amparo por falta de agotamiento de la vía judicial [art. 44.1 a) LOTC] por no haberse empleado aquellos remedios y recursos a los que aluden las resoluciones impugnadas en amparo, señaladamente la aclaración de Sentencia o la formalización directa por parte el INSS, como recurrente, de un recurso de suplicación contra la Sentencia del Juzgado de lo Social núm. 8 de Madrid, de 20 de septiembre de 2004.</w:t>
      </w:r>
    </w:p>
    <w:p w:rsidR="0052098F" w:rsidRDefault="0052098F" w:rsidP="0052098F">
      <w:pPr>
        <w:pStyle w:val="TextoNormal"/>
      </w:pPr>
      <w:r>
        <w:t>En lo que aquí particularmente interesa, hemos declarado respecto de la aclaración de Sentencia que no puede utilizarse como remedio de la falta de fundamentación jurídica, ni tampoco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(por todas, SSTC 218/1999, de 29 de noviembre, FJ 3, y 305/2006, de 23 de octubre, FJ 5).</w:t>
      </w:r>
    </w:p>
    <w:p w:rsidR="0052098F" w:rsidRDefault="0052098F" w:rsidP="0052098F">
      <w:pPr>
        <w:pStyle w:val="TextoNormal"/>
      </w:pPr>
      <w:r>
        <w:t xml:space="preserve">Así delimitado su objeto, en efecto, no se entiende cómo podría considerarse imprescindible el empleo de ese remedio procesal frente a la Sentencia de instancia dictada en los autos de los que trae origen este recurso de amparo. Como afirma con razón la entidad gestora recurrente, el juzgador a quo acogió la cuantía de la base reguladora solicitada por la parte actora, haciéndola constar en los hechos probados para su aplicación caso de que prosperarse la demanda, de modo que, aceptada la cuantificación de la base propuesta por aquélla, podía entenderse juiciosamente por la parte demandada que nada había que aclarar, ningún error material que subsanar o rectificación que realizar, sin perjuicio de que la suma </w:t>
      </w:r>
      <w:r>
        <w:lastRenderedPageBreak/>
        <w:t>establecida fuera o no la correcta en Derecho en atención a la normativa que rige su determinación.</w:t>
      </w:r>
    </w:p>
    <w:p w:rsidR="0052098F" w:rsidRDefault="0052098F" w:rsidP="0052098F">
      <w:pPr>
        <w:pStyle w:val="TextoNormal"/>
      </w:pPr>
      <w:r>
        <w:t>Tampoco era exigible al INSS la formalización de su propio recurso de suplicación. La STC 209/2005, de 18 de julio, FJ 4, y más recientemente la STC 4/2006, de 16 de enero, FJ 2, disponen que en los supuestos en que se obtiene un fallo favorable en instancia no es obligatoria la interposición directa de un recurso de suplicación, no sólo porque no puede imponerse a quien obtiene una Sentencia favorable a sus intereses “la carga de anticiparse a la decisión que puede adoptar la parte condenada acerca de si recurre esa Sentencia o si se aquieta al fallo”, sino porque en general y salvo algunas excepciones la jurisprudencia del orden social viene manteniendo que carece de legitimación para recurrir en suplicación quien obtuvo Sentencia favorable, al faltar en este caso interés para recurrir. Y habiendo obtenido el INSS una Sentencia en instancia con un fallo totalmente favorable a sus pretensiones, resultaba ciertamente discutible apreciar la concurrencia de un gravamen procesal o perjuicio efectivo derivado de la existencia de un hecho erróneo que en ese momento no le era lesivo, por lo que imponerle la carga de recurrir suponía una exigencia desproporcionada (STC 196/2003, de 27 de octubre, FJ 8). Para que fuera de otro modo, la necesidad de recurrir en suplicación en supuestos como el que nos ocupa tendría que afirmarse de forma indubitada en la norma o en la jurisprudencia, lo que no sucede (STC 227/2002, de 9 de diciembre, FJ 4).</w:t>
      </w:r>
    </w:p>
    <w:p w:rsidR="0052098F" w:rsidRDefault="0052098F" w:rsidP="0052098F">
      <w:pPr>
        <w:pStyle w:val="TextoNormal"/>
      </w:pPr>
    </w:p>
    <w:p w:rsidR="0052098F" w:rsidRDefault="0052098F" w:rsidP="0052098F">
      <w:pPr>
        <w:pStyle w:val="TextoNormal"/>
      </w:pPr>
      <w:r w:rsidRPr="0052098F">
        <w:rPr>
          <w:rStyle w:val="NumeroAFNegritaCaracter"/>
        </w:rPr>
        <w:t>3</w:t>
      </w:r>
      <w:r>
        <w:t>. El Auto de 9 de diciembre de 2005 declara textualmente que el incidente de nulidad de actuaciones planteado por la entidad gestora es manifiestamente improcedente. Esa circunstancia podría conllevar, de forma derivada, la extemporaneidad del recurso de amparo por un alargamiento indebido de la vía judicial previa, pues, de ser correcta tal conclusión sobre la inadecuación procesal del remedio empleado, la interposición del mismo habría ocasionado en este caso una prolongación artificial del plazo de caducidad de veinte días legalmente establecido para la formulación de la demanda de amparo. Que la utilización de un recurso manifiestamente improcedente, si afecta al plazo de caducidad del art. 44.2 LOTC, determina la extemporaneidad de la demanda es un extremo reiteradamente sentado por nuestra jurisprudencia (por todas, STC 161/2007, de 2 de julio, FJ 3).</w:t>
      </w:r>
    </w:p>
    <w:p w:rsidR="0052098F" w:rsidRDefault="0052098F" w:rsidP="0052098F">
      <w:pPr>
        <w:pStyle w:val="TextoNormal"/>
      </w:pPr>
      <w:r>
        <w:t>Ciertamente, la armonización del principio de seguridad jurídica con el derecho a la tutela judicial efectiva sin indefensión (art. 24.1 CE) exige una aplicación restrictiva del concepto de “recursos improcedentes”, considerándose como tales sólo aquellos “cuya improcedencia derive de forma evidente del propio texto legal, sin dudas interpretativas que sea necesario despejar por medio de criterios hermenéuticos no absolutamente discutibles” (por ejemplo, STC 6/2007, de 15 de enero).  Sin embargo, como expondremos seguidamente, la declaración contenida en el Auto de 9 de diciembre de 2005 sobre la manifiesta improcedencia del incidente encuentra fundamento en esta ocasión en la regulación legal de ese remedio procesal, dado que éste, en la versión legal entonces aplicable —cuyo régimen jurídico contemplaba el art. 241 de la Ley Orgánica del Poder Judicial (LOPJ) tras la modificación llevada a cabo por la Ley Orgánica 19/2003, de 23 de diciembre, sólo modificado en un momento posterior, tras la entrada en vigor de la reciente Ley Orgánica 6/2007, de 24 de mayo, de reforma de la Ley Orgánica del Tribunal Constitucional—, no se configuraba como un remedio a utilizar obligatoriamente y en todo caso para poder acudir ante este Tribunal Constitucional, sino que estaba únicamente indicado para la denuncia de una vulneración de derechos consagrados en el art. 24 CE que tuviera su origen en un defecto de forma causante de indefensión o en el vicio de incongruencia.</w:t>
      </w:r>
    </w:p>
    <w:p w:rsidR="0052098F" w:rsidRDefault="0052098F" w:rsidP="0052098F">
      <w:pPr>
        <w:pStyle w:val="TextoNormal"/>
      </w:pPr>
      <w:r>
        <w:lastRenderedPageBreak/>
        <w:t>Siendo así, será decisivo resaltar que en el incidente el INSS definía la pretendida incongruencia por referencia a una motivación insuficiente o deficiente de la respuesta judicial recibida. En efecto, cuando imputaba a la Sala de lo Social del Tribunal Superior de Justicia de Madrid haber incurrido en incongruencia omisiva en su pronunciamiento de suplicación lo fundamentaba en que no existía “motivación de sentencia ya que refleja un razonamiento viciado en cuanto que se sustenta sobre una premisa fáctica inexistente y no real por lo que desconocemos cuál haya sido el argumento lógico, racional y coherente que ha servido de sustento al pronunciamiento judicial”, añadiendo que “el incidente de nulidad se sustenta en que al no ofrecer la Sala un razonamiento lógico y coherente y basarse en un presupuesto fáctico que entendemos inexistente, consideramos que adolece la Sentencia de incongruencia omisiva por no motivación suficiente”.</w:t>
      </w:r>
    </w:p>
    <w:p w:rsidR="0052098F" w:rsidRDefault="0052098F" w:rsidP="0052098F">
      <w:pPr>
        <w:pStyle w:val="TextoNormal"/>
      </w:pPr>
      <w:r>
        <w:t>Pues bien, en línea con el propio planteamiento de la parte recurrente y como con acierto afirma el Fiscal, constatamos efectivamente que la Sentencia de suplicación no incurrió en omisión de pronunciamiento, resultando evidente que dio respuesta al segundo de los motivos del escrito de impugnación del INSS cuando éste pedía una corrección de la determinación de la cuantía de la base reguladora. Cuestión distinta es que el pronunciamiento consistiera en la decisión de no abordar el fondo de tal pretensión al concurrir, a juicio de la Sala de lo Social, objeciones procesales (tanto por el empleo de un cauce procesal inadecuado, como por la formalización defectuosa de la impugnación, al no haberse explicado o fundamentado debidamente en el escrito del INSS la petición de revisión fáctica relativa a la cuantía de la base reguladora). La respuesta, en efecto, se encuentra en el fundamento de Derecho segundo in fine de la Sentencia de la Sala de lo Social del Tribunal Superior de Justicia de Madrid, de 31 de marzo de 2005, que en cuanto a la base reguladora razonaba que debía estarse a la fijada en la Sentencia de instancia, “habida cuenta su falta de impugnación —posible en vía de aclaración e incluso de recurso por falta de motivación o por el precedente que podría suponer— sin que sea carga del Tribunal plantearse ahora una cuestión en términos diversos a los planteados en la instancia e investigar de oficio las razones de discrepancia cuantitativa que el impugnante, al menos, debiera haber explicado“.</w:t>
      </w:r>
    </w:p>
    <w:p w:rsidR="0052098F" w:rsidRDefault="0052098F" w:rsidP="0052098F">
      <w:pPr>
        <w:pStyle w:val="TextoNormal"/>
      </w:pPr>
      <w:r>
        <w:t>En consecuencia, las pretensiones que se articulaban en el incidente de nulidad de actuaciones no concernían, propiamente, al vicio procesal de la incongruencia. Aunque nominalmente se invocara por el INSS esa dimensión del derecho fundamental del art.  24.1 CE (en ese sentido, STC 237/2006, de 17 de julio, FJ 4), tanto la existencia expresa de respuesta judicial (fundamento de Derecho segundo de la Sentencia de suplicación, de 31 de marzo de 2005) como la propia razón para pedir o causa petendi en la que descansaba la solicitud de nulidad (que residía en una pretendida defectuosa motivación de dicha resolución, señaladamente por estar fundada en un error en las premisas fácticas), situaban la cuestión extramuros del derecho a la congruencia de las resoluciones judiciales, ubicándola en cambio en el derecho a la motivación de las mismas. Queja que, por consiguiente, no podía canalizarse a través del art. 241 LOPJ al no estar contemplado el remedio en él previsto, en la regulación aplicable al caso, como un instrumento procesal paliativo de sentencias inmotivadas (por todas, STC 140/2006, de 8 de mayo, FJ 2).</w:t>
      </w:r>
    </w:p>
    <w:p w:rsidR="0052098F" w:rsidRDefault="0052098F" w:rsidP="0052098F">
      <w:pPr>
        <w:pStyle w:val="TextoNormal"/>
      </w:pPr>
      <w:r>
        <w:t xml:space="preserve">Esa circunstancia confirma la manifiesta improcedencia del incidente declarada por el Auto que cerró el proceso judicial. Y como quiera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la fecha en que ha de iniciarse el cómputo del referido plazo es aquélla en la que al INSS se le notificó la Sentencia de 31 de marzo de 2005, sin que pueda tomarse </w:t>
      </w:r>
      <w:r>
        <w:lastRenderedPageBreak/>
        <w:t>en consideración el incidente de nulidad de actuaciones notoriamente inadecuado que interpuso con posterioridad (STC 245/2000, de 16 de octubre, FJ 2, y las numerosas allí citadas), lo que nos obliga a declarar la extemporaneidad de la demanda de amparo, de acuerdo con lo establecido en los arts. 44.2 y 50.1 a) LOTC, pues entre la fecha de la notificación de la Sentencia mencionada y la fecha de presentación de la demanda de amparo transcurrieron varios meses, excediéndose así los veinte días de plazo legal de caducidad para la interposición del recurso de amparo.</w:t>
      </w:r>
    </w:p>
    <w:p w:rsidR="0052098F" w:rsidRDefault="0052098F" w:rsidP="0052098F">
      <w:pPr>
        <w:pStyle w:val="TextoNormal"/>
      </w:pPr>
    </w:p>
    <w:p w:rsidR="0052098F" w:rsidRDefault="0052098F" w:rsidP="0052098F">
      <w:pPr>
        <w:pStyle w:val="TextoNormal"/>
      </w:pPr>
      <w:r w:rsidRPr="0052098F">
        <w:rPr>
          <w:rStyle w:val="NumeroAFNegritaCaracter"/>
        </w:rPr>
        <w:t>4</w:t>
      </w:r>
      <w:r>
        <w:t>. A idéntica conclusión de inadmisibilidad del recurso de amparo se llega por otra razón adicional. Será de interés ponerla de relieve para atender también a la doctrina constitucional sentada en la STC 175/2001, de 26 de julio, del Pleno de este Tribunal, a través de la invocación de dimensiones de la tutela judicial efectiva que no estén en un determinado caso efectivamente comprometidas. En ese propósito hemos de examinar la cuestión referida a la posible falta de legitimación del Instituto Nacional de la Seguridad Social (INSS) para interponer la demanda de amparo, dado que, como destacara nuestra STC 250/2005, de 10 de octubre, FJ 3, se trata de una entidad jurídico-pública a la que le resulta aplicable la doctrina de este Tribunal contenida esencialmente en aquella Sentencia de referencia —STC 175/2001, de 26 de julio.</w:t>
      </w:r>
    </w:p>
    <w:p w:rsidR="0052098F" w:rsidRDefault="0052098F" w:rsidP="0052098F">
      <w:pPr>
        <w:pStyle w:val="TextoNormal"/>
      </w:pPr>
      <w:r>
        <w:t>Pues bien, hemos tenido ocasión de señalar el carácter extraordinario del recurso de amparo constitucional cuando su actor es un sujeto público. Sólo excepcionalmente y en ámbitos procesales muy delimitados —que especifica por todos aquel pronunciamiento del Pleno de este Tribunal Constitucional— podemos admitir que las personas públicas disfrutan del derecho fundamental a la tutela judicial efectiva (art. 24.1 CE), y con ello del recurso de amparo ante este Tribunal. En el presente caso, según se ha expuesto, se formula la demanda de amparo contra la respuesta recibida en el fundamento de Derecho segundo in fine de la Sentencia de suplicación, de 31 de marzo de 2005, en lo relativo a la determinación de la base reguladora, denunciándose que el pronunciamiento judicial lesiona el art. 24.1 CE porque no entra en el fondo de la cuestión planteada y se limita a indicar que eran otros los cauces procesales adecuados para revisar la cuantificación realizada en el hecho probado cuarto de la Sentencia del Juzgado de lo Social núm. 8 de Madrid, de 20 de septiembre de 2004. Sentada esa premisa (que, como vimos, encuadra la queja en el derecho a la motivación de las resoluciones judiciales, a pesar de la invocación formal del derecho a la congruencia) la conclusión que inmediatamente se impone es que la misma no puede ser objeto de amparo por ser la recurrente una entidad pública que carece de legitimación en casos como el enjuiciado. En efecto, la eventual vulneración del art. 24.1 CE en su dimensión de derecho a obtener una resolución judicial razonable, motivada y fundada en Derecho, no constituye uno de los supuestos excepcionales enumerados en el fundamento jurídico octavo de la STC 175/2001, de 26 de julio (en ese sentido, AATC 194/2004, de 26 de mayo, FJ 2; 186/2004, de 25 de mayo, FJ 3; 155/2004 de 3 de mayo, FJ 3; 143/2004 a 150/2004, todos ellos de 27 de abril, FFJJ 3; 119/2004, de 19 de abril, FJ 3; 118/2004, de 19 de abril, FJ 3; 105/2004 a 116/2004, todos de 19 de abril, FFJJ 3; y 87/2004, de 22 de marzo, FJ 3).</w:t>
      </w:r>
    </w:p>
    <w:p w:rsidR="0052098F" w:rsidRDefault="0052098F" w:rsidP="0052098F">
      <w:pPr>
        <w:pStyle w:val="TextoNormal"/>
      </w:pPr>
      <w:r>
        <w:t xml:space="preserve">Frente a ello, arguye el INSS que el presente supuesto sí se incardina en las excepciones contenidas en la STC 175/2001, de 26 de julio, toda vez que en el procedimiento judicial la Administración participaba en situación de igualdad con los particulares y que las argumentaciones evasivas de las resoluciones impugnadas le situaron en posición de indefensión, al privarle del debate sobre el fondo del asunto sin que tuviera posibilidad de acudir a ningún otro remedio procesal para hacer valer su pretensión.  Sin embargo, no podemos aceptar aquella primera premisa, pues el proceso judicial, en el propósito de reconocer o denegar el </w:t>
      </w:r>
      <w:r>
        <w:lastRenderedPageBreak/>
        <w:t>derecho reclamado, tenía como objeto directo el examen de la decisión adoptada por la Administración de la Seguridad Social en un expediente administrativo de incapacidad permanente. Por otra parte, tampoco puede obviarse que (fuera o no correcta en Derecho la determinación de la base reguladora) lo que se cuestiona es la motivación de la respuesta recibida en ese punto en el grado jurisdiccional de suplicación, y que esa vertiente del derecho fundamental queda excluida del amparo por las razones antes enunciadas. En ese mismo sentido, incluso si atendiéramos a la discrepancia que late en último término en la queja del INSS (a saber: la incorrección de la base reguladora fijada en el proceso), nos situaríamos de nuevo en los terrenos de la motivación judicial, con idéntico resultado.</w:t>
      </w:r>
    </w:p>
    <w:p w:rsidR="0052098F" w:rsidRDefault="0052098F" w:rsidP="0052098F">
      <w:pPr>
        <w:pStyle w:val="TextoNormal"/>
      </w:pPr>
      <w:r>
        <w:t>Por todo lo expuesto, no cabe sino declarar la inadmisibilidad del recurso.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Inadmitir el recurso de amparo promovido por el Instituto Nacional de la Seguridad Social.</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3" w:name="SENTENCIA_2008_20"/>
      <w:r>
        <w:lastRenderedPageBreak/>
        <w:t>SENTENCIA 20/2008, de 31 de enero de 2008</w:t>
      </w:r>
    </w:p>
    <w:bookmarkEnd w:id="23"/>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ECLI:ES:TC:2008:20</w:t>
      </w:r>
    </w:p>
    <w:p w:rsidR="0052098F" w:rsidRDefault="0052098F" w:rsidP="0052098F">
      <w:pPr>
        <w:pStyle w:val="SntesisDescriptiva"/>
      </w:pPr>
    </w:p>
    <w:p w:rsidR="0052098F" w:rsidRDefault="0052098F" w:rsidP="0052098F">
      <w:pPr>
        <w:pStyle w:val="SntesisDescriptiva"/>
      </w:pPr>
      <w:r>
        <w:t>Recurso de amparo 5590-2006. Promovido por don Francisco Javier Tomás Puchol contra las Cortes Valencianas respecto a varias resoluciones sobre derechos y deberes de los Diputados que se incorporan al Grupo Mixto una vez iniciada la legislatura y la inadmisión a trámite de varias proposiciones no de Ley.</w:t>
      </w:r>
    </w:p>
    <w:p w:rsidR="0052098F" w:rsidRDefault="0052098F" w:rsidP="0052098F">
      <w:pPr>
        <w:pStyle w:val="SntesisDescriptiva"/>
      </w:pPr>
    </w:p>
    <w:p w:rsidR="0052098F" w:rsidRDefault="0052098F" w:rsidP="0052098F">
      <w:pPr>
        <w:pStyle w:val="SntesisAnaltica"/>
      </w:pPr>
      <w:r>
        <w:t>Alegada vulneración del derecho al ejercicio del cargo parlamentario: recurso de amparo defectuoso por extemporáneo y por no haber agotado los recursos en vía parlamentaria.</w:t>
      </w:r>
    </w:p>
    <w:p w:rsidR="0052098F" w:rsidRDefault="0052098F" w:rsidP="0052098F">
      <w:pPr>
        <w:pStyle w:val="SntesisAnaltica"/>
      </w:pPr>
    </w:p>
    <w:p w:rsidR="0052098F" w:rsidRDefault="0052098F" w:rsidP="0052098F">
      <w:pPr>
        <w:pStyle w:val="Extracto"/>
      </w:pPr>
      <w:r>
        <w:t>1.</w:t>
      </w:r>
      <w:r>
        <w:tab/>
        <w:t>Las impugnación directa de la Resolución 5/VI de la Presidencia de las Cortes Valencianas es extemporánea, al haber transcurrido con creces el plazo de tres meses que para interponer las demandas de amparo establece el art. 42 LOTC [FJ 3].</w:t>
      </w:r>
    </w:p>
    <w:p w:rsidR="0052098F" w:rsidRDefault="0052098F" w:rsidP="0052098F">
      <w:pPr>
        <w:pStyle w:val="Extracto"/>
      </w:pPr>
    </w:p>
    <w:p w:rsidR="0052098F" w:rsidRDefault="0052098F" w:rsidP="0052098F">
      <w:pPr>
        <w:pStyle w:val="Extracto"/>
      </w:pPr>
      <w:r>
        <w:t>2.</w:t>
      </w:r>
      <w:r>
        <w:tab/>
        <w:t>El recurso de amparo deviene inadmisible con respecto a los Acuerdos que califican e inadmiten determinados actos de parlamentarios, ya que cabía la solicitud de reposición de conformidad con el art. 27.2 del Reglamento de las Cortes Valencianas, y sin embargo no se ha justificado ni se ha acreditado la interposición de este remedio procesal [FJ 4].</w:t>
      </w:r>
    </w:p>
    <w:p w:rsidR="0052098F" w:rsidRDefault="0052098F" w:rsidP="0052098F">
      <w:pPr>
        <w:pStyle w:val="Extracto"/>
      </w:pPr>
    </w:p>
    <w:p w:rsidR="0052098F" w:rsidRDefault="0052098F" w:rsidP="0052098F">
      <w:pPr>
        <w:pStyle w:val="Extracto"/>
      </w:pPr>
      <w:r>
        <w:t>3.</w:t>
      </w:r>
      <w:r>
        <w:tab/>
        <w:t>Doctrina sobre el cumplimiento de los requisitos legales para la interposición de la demanda de amparo (SSTC 107/1995, 230/2006) [FJ 3].</w:t>
      </w:r>
    </w:p>
    <w:p w:rsidR="0052098F" w:rsidRDefault="0052098F" w:rsidP="0052098F">
      <w:pPr>
        <w:pStyle w:val="Extracto"/>
      </w:pPr>
    </w:p>
    <w:p w:rsidR="0052098F" w:rsidRDefault="0052098F" w:rsidP="0052098F">
      <w:pPr>
        <w:pStyle w:val="Extracto"/>
      </w:pPr>
      <w:r>
        <w:t>4.</w:t>
      </w:r>
      <w:r>
        <w:tab/>
        <w:t>Doctrina sobre el requisito del agotamiento de la vía judicial previa a que obliga el art. 44 a) LOTC como condición de admisibilidad del recurso de amparo (SSTC 59/2007, 141/2007) [FJ 4].</w:t>
      </w:r>
    </w:p>
    <w:p w:rsidR="0052098F" w:rsidRDefault="0052098F" w:rsidP="0052098F">
      <w:pPr>
        <w:pStyle w:val="Extracto"/>
      </w:pPr>
    </w:p>
    <w:p w:rsidR="0052098F" w:rsidRDefault="0052098F" w:rsidP="0052098F">
      <w:pPr>
        <w:pStyle w:val="Extracto"/>
      </w:pPr>
      <w:r>
        <w:t>5.</w:t>
      </w:r>
      <w:r>
        <w:tab/>
        <w:t>El Ministerio Público no pude incluir ningún contenido al objeto del recurso de amparo definido en la demanda (STC 232/2007) [FJ 2].</w:t>
      </w:r>
    </w:p>
    <w:p w:rsidR="0052098F" w:rsidRDefault="0052098F" w:rsidP="0052098F">
      <w:pPr>
        <w:pStyle w:val="Extracto"/>
      </w:pPr>
    </w:p>
    <w:p w:rsidR="0052098F" w:rsidRDefault="0052098F" w:rsidP="0052098F">
      <w:pPr>
        <w:pStyle w:val="Extracto"/>
      </w:pPr>
      <w:r>
        <w:t>6.</w:t>
      </w:r>
      <w:r>
        <w:tab/>
        <w:t>Aplica la doctrina sobre el límite que, para la jurisdicción de este Tribunal, supone la congruencia con la pretensión definida en la demanda (SSTC 159/2000, 156/2007) [FJ 2].</w:t>
      </w:r>
    </w:p>
    <w:p w:rsidR="0052098F" w:rsidRDefault="0052098F" w:rsidP="0052098F">
      <w:pPr>
        <w:pStyle w:val="Extracto"/>
      </w:pPr>
    </w:p>
    <w:p w:rsidR="0052098F" w:rsidRDefault="0052098F" w:rsidP="0052098F">
      <w:pPr>
        <w:pStyle w:val="Extracto"/>
      </w:pPr>
      <w:r>
        <w:t>7.</w:t>
      </w:r>
      <w:r>
        <w:tab/>
        <w:t>La falta de presupuestos procesales en un recurso de amparo impide entrar en el fondo del mismo, tanto si este defecto se constata en fase de admisión como si la apreciación correspondiente se realiza una vez admitido a trámite el recurso (SSTC 14/1982, 148/2000) [FJ 5].</w:t>
      </w:r>
    </w:p>
    <w:p w:rsidR="0052098F" w:rsidRDefault="0052098F" w:rsidP="0052098F">
      <w:pPr>
        <w:pStyle w:val="Extracto"/>
      </w:pPr>
    </w:p>
    <w:p w:rsidR="0052098F" w:rsidRDefault="0052098F" w:rsidP="0052098F">
      <w:pPr>
        <w:pStyle w:val="Extracto"/>
      </w:pPr>
      <w:r>
        <w:t>8.</w:t>
      </w:r>
      <w:r>
        <w:tab/>
        <w:t>La existencia de las denominadas “sentencias de inadmisión” resulta técnicamente correcta y en nada contradice el tenor del art. 53 LOTC, puesto que éste se refiere a la estimación o desestimación a efectuar al conocer del fondo del asunto [FJ 5].</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5590-2006, promovido por don Francisco Javier Tomás Puchol, representado por el Procurador de los Tribunales don Antonio del Castillo-Olivares Cebrián y asistido por el Abogado don Juan García Sentandreu, contra la Resolución de carácter general núm. 5/VI, de 17 de noviembre de 2005, sobre derechos y deberes de los Diputados que se incorporan al Grupo Mixto una vez iniciada la legislatura, de la Presidencia de las Cortes Valencianas, así como contra tres Resoluciones de la Mesa de las Cortes Valencianas: la primera de 23 de febrero de 2006, que inadmitió a trámite una proposición no de Ley sobre el idioma valenciano; la segunda, de 23 de febrero de 2006, que inadmitió a trámite una proposición no de Ley sobre la reclamación al Archivo de la Corona de Aragón de devolución de todos los archivos pertenecientes al Reino de Valencia; la tercera, de 7 de marzo de 2006, que inadmitió a trámite una proposición no de Ley sobre la necesidad de aprobación de las víctimas del terrorismo para negociar con ETA. Han comparecido el Abogado del Estado y las Cortes Valencianas, representadas y asistidas por su Letrado Mayor, don Javier Guillén Carrau. Ha intervenido el Ministerio Fiscal. Ha sido Ponente el Magistrado don Guillermo Jiménez Sánchez,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23 de mayo de 2006 don Antonio del Castillo-Olivares Cebrián, Procurador de los Tribunales, en nombre y representación de don Francisco Javier Tomás Puchol, interpuso recurso de amparo contra las resoluciones de la Presidencia y de la Mesa de las Cortes Valencianas de las que se deja hecho mérito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se fundamenta la demanda de amparo son, sucintamente expuestos, los que siguen: </w:t>
      </w:r>
    </w:p>
    <w:p w:rsidR="0052098F" w:rsidRDefault="0052098F" w:rsidP="0052098F">
      <w:pPr>
        <w:pStyle w:val="TextoNormal"/>
      </w:pPr>
      <w:r>
        <w:t xml:space="preserve">a) El 11 de noviembre de 2005 el demandante don Francisco Javier Tomás Puchol, Diputado del Partido Popular en las Cortes Valencianas, comunicó al Presidente de dichas Cortes y al Sindic del Grupo Parlamentario Popular su voluntad de abandonar la formación política en la que venía militando y el Grupo Parlamentario Popular de las Cortes Valencianas con el fin de integrarse en el Grupo Mixto de las mismas Cortes. </w:t>
      </w:r>
    </w:p>
    <w:p w:rsidR="0052098F" w:rsidRDefault="0052098F" w:rsidP="0052098F">
      <w:pPr>
        <w:pStyle w:val="TextoNormal"/>
      </w:pPr>
      <w:r>
        <w:lastRenderedPageBreak/>
        <w:t xml:space="preserve">b) Según el acta 106/VI, de 15 de noviembre de 2005, la Mesa de las Cortes Valencianas se dio por enterada del escrito del Sr. Tomás Puchol y el Presidente, a la vista de dicho escrito, solicitó la elaboración de un informe por el Letrado Mayor. </w:t>
      </w:r>
    </w:p>
    <w:p w:rsidR="0052098F" w:rsidRDefault="0052098F" w:rsidP="0052098F">
      <w:pPr>
        <w:pStyle w:val="TextoNormal"/>
      </w:pPr>
      <w:r>
        <w:t xml:space="preserve">c) El 16 de noviembre de 2005 el Letrado Mayor de las Cortes Valencianas emitió un informe (que se acompaña a la demanda) sobre la constitución del Grupo Mixto y los derechos de sus parlamentarios. </w:t>
      </w:r>
    </w:p>
    <w:p w:rsidR="0052098F" w:rsidRDefault="0052098F" w:rsidP="0052098F">
      <w:pPr>
        <w:pStyle w:val="TextoNormal"/>
      </w:pPr>
      <w:r>
        <w:t xml:space="preserve">d) No existiendo Grupo Mixto constituido hasta ese momento en las Cortes Valencianas, por Acuerdo de la Mesa de las citadas Cortes de 16 de noviembre de 2005, y de conformidad con el art. 26.1 del Reglamento de las Cortes Valencianas, se decidió la creación del Grupo Mixto, integrado únicamente por el Diputado don Francisco Javier Tomás Puchol. </w:t>
      </w:r>
    </w:p>
    <w:p w:rsidR="0052098F" w:rsidRDefault="0052098F" w:rsidP="0052098F">
      <w:pPr>
        <w:pStyle w:val="TextoNormal"/>
      </w:pPr>
      <w:r>
        <w:t xml:space="preserve">e) Además de a esta demanda de amparo, relativa a las prerrogativas de los parlamentarios, el presente asunto ha dado lugar a que se planteen diversos recursos en vía contencioso- administrativa y laboral. En efecto, en este sentido, por una parte, la adjudicación provisional al Grupo Mixto, por Acuerdo de la Mesa de las Cortes Valencianas de 22 de noviembre de 2005, de un despacho, que en el sentir del demandante no reunía las condiciones mínimas para el trabajo ha dado lugar a una reclamación laboral por “mobbing parlamentario” contra el Presidente y la Mesa de las Cortes Valencianas. Por otra parte la subvención total acordada por la Mesa de las Cortes Valencianas a favor del Grupo Mixto (Acuerdo publicado el 29 de diciembre de 2005) para el ejercicio 2006, que asciende a la cantidad de 246 € mensuales, ha sido objeto de un recurso (número 107-2006) contencioso-administrativo para la protección de derechos fundamentales (de los arts. 14 y 23 CE), admitido a trámite por Auto de 21 de marzo de 2006 de la Sala de lo Contencioso-Administrativo del Tribunal Superior de Justicia de la Comunidad Valenciana. </w:t>
      </w:r>
    </w:p>
    <w:p w:rsidR="0052098F" w:rsidRDefault="0052098F" w:rsidP="0052098F">
      <w:pPr>
        <w:pStyle w:val="TextoNormal"/>
      </w:pPr>
      <w:r>
        <w:t xml:space="preserve">f) El 17 de noviembre de 2005 se aprobó la Resolución de la Presidencia de las Cortes Valencianas de carácter general (número 5/VI) sobre los derechos y deberes de los Diputados que se incorporan al Grupo Mixto una vez iniciada la legislatura, resolución que se adopta tras el acuerdo favorable de la Mesa, de la Junta de Portavoces y de la Junta de Sindics y se publica el 22 de diciembre de 2005. </w:t>
      </w:r>
    </w:p>
    <w:p w:rsidR="0052098F" w:rsidRDefault="0052098F" w:rsidP="0052098F">
      <w:pPr>
        <w:pStyle w:val="TextoNormal"/>
      </w:pPr>
      <w:r>
        <w:t xml:space="preserve">Su texto, que se acompaña a la demanda, contiene, en lo que aquí interesa, las siguientes disposiciones: </w:t>
      </w:r>
    </w:p>
    <w:p w:rsidR="0052098F" w:rsidRDefault="0052098F" w:rsidP="0052098F">
      <w:pPr>
        <w:pStyle w:val="TextoNormal"/>
      </w:pPr>
      <w:r>
        <w:t xml:space="preserve">“Primera: Los Diputados que se incorporen al Grupo Mixto durante el transcurso de la legislatura gozarán de los derechos y las prerrogativas que el reglamento de las Cortes Valencianas reconoce en sus artículos 8 a 14. En cuanto a las iniciativas parlamentarias le corresponderán las mismas que a un Diputado individualmente considerado. </w:t>
      </w:r>
    </w:p>
    <w:p w:rsidR="0052098F" w:rsidRDefault="0052098F" w:rsidP="0052098F">
      <w:pPr>
        <w:pStyle w:val="TextoNormal"/>
      </w:pPr>
      <w:r>
        <w:t xml:space="preserve">El cese en un grupo conlleva la pérdida del puesto que el Diputado ocupaba en las comisiones, y, en su caso, en la Diputación permanente para las que fue designado, salvo aquellas situaciones en las que el reglamento de las Cortes Valencianas prevea lo contrario. </w:t>
      </w:r>
    </w:p>
    <w:p w:rsidR="0052098F" w:rsidRDefault="0052098F" w:rsidP="0052098F">
      <w:pPr>
        <w:pStyle w:val="TextoNormal"/>
      </w:pPr>
      <w:r>
        <w:t xml:space="preserve">A este respecto, se reestructurará la composición de las comisiones de acuerdo con lo dispuesto en el art. 38.1 del Reglamento de las Cortes Valencianas, por la Mesa de las Cortes Valencianas, oída la Junta de Sindic, en proporción a la importancia numérica de los grupos parlamentarios en la Cámara”. </w:t>
      </w:r>
    </w:p>
    <w:p w:rsidR="0052098F" w:rsidRDefault="0052098F" w:rsidP="0052098F">
      <w:pPr>
        <w:pStyle w:val="TextoNormal"/>
      </w:pPr>
      <w:r>
        <w:t xml:space="preserve">g) El recurrente de amparo solicitó determinadas aclaraciones de la referida Resolución de la Presidencia núm. 5/VI. Al respecto, los documentos números 7 y 8 que acompañan a la demanda (dirigidos respectivamente al Presidente y al Letrado Mayor de las Cortes Valencianas), de fecha 9 de enero de 2006, interesan en el punto 8 lo siguiente: “volvemos a insistir sobre la necesidad de que por parte del Presidente de las Cortes Valencianas se dé </w:t>
      </w:r>
      <w:r>
        <w:lastRenderedPageBreak/>
        <w:t xml:space="preserve">trámite a la contestación al escrito de aclaración de fecha 21 de noviembre de 2005 formalizado por el Grupo Mixto contra la ‘Resolución sobre derechos y deberes de los Diputados que se incorporan al Grupo Mixto una vez iniciada la legislatura”. </w:t>
      </w:r>
    </w:p>
    <w:p w:rsidR="0052098F" w:rsidRDefault="0052098F" w:rsidP="0052098F">
      <w:pPr>
        <w:pStyle w:val="TextoNormal"/>
      </w:pPr>
      <w:r>
        <w:t xml:space="preserve">Además, en el texto de dichos documentos se formulan preguntas por el ahora recurrente en amparo en relación con los siguientes extremos: explicación sobre el cálculo de la cuantía de la subvención asignada al Grupo Mixto por Acuerdo de la Mesa de 17 de diciembre de 2005; sobre el acceso a la planta del hemiciclo; sobre material de oficina; sobre el despacho asignado al Grupo Mixto; y respecto de la designación como Sindic o representante oficial del Grupo Parlamentario Mixto al único integrante del mismo. </w:t>
      </w:r>
    </w:p>
    <w:p w:rsidR="0052098F" w:rsidRDefault="0052098F" w:rsidP="0052098F">
      <w:pPr>
        <w:pStyle w:val="TextoNormal"/>
      </w:pPr>
      <w:r>
        <w:t xml:space="preserve">h) El demandante de amparo intentó ejercer una serie de iniciativas que le fueron denegadas. Por lo que hace referencia a las iniciativas que, según el demandante de amparo, le habrían sido denegadas al Grupo Mixto, los documentos que acompañan a la demanda con los números 9 al 95 revelan lo siguiente: </w:t>
      </w:r>
    </w:p>
    <w:p w:rsidR="0052098F" w:rsidRDefault="0052098F" w:rsidP="0052098F">
      <w:pPr>
        <w:pStyle w:val="TextoNormal"/>
      </w:pPr>
      <w:r>
        <w:t xml:space="preserve">1) Los señalados con los números 9 al 78 son de fecha 23 y 24 de noviembre de 2005 (aunque sin sello de entrada ni membrete alguno) y se refieren a enmiendas a la Ley de presupuestos generales de la Generalidad Valenciana que dice haber formalizado así el Sr. Tomás Puchol, como portavoz del Grupo Mixto ante la Comisión de economía, presupuestos y hacienda. </w:t>
      </w:r>
    </w:p>
    <w:p w:rsidR="0052098F" w:rsidRDefault="0052098F" w:rsidP="0052098F">
      <w:pPr>
        <w:pStyle w:val="TextoNormal"/>
      </w:pPr>
      <w:r>
        <w:t xml:space="preserve">2) Los marcados con los números 79 al 87 tienen entrada en las Cortes Valencianas el día 1 de marzo de 2006, van dirigidos a la Mesa de las Cortes y se refieren a distintas preguntas que formula el Sr. Tomás Puchol como portavoz del Grupo Mixto al Presidente del Consell, al Consell y a algunos Conselleres. Todas ellas se apoyan en los arts. 146, 149.1 y 149.2 del Reglamento de las Cortes Valencianas. </w:t>
      </w:r>
    </w:p>
    <w:p w:rsidR="0052098F" w:rsidRDefault="0052098F" w:rsidP="0052098F">
      <w:pPr>
        <w:pStyle w:val="TextoNormal"/>
      </w:pPr>
      <w:r>
        <w:t xml:space="preserve">3) En los documentos numerados como 8, 89 y 90 el actor, al amparo de los arts. 154 y siguientes del Reglamento de las Cortes Valencianas, presenta con fecha 15 de marzo de 2006 a la Mesa de las Cortes Valencianas, como portavoz del Grupo Mixto, tres “proposiciones no de Ley” sobre el dominio “cat”, sobre reclamación al archivo de la Corona de Aragón de devolución de todos los archivos pertenecientes al Reino de Valencia y sobre la defensa del “idioma valenciano”. </w:t>
      </w:r>
    </w:p>
    <w:p w:rsidR="0052098F" w:rsidRDefault="0052098F" w:rsidP="0052098F">
      <w:pPr>
        <w:pStyle w:val="TextoNormal"/>
      </w:pPr>
      <w:r>
        <w:t xml:space="preserve">4) En el documento 91 (fecha de entrada en las Cortes Valencianas: 29 de marzo de 2006) el recurrente, como Diputado de las Cortes Valencianas, pone en conocimiento del Presidente la designación de dos asesores del Grupo Mixto. El escrito, dirigido al Presidente de las Cortes Valencianas, dice lo siguiente: </w:t>
      </w:r>
    </w:p>
    <w:p w:rsidR="0052098F" w:rsidRDefault="0052098F" w:rsidP="0052098F">
      <w:pPr>
        <w:pStyle w:val="TextoNormal"/>
      </w:pPr>
      <w:r>
        <w:t xml:space="preserve">“Francisco Javier Tomás Puchol con D.N.I. … y Diputado en Cortes Valencianas, conforme a Derecho proceda informo de la designación como asesores del Grupo Mixto de Dª Presentación Roca Tarazona con D.N.I. … y Dª Remedios Saez Sánchez con D.N.I. … responsabilidad que ostentarán desde la presentación de este documento por registro de entrada de las Cortes Valencianas. </w:t>
      </w:r>
    </w:p>
    <w:p w:rsidR="0052098F" w:rsidRDefault="0052098F" w:rsidP="0052098F">
      <w:pPr>
        <w:pStyle w:val="TextoNormal"/>
      </w:pPr>
      <w:r>
        <w:t xml:space="preserve">Todo lo cual comunico al Presidente de las Cortes Valencianas a los efectos oportunos y para que quede constancia de su acreditación oficial”. </w:t>
      </w:r>
    </w:p>
    <w:p w:rsidR="0052098F" w:rsidRDefault="0052098F" w:rsidP="0052098F">
      <w:pPr>
        <w:pStyle w:val="TextoNormal"/>
      </w:pPr>
      <w:r>
        <w:t xml:space="preserve">El escrito lo firma el recurrente en amparo en su calidad de Diputado en Cortes Valencianas el 28 de marzo de 2006 y tiene registro de entrada en las referidas Cortes núm. 48664, de fecha 29 de marzo de 2006. </w:t>
      </w:r>
    </w:p>
    <w:p w:rsidR="0052098F" w:rsidRDefault="0052098F" w:rsidP="0052098F">
      <w:pPr>
        <w:pStyle w:val="TextoNormal"/>
      </w:pPr>
      <w:r>
        <w:t xml:space="preserve">5) Aunque la demanda dice acompañar un documento núm. 92, éste no figura entre los documentos adjuntos a la demanda que pasan del 91 al 93. </w:t>
      </w:r>
    </w:p>
    <w:p w:rsidR="0052098F" w:rsidRDefault="0052098F" w:rsidP="0052098F">
      <w:pPr>
        <w:pStyle w:val="TextoNormal"/>
      </w:pPr>
      <w:r>
        <w:t xml:space="preserve">6) Los documentos 93 al 96 contienen las siguientes contestaciones: </w:t>
      </w:r>
    </w:p>
    <w:p w:rsidR="0052098F" w:rsidRDefault="0052098F" w:rsidP="0052098F">
      <w:pPr>
        <w:pStyle w:val="TextoNormal"/>
      </w:pPr>
      <w:r>
        <w:t xml:space="preserve">En relación con la proposición no de ley sobre el “idioma valenciano” (RE núm. 46258) la Mesa de las Cortes Valencianas, con fecha 21 de febrero de 2006, acordó oír a la Junta </w:t>
      </w:r>
      <w:r>
        <w:lastRenderedPageBreak/>
        <w:t xml:space="preserve">de Sindics y, de conformidad con lo dispuesto en el art. 155 del Reglamento de las Cortes Valencianas, no admitir a trámite la proposición no de ley sobre las enmiendas presentadas en el Congreso de los Diputados al texto de la proposición de ley orgánica de reforma del Estatuto de Autonomía de la Comunidad Valenciana “por no ajustarse al Reglamento de las Cortes Valencianas” (fecha de salida de la notificación al Grupo Mixto: 28 de febrero de 2006). </w:t>
      </w:r>
    </w:p>
    <w:p w:rsidR="0052098F" w:rsidRDefault="0052098F" w:rsidP="0052098F">
      <w:pPr>
        <w:pStyle w:val="TextoNormal"/>
      </w:pPr>
      <w:r>
        <w:t xml:space="preserve">Por lo que se refiere a la proposición no de ley sobre reclamación al archivo de la Corona de Aragón de devolución de todos los archivos pertenecientes al Reino de Valencia (RE núm. 46305), “de conformidad con lo dispuesto en el art. 155 del Reglamento de las Cortes Valencianas”, se resolvió “no admitir a trámite” la proposición no de ley presentada por el Grupo Mixto, “por no ajustarse al Reglamento de las Cortes Valencianas”. Este acuerdo de la Mesa se tomó el 21 de febrero de 2006 y se notificó al Grupo Mixto (sello de salida) el 28 de dicho mes y año. </w:t>
      </w:r>
    </w:p>
    <w:p w:rsidR="0052098F" w:rsidRDefault="0052098F" w:rsidP="0052098F">
      <w:pPr>
        <w:pStyle w:val="TextoNormal"/>
      </w:pPr>
      <w:r>
        <w:t xml:space="preserve">El 7 de marzo de 2006 la Mesa de las Cortes decidió, oída la Junta de Sindics, y de conformidad con el art. 155 del Reglamento de las Cortes Valencianas, no admitir a trámite la proposición no de ley presentada al parecer por el Grupo Mixto sobre las víctimas del terrorismo (R.E núm. 47323) “por no ajustarse al Reglamento de las Cortes Valencianas” (fecha de salida de la notificación al Grupo Mixto: 14 de marzo de 2006). </w:t>
      </w:r>
    </w:p>
    <w:p w:rsidR="0052098F" w:rsidRDefault="0052098F" w:rsidP="0052098F">
      <w:pPr>
        <w:pStyle w:val="TextoNormal"/>
      </w:pPr>
      <w:r>
        <w:t xml:space="preserve">En relación con la puesta en conocimiento por el Sr. Tomás Puchol de la designación de dos asesores para el Grupo Mixto (28 de marzo de 2006), el Presidente de las Cortes Valencianas comunicó al ahora recurrente (26 de abril de 2006, fecha de salida) lo siguiente: </w:t>
      </w:r>
    </w:p>
    <w:p w:rsidR="0052098F" w:rsidRDefault="0052098F" w:rsidP="0052098F">
      <w:pPr>
        <w:pStyle w:val="TextoNormal"/>
      </w:pPr>
      <w:r>
        <w:t xml:space="preserve">“En relación con el contenido de sus escritos RE 48312, 48663 y 48664, tengo a bien poner en su conocimiento que no está reconocida como tal ni la figura de asesor ni la de jefe de prensa, en los términos referidos en dichos escritos, para el Grupo Mixto, de acuerdo con lo expresado por la mayoría de la Junta de Portavoces. </w:t>
      </w:r>
    </w:p>
    <w:p w:rsidR="0052098F" w:rsidRDefault="0052098F" w:rsidP="0052098F">
      <w:pPr>
        <w:pStyle w:val="TextoNormal"/>
      </w:pPr>
      <w:r>
        <w:t>Por ello, le informo que, de conformidad a lo acordado por la Junta de Portavoces, no corresponde dar cobertura a la situación atípica que describe en los precitados escritos, a efectos, de su acreditación oficial y/o reconocimiento de derechos y prerrogativas por esta Institución”.</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El actor presentó su demanda de amparo ante este Tribunal el 23 de mayo de 2006. En ella impugna la Resolución de la Presidencia de las Cortes Valencianas 5/VI (sobre los derechos y deberes de los Diputados que se incorporan al Grupo Mixto una vez iniciada la legislatura), publicada en el “Boletín Oficial de las Cortes Valencianas” el 22 de diciembre de 2005, que según él ha lesionado sus derechos fundamentales al ius in officium (art. 23 CE) y a la igualdad (art. 14 CE). En el suplico de su demanda se refiere tan sólo directamente a la citada resolución, cuya nulidad interesa. </w:t>
      </w:r>
    </w:p>
    <w:p w:rsidR="0052098F" w:rsidRDefault="0052098F" w:rsidP="0052098F">
      <w:pPr>
        <w:pStyle w:val="TextoNormal"/>
      </w:pPr>
      <w:r>
        <w:t xml:space="preserve">Concretamente, en el suplico de la demanda se pide que se dicte Sentencia por la que: </w:t>
      </w:r>
    </w:p>
    <w:p w:rsidR="0052098F" w:rsidRDefault="0052098F" w:rsidP="0052098F">
      <w:pPr>
        <w:pStyle w:val="TextoNormal"/>
      </w:pPr>
      <w:r>
        <w:t xml:space="preserve">“a) Se declare la nulidad de la Resolución 5/VI sobre Derechos y Deberes de los Diputados que se incorporan al Grupo Mixto una vez iniciada la legislatura por el que las Cortes Valencianas impiden el pleno ejercicio de los derechos parlamentarios del Grupo Mixto y de su representante Francisco Javier Tomás Puchol. </w:t>
      </w:r>
    </w:p>
    <w:p w:rsidR="0052098F" w:rsidRDefault="0052098F" w:rsidP="0052098F">
      <w:pPr>
        <w:pStyle w:val="TextoNormal"/>
      </w:pPr>
      <w:r>
        <w:t xml:space="preserve">b) Se reconozcan y restablezcan al Grupo Mixto de las Cortes Valencianas y a su representante Francisco Javier Tomás Puchol los siguientes derechos: - Recibir la información y documentación necesarios para el desarrollo de sus tareas. - Nombrar un portavoz que será el representante oficial del Grupo Parlamentario. - Presentar las iniciativas parlamentarias que le correspondan de conformidad con el Reglamento. - Disponer de los locales y medios materiales suficientes para que pueda cumplir su función parlamentaria. - Disponer de las </w:t>
      </w:r>
      <w:r>
        <w:lastRenderedPageBreak/>
        <w:t xml:space="preserve">ayudas económicas oficiales, incluida la de portavoz del Grupo Parlamentario. - Formar parte de la Junta de Sindics. - Tener representantes en las comisiones conforme al artículo 38 y ss y mantener las responsabilidades que tuvieran los Diputados antes de incorporarse al Grupo Mixto. - Proponer la creación de comisiones especiales para el estudio de un asunto concreto. -Solicitar la convocatoria del Pleno de las Cortes, con todas las peculiaridades establecidas al respecto en los arts. 57, 58, 59, 60, 62, 63, 64, 65, 66, 69, 70, 71, 79, 80, 83, 84, 88 y 97 del Reglamento. - Presentar iniciativas legislativas conforme al artículo 106 ss. -Presentar enmiendas a los proyectos de Ley. -Derecho a solicitar la deliberación en pleno de sus enmiendas conforme al artículo 115 del Reglamento. -Presentar proposiciones de Ley conforme al artículo 119.1.b y demás derechos relacionados del Reglamento. -Reclamar el debate y votación de proyectos o proposiciones de Ley en el pleno conforme al artículo 127 ss. del Reglamento. - Los derechos referidos al otorgamiento y retirada de confianza al Presidente de la Generalitat Valenciana. - Formular interpelaciones. - Presentar proposiciones no de Ley. - Intervenir con los derechos específicos en las comunicaciones remitidas por el Consell. - Solicitar la comparecencia y formular preguntas a los miembros del Consell. - Participar con plenas facultades en el nombramiento, elección y designación de personas por el Pleno de las Cortes. - Nombrar asesores oficiales con plenas facultades y reconocimiento del Grupo Parlamentario Mixto. Así como todos aquellos que la Constitución Española, el Estatuto de Autonomía de la Comunidad Valenciana y el Reglamento de las Cortes Valencianas le atribuyan a cualquier Diputado y Grupo Parlamentario”. </w:t>
      </w:r>
    </w:p>
    <w:p w:rsidR="0052098F" w:rsidRDefault="0052098F" w:rsidP="0052098F">
      <w:pPr>
        <w:pStyle w:val="TextoNormal"/>
      </w:pPr>
      <w:r>
        <w:t xml:space="preserve">En otrosí se solicita la suspensión de la resolución recurrida, “ya que a escasos 12 meses de las próximas elecciones autonómicas en la Comunidad Valenciana, la dilación de un procedimiento de estas características podría hacer perder al amparo su finalidad”. </w:t>
      </w:r>
    </w:p>
    <w:p w:rsidR="0052098F" w:rsidRDefault="0052098F" w:rsidP="0052098F">
      <w:pPr>
        <w:pStyle w:val="TextoNormal"/>
      </w:pPr>
      <w:r>
        <w:t xml:space="preserve">Sin embargo en el encabezamiento de la demanda se afirma que la misma se dirige contra la citada Resolución de la Presidencia de las Cortes Valencianas núm. 5/VI, de 17 de noviembre de 2005, y también contra “las resoluciones de la Mesa de las Cortes Valencianas de fecha 23 de febrero de 2006 y siguientes”. </w:t>
      </w:r>
    </w:p>
    <w:p w:rsidR="0052098F" w:rsidRDefault="0052098F" w:rsidP="0052098F">
      <w:pPr>
        <w:pStyle w:val="TextoNormal"/>
      </w:pPr>
      <w:r>
        <w:t xml:space="preserve">Manifiesta el demandante en amparo que es la Resolución de la Presidencia de las Cortes Valencianas núm. 5/VI publicada en el “Boletín Oficial de las Cortes Valencianas” el 22 de diciembre de 2005, la resolución que impugna, que según él ha lesionado sus derechos fundamentales al ius in officium (art. 23 CE) y a la igualdad (art. 14 CE). Pero añade a renglón seguido que no recurrió en su momento tal resolución porque por sí misma no contradice el Reglamento de las Cortes Valencianas, sino que la infracción de este último ha resultado de la aplicación de aquella Resolución de la Presidencia de las Cortes Valencianas núm. 5/VI cuando en distintas ocasiones se han negado al recurrente derechos que le correspondían conforme al Reglamento de las Cortes Valencianas. </w:t>
      </w:r>
    </w:p>
    <w:p w:rsidR="0052098F" w:rsidRDefault="0052098F" w:rsidP="0052098F">
      <w:pPr>
        <w:pStyle w:val="TextoNormal"/>
      </w:pPr>
      <w:r>
        <w:t xml:space="preserve">Por otra parte se advierte en la demanda que, tras dictarse la referida Resolución 5/VI de la Presidencia de las Cortes Valencianas, el ahora recurrente en amparo solicitó una serie de aclaraciones respecto de la interpretación de dicha Resolución, y que, ante el silencio del Letrado Mayor, del Presidente y de la Mesa de las Cortes, comenzó a intentar ejercer una serie de derechos de los parlamentarios que le fueron denegados. </w:t>
      </w:r>
    </w:p>
    <w:p w:rsidR="0052098F" w:rsidRDefault="0052098F" w:rsidP="0052098F">
      <w:pPr>
        <w:pStyle w:val="TextoNormal"/>
      </w:pPr>
      <w:r>
        <w:t xml:space="preserve">En definitiva, la parte actora parece (en términos de alguna imprecisión) impugnar las siguientes resoluciones: </w:t>
      </w:r>
    </w:p>
    <w:p w:rsidR="0052098F" w:rsidRDefault="0052098F" w:rsidP="0052098F">
      <w:pPr>
        <w:pStyle w:val="TextoNormal"/>
      </w:pPr>
      <w:r>
        <w:t xml:space="preserve">- La Resolución de la Presidencia de las Cortes Valencianas núm. 5/VI sobre derechos y deberes de los Diputados que se incorporan al Grupo Mixto una vez iniciada la legislatura, cuya nulidad se solicita sea declarada porque con la referida resolución las Cortes Valencianas impiden el pleno ejercicio de los derechos parlamentarios del Grupo Mixto y de su representante don Francisco Javier Tomás Puchol. </w:t>
      </w:r>
    </w:p>
    <w:p w:rsidR="0052098F" w:rsidRDefault="0052098F" w:rsidP="0052098F">
      <w:pPr>
        <w:pStyle w:val="TextoNormal"/>
      </w:pPr>
      <w:r>
        <w:lastRenderedPageBreak/>
        <w:t xml:space="preserve">- La inadmisión a trámite por parte de la Mesa de las Cortes Valencianas de la proposición no de Ley sobre el “idioma valenciano” (RE núm . 462058). </w:t>
      </w:r>
    </w:p>
    <w:p w:rsidR="0052098F" w:rsidRDefault="0052098F" w:rsidP="0052098F">
      <w:pPr>
        <w:pStyle w:val="TextoNormal"/>
      </w:pPr>
      <w:r>
        <w:t xml:space="preserve">- La inadmisión a trámite por parte de la Mesa de las Cortes Valencianas de la proposición no de Ley sobre la reclamación al archivo de la Corona de Aragón de devolución de los archivos pertenecientes al Reino de Valencia (RE núm. 46305). </w:t>
      </w:r>
    </w:p>
    <w:p w:rsidR="0052098F" w:rsidRDefault="0052098F" w:rsidP="0052098F">
      <w:pPr>
        <w:pStyle w:val="TextoNormal"/>
      </w:pPr>
      <w:r>
        <w:t xml:space="preserve">- La inadmisión a trámite por parte de la Mesa de las Cortes Valencianas de la proposición no de Ley sobre las víctimas del terrorismo (RE núm. 47323). </w:t>
      </w:r>
    </w:p>
    <w:p w:rsidR="0052098F" w:rsidRDefault="0052098F" w:rsidP="0052098F">
      <w:pPr>
        <w:pStyle w:val="TextoNormal"/>
      </w:pPr>
      <w:r>
        <w:t xml:space="preserve">Y a ello añade la demanda: “también debemos citar como doc. núm. noventa y seis la resolución de fecha 25 de abril de 2006 del Presidente de las Cortes por las que rechaza los escritos acompañados por esta parte al presente Recurso como doc. núm. noventa y uno y doc. núm. noventa y dos”. </w:t>
      </w:r>
    </w:p>
    <w:p w:rsidR="0052098F" w:rsidRDefault="0052098F" w:rsidP="0052098F">
      <w:pPr>
        <w:pStyle w:val="TextoNormal"/>
      </w:pPr>
      <w:r>
        <w:t>La demanda menciona otras quejas, como lo que considera baja subvención otorgada al Grupo Mixto, carencia de muebles o de medios de trabajo, etc., pero su contenido ha sido expresamente excluido por la propia parte del objeto del recurso, y sobre dichas reclamaciones existen al parecer procesos laborales o contencioso-administrativos pendientes.</w:t>
      </w:r>
    </w:p>
    <w:p w:rsidR="0052098F" w:rsidRDefault="0052098F" w:rsidP="0052098F">
      <w:pPr>
        <w:pStyle w:val="TextoNormal"/>
      </w:pPr>
    </w:p>
    <w:p w:rsidR="0052098F" w:rsidRDefault="0052098F" w:rsidP="0052098F">
      <w:pPr>
        <w:pStyle w:val="TextoNormal"/>
      </w:pPr>
      <w:r w:rsidRPr="0052098F">
        <w:rPr>
          <w:rStyle w:val="NumeroAFNegritaCaracter"/>
        </w:rPr>
        <w:t>4</w:t>
      </w:r>
      <w:r>
        <w:t>. En providencia de 18 de septiembre de 2006 la Sección Segunda de este Tribunal acordó, de conformidad con lo dispuesto en el art. 50.3 LOTC, conceder a la parte demandante de amparo y al Ministerio Público plazo común de diez días para que formulasen, con las aportaciones documentales procedentes, las alegaciones que estimaran pertinentes en relación con la causa de inadmisión de carencia manifiesta de contenido constitucional de la demanda [art. 50.1 c)] así como sobre la posible existencia de una vulneración del art. 50.1 a), en relación con el art. 42, por haberse presentado el recurso extemporáneamente respecto a la Resolución de la Presidencia de las Cortes Valencianas núm. 5/VI, de 17 de noviembre de 2005, sobre derechos y deberes de los Diputados que se incorporan al Grupo Mixto una vez iniciada la Legislatura.</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El 9 de octubre de 2006 tuvo entrada en el Registro General de este Tribunal escrito del recurrente de amparo presentando alegaciones respecto de lo planteado en la providencia de 18 de septiembre de 2006 de la Sala Segunda y solicitando la admisión a trámite de la demanda de amparo. </w:t>
      </w:r>
    </w:p>
    <w:p w:rsidR="0052098F" w:rsidRDefault="0052098F" w:rsidP="0052098F">
      <w:pPr>
        <w:pStyle w:val="TextoNormal"/>
      </w:pPr>
      <w:r>
        <w:t xml:space="preserve">En relación a la posible extemporaneidad de la presentación del recurso de amparo reconoce que la Resolución de la Presidencia de las Cortes Valencianas núm. 5/VI, fue publicada el 22 de diciembre de 2005 mientras que su recurso fue presentado el 23 de mayo de 2006, pero señala que lo que realmente se impugna es el carácter viciado y extensivo de una interpretación que realizan el Presidente y la Mesa de las Cortes de la reiterada Resolución de la Presidencia núm. 5/VI, de carácter general, y que tuvo su primera manifestación en la Resolución de la Mesa de las Cortes Valencianas de fecha 23 de febrero de 2006, donde comienza el cómputo de los tres meses marcados para impugnación en la legislación constitucional. El tiempo para la posible prescripción debe comenzar a partir de que la Mesa de las Cortes Valencianas realiza una resolución oficial en la que, por la vía de hecho y en virtud de la interpretación abusiva que se realiza del Reglamento y de la Resolución de carácter general de la Presidencia núm. 5/VI citada, se vulneran los derechos del parlamentario. </w:t>
      </w:r>
    </w:p>
    <w:p w:rsidR="0052098F" w:rsidRDefault="0052098F" w:rsidP="0052098F">
      <w:pPr>
        <w:pStyle w:val="TextoNormal"/>
      </w:pPr>
      <w:r>
        <w:t xml:space="preserve">En cuanto a la sugerida carencia manifiesta de contenido constitucional de la demanda de amparo argumenta que la naturaleza del derecho recogido en el art. 23 CE comprende también la posibilidad de ejercer las funciones inherentes al cargo electivo, sin que se vacíe </w:t>
      </w:r>
      <w:r>
        <w:lastRenderedPageBreak/>
        <w:t>de contenido el mismo, se estorbe ni se dificulte la función a desempeñar mediante obstáculos artificiales, o se coloque a ciertos representantes en condiciones inferiores a las de otros. Cabría, en definitiva, concluir que reducir irregularmente los derechos y prerrogativas que corresponden al Grupo Mixto y privarle de los recursos materiales suficientes para cumplir su función parlamentaria supone una violación del art. 27.1 del Reglamento de las Cortes Valencianas y, principalmente, del art. 23 CE.</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Mediante escrito registrado en este Tribunal el 16 de octubre de 2006 formuló el Fiscal sus alegaciones en relación con lo planteado en la providencia de 18 de septiembre de 2006. Observa que, si bien la resolución general que se recurre es de diciembre del 2005, frente a los Acuerdos de marzo y abril de 2006, que resuelven en firme diversas pretensiones del recurrente, no había transcurrido el plazo de tres meses que establece el art. 42 LOTC cuando se interpuso la demanda de amparo, por lo que manifiestamente ésta no resulta extemporánea. </w:t>
      </w:r>
    </w:p>
    <w:p w:rsidR="0052098F" w:rsidRDefault="0052098F" w:rsidP="0052098F">
      <w:pPr>
        <w:pStyle w:val="TextoNormal"/>
      </w:pPr>
      <w:r>
        <w:t>Respecto a la carencia manifiesta de contenido constitucional argumenta el Fiscal que, de la lectura de alguno de los Acuerdos de la Mesa que se aportan, se deduce que carecen de la mínima fundamentación exigible, pues no es tal la afirmación de “por no ajustarse al reglamento de las Cortes Valencianas”, con cita del art. 155 de tal Reglamento, ya que no se determina en qué no ha cumplido tal precepto el Diputado o el Grupo, ni nada se razona acerca de la necesidad de motivación, sobre la que ha insistido la STC 40/2003. Además, para el Ministerio público, el estudio de las actuaciones podría revelar también acuerdos u omisiones de la Presidencia, de la Mesa o de la Junta de Sindics que habrían dado al Grupo Mixto un tratamiento desigual o, al menos, no explicado sobre determinados extremos, tales como la solicitud de la portavocía o la denegación de ciertas iniciativas del Grupo Mixto. Todo ello lleva al Fiscal a considerar procedente la admisión a trámite de la demanda.</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Por providencia de 9 de enero de 2007 la Sala Segunda de este Tribunal, de conformidad con lo dispuesto en el art. 11.2 LOTC, acordó conocer del presente recurso de amparo y admitir a trámite la demanda presentada por el Procurador don Antonio del Castillo-Olivares Cebrián en nombre y representación de don Francisco Javier Tomás Puchol contra Resolución núm. 5/VI de la Presidencia de las Cortes Valencianas. Por ello, en aplicación de lo dispuesto en el art. 51 LOTC, ordenó que se dirigiera comunicación a las Cortes Valencianas a fin de que, en plazo que no excediese de diez días, remitiera certificación o fotocopia adverada de las actuaciones correspondientes a la Resolución núm. 5/VI; añadiendo que se debía emplazar previamente, para que en el plazo de diez días pudieran comparecer, si lo deseaban, en el recurso de amparo, a quienes hubieran sido parte en el procedimiento, excepto a la parte recurrente de amparo. </w:t>
      </w:r>
    </w:p>
    <w:p w:rsidR="0052098F" w:rsidRDefault="0052098F" w:rsidP="0052098F">
      <w:pPr>
        <w:pStyle w:val="TextoNormal"/>
      </w:pPr>
      <w:r>
        <w:t>Finalmente se ordenó formar pieza separada de suspensión, que tras la tramitación oportuna, concluyó con el ATC 235/2007, de 7 de mayo, que denegó la suspensión solicitada.</w:t>
      </w:r>
    </w:p>
    <w:p w:rsidR="0052098F" w:rsidRDefault="0052098F" w:rsidP="0052098F">
      <w:pPr>
        <w:pStyle w:val="TextoNormal"/>
      </w:pPr>
    </w:p>
    <w:p w:rsidR="0052098F" w:rsidRDefault="0052098F" w:rsidP="0052098F">
      <w:pPr>
        <w:pStyle w:val="TextoNormal"/>
      </w:pPr>
      <w:r w:rsidRPr="0052098F">
        <w:rPr>
          <w:rStyle w:val="NumeroAFNegritaCaracter"/>
        </w:rPr>
        <w:t>8</w:t>
      </w:r>
      <w:r>
        <w:t>. Por escrito registrado en este Tribunal el 12 de enero de 2007 el Abogado del Estado se personó en los autos.</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30 de enero de 2007 se registró en este Tribunal el escrito de personación del Letrado de Les Corts, en representación de las Cortes Valencianas, en el que solicitó se tuvieran por remitidas la fotocopia adverada de las actuaciones correspondientes a la resolución </w:t>
      </w:r>
      <w:r>
        <w:lastRenderedPageBreak/>
        <w:t>impugnada y las de los emplazamientos remitidos a los Grupos Parlamentarios de las Cortes en cumplimiento de lo previsto en el art. 51.2 LOTC.</w:t>
      </w:r>
    </w:p>
    <w:p w:rsidR="0052098F" w:rsidRDefault="0052098F" w:rsidP="0052098F">
      <w:pPr>
        <w:pStyle w:val="TextoNormal"/>
      </w:pPr>
    </w:p>
    <w:p w:rsidR="0052098F" w:rsidRDefault="0052098F" w:rsidP="0052098F">
      <w:pPr>
        <w:pStyle w:val="TextoNormal"/>
      </w:pPr>
      <w:r w:rsidRPr="0052098F">
        <w:rPr>
          <w:rStyle w:val="NumeroAFNegritaCaracter"/>
        </w:rPr>
        <w:t>10</w:t>
      </w:r>
      <w:r>
        <w:t>. Por diligencia de ordenación de la Sala Segunda de 5 de febrero de 2007 se tuvo por personados y partes al Abogado del Estado y al Letrado de Les Corts.</w:t>
      </w:r>
    </w:p>
    <w:p w:rsidR="0052098F" w:rsidRDefault="0052098F" w:rsidP="0052098F">
      <w:pPr>
        <w:pStyle w:val="TextoNormal"/>
      </w:pPr>
    </w:p>
    <w:p w:rsidR="0052098F" w:rsidRDefault="0052098F" w:rsidP="0052098F">
      <w:pPr>
        <w:pStyle w:val="TextoNormal"/>
      </w:pPr>
      <w:r w:rsidRPr="0052098F">
        <w:rPr>
          <w:rStyle w:val="NumeroAFNegritaCaracter"/>
        </w:rPr>
        <w:t>11</w:t>
      </w:r>
      <w:r>
        <w:t xml:space="preserve">. Por diligencia de ordenación de 11 de junio de 2007 la Sala Segunda acordó dar vista de las actuaciones recibidas a la parte recurrente y al Ministerio público, por plazo común de 20 días, para que, dentro de él, presentaran las alegaciones que estimasen pertinentes, conforme determina el art. 52.1 de la Ley Orgánica de este Tribunal. </w:t>
      </w:r>
    </w:p>
    <w:p w:rsidR="0052098F" w:rsidRDefault="0052098F" w:rsidP="0052098F">
      <w:pPr>
        <w:pStyle w:val="TextoNormal"/>
      </w:pPr>
      <w:r>
        <w:t>La parte recurrente no evacuó el correspondiente trámite.</w:t>
      </w:r>
    </w:p>
    <w:p w:rsidR="0052098F" w:rsidRDefault="0052098F" w:rsidP="0052098F">
      <w:pPr>
        <w:pStyle w:val="TextoNormal"/>
      </w:pPr>
    </w:p>
    <w:p w:rsidR="0052098F" w:rsidRDefault="0052098F" w:rsidP="0052098F">
      <w:pPr>
        <w:pStyle w:val="TextoNormal"/>
      </w:pPr>
      <w:r w:rsidRPr="0052098F">
        <w:rPr>
          <w:rStyle w:val="NumeroAFNegritaCaracter"/>
        </w:rPr>
        <w:t>12</w:t>
      </w:r>
      <w:r>
        <w:t xml:space="preserve">. El 18 de agosto de 2007 tuvo entrada en el Registro General de este Tribunal el escrito de alegaciones del Fiscal. </w:t>
      </w:r>
    </w:p>
    <w:p w:rsidR="0052098F" w:rsidRDefault="0052098F" w:rsidP="0052098F">
      <w:pPr>
        <w:pStyle w:val="TextoNormal"/>
      </w:pPr>
      <w:r>
        <w:t xml:space="preserve">Comienza diciendo, en lo referente a la posible extemporaneidad de la demanda de amparo, que es necesario partir del dato cierto de que, al tratarse de una resolución emanada de un órgano de la Asamblea Legislativa de la Comunidad Valenciana (la Presidencia de las Cortes Valencianas o la Mesa de dichas Cortes), el plazo para interponer la demanda comienza al día siguiente al de su firmeza, y el plazo se contará de fecha a fecha (arts. 133.3 LEC y 80 LOTC). Por tanto, prosigue, si la demanda se dirigiera exclusivamente contra la Resolución de 22 de diciembre de 2005 podría ser extemporánea porque habría excedido el plazo de tres meses señalado en el art. 42 LOTC. Sin embargo, ni del encabezamiento de la citada demanda de amparo ni de su exposición concreta, se deduce tal conclusión. Es más; ella misma reconoce que no se dirigió contra la Resolución de 22 de diciembre de 2005 (se refiere a la Resolución de la Presidencia de las Cortes Valencianas de 17 de noviembre de 2005, que fue publicada el 22 de diciembre del mismo año) porque su generalidad y literalidad no implicaba por sí misma lesión de derecho fundamental alguno para el actor, sino que esperó a que de su aplicación resultara, como así entiende que ocurrió, la lesión de sus derechos. Y en esa aplicación el recurrente aporta distintos acuerdos adoptados por la Presidencia y la Mesa de las Cortes Valencianas a los que imputa la vulneración de sus derechos al ius in officium y a la igualdad. Algunos de esos Acuerdos fueron notificados al Grupo Mixto en fechas 28 de febrero, 14 de marzo y 26 de abril, todos de 2006. Pues bien, concluye en este punto, respecto a tales Acuerdos de marzo y abril de 2006, que resuelven en firme diversas pretensiones del recurrente, no había transcurrido el plazo de tres meses que establece el art. 42 de la LOTC cuando se interpuso la demanda de amparo, y, por tanto la misma, con referencia a estas pretensiones, no resulta extemporánea. </w:t>
      </w:r>
    </w:p>
    <w:p w:rsidR="0052098F" w:rsidRDefault="0052098F" w:rsidP="0052098F">
      <w:pPr>
        <w:pStyle w:val="TextoNormal"/>
      </w:pPr>
      <w:r>
        <w:t xml:space="preserve">Por lo que se refiere al contenido de la demanda de amparo considera que su defectuosa redacción podría confundir acerca de su verdadera sustancia, la cual ha de concretarse, sin embargo, porque así lo ha querido la parte, en tres puntos: </w:t>
      </w:r>
    </w:p>
    <w:p w:rsidR="0052098F" w:rsidRDefault="0052098F" w:rsidP="0052098F">
      <w:pPr>
        <w:pStyle w:val="TextoNormal"/>
      </w:pPr>
      <w:r>
        <w:t xml:space="preserve">-Denegación al recurrente del derecho a tener portavoz del Grupo Mixto. </w:t>
      </w:r>
    </w:p>
    <w:p w:rsidR="0052098F" w:rsidRDefault="0052098F" w:rsidP="0052098F">
      <w:pPr>
        <w:pStyle w:val="TextoNormal"/>
      </w:pPr>
      <w:r>
        <w:t xml:space="preserve">-Denegación, también, del derecho a ejercer las mismas iniciativas que otro grupo parlamentario. </w:t>
      </w:r>
    </w:p>
    <w:p w:rsidR="0052098F" w:rsidRDefault="0052098F" w:rsidP="0052098F">
      <w:pPr>
        <w:pStyle w:val="TextoNormal"/>
      </w:pPr>
      <w:r>
        <w:t xml:space="preserve">-Y no contestación por la Junta de Sindics, por el Presidente de las Cortes Valencianas y por el Letrado Mayor a las dudas que les ha planteado respecto de la interpretación que debía darse a la Resolución de 22 de diciembre de 2005. </w:t>
      </w:r>
    </w:p>
    <w:p w:rsidR="0052098F" w:rsidRDefault="0052098F" w:rsidP="0052098F">
      <w:pPr>
        <w:pStyle w:val="TextoNormal"/>
      </w:pPr>
      <w:r>
        <w:t xml:space="preserve">Siguiendo con lo que se refiere al contenido, con ocasión de pronunciarse sobre la suspensión de la ejecución de las resoluciones impugnadas, el ATC de 7 de mayo de 2007 ya </w:t>
      </w:r>
      <w:r>
        <w:lastRenderedPageBreak/>
        <w:t xml:space="preserve">ha advertido que, con posterioridad a la interposición del presente recurso de amparo, y también después de informar el Ministerio público acerca de su admisión, se han producido al menos dos circunstancias que, aun cuando no alteran significativamente los términos en que el recurrente plantea sus pretensiones de amparo (concretadas en la situación regida por el Reglamento de las Cortes Valencianas de 1994), sí pueden afectar a los efectos que haya de conllevar una posible estimación del amparo. </w:t>
      </w:r>
    </w:p>
    <w:p w:rsidR="0052098F" w:rsidRDefault="0052098F" w:rsidP="0052098F">
      <w:pPr>
        <w:pStyle w:val="TextoNormal"/>
      </w:pPr>
      <w:r>
        <w:t xml:space="preserve">La primera consiste en que el 1 de enero de 2007 ha entrado en vigor el nuevo Reglamento de las Cortes Valencianas, que efectúa una detallada regulación del Grupo Parlamentario Mixto y de la figura del Diputado no adscrito (arts. 25 al 29), que es actualmente aplicable al Diputado aquí recurrente en amparo porque sustituye completamente a la normativa anterior. </w:t>
      </w:r>
    </w:p>
    <w:p w:rsidR="0052098F" w:rsidRDefault="0052098F" w:rsidP="0052098F">
      <w:pPr>
        <w:pStyle w:val="TextoNormal"/>
      </w:pPr>
      <w:r>
        <w:t xml:space="preserve">La segunda hace referencia a que el 3 de abril de 2007 se ha publicado en el BOE el Decreto 4/2007, de 2 de abril, del Presidente de la Generalidad Valenciana, por el cual se disuelven las Cortes elegidas el 25 de mayo de 2003 y se convocan elecciones. Ello ha dado lugar a que el órgano en el que se desarrolla el conflicto que está en la base del presente recurso de amparo ya no exista (las Cortes han sido disueltas). Y esto habría de tenerse en cuenta al concretar los efectos del fallo, caso de ser estimatorio. </w:t>
      </w:r>
    </w:p>
    <w:p w:rsidR="0052098F" w:rsidRDefault="0052098F" w:rsidP="0052098F">
      <w:pPr>
        <w:pStyle w:val="TextoNormal"/>
      </w:pPr>
      <w:r>
        <w:t xml:space="preserve">En relación a lo que considera núcleo de la demanda de amparo afirma el Ministerio público que de la lectura de alguno de los Acuerdos que se aportan, como los que corresponden a ciertas iniciativas del Diputado del Grupo Mixto (sobre víctimas del terrorismo, devolución por parte del Archivo de Aragón de los archivos correspondientes al Reino de Valencia, e “idioma valenciano”) se desprende inequívocamente que carecen de la mínima fundamentación exigible, pues no es tal la afirmación de “por no ajustarse al reglamento de las Cortes Valencianas”, con cita del art. 155 del Reglamento de las Cortes Valencianas, ya que no se determina en qué no ha cumplido tal precepto el Diputado o el Grupo. Esta motivación no puede considerarse suficiente o satisfactoria a la luz de la doctrina del Tribunal Constitucional (STC 40/2003). </w:t>
      </w:r>
    </w:p>
    <w:p w:rsidR="0052098F" w:rsidRDefault="0052098F" w:rsidP="0052098F">
      <w:pPr>
        <w:pStyle w:val="TextoNormal"/>
      </w:pPr>
      <w:r>
        <w:t xml:space="preserve">Por otro lado, añade el Fiscal, el estudio de las actuaciones revela también la existencia de acuerdos u omisiones de la Presidencia, de la Mesa o de la Junta de Sindics que habrían dado al Grupo Mixto un tratamiento desigual o, al menos, no explicado sobre determinados extremos, tales como la solicitud de portavocía (contestación negativa acompañada en el documento núm. 18, que contrasta con el informe del Letrado Mayor, documento núm. 5, en el cual se indica que el art. 25.2 del Reglamento de las Cortes Valencianas atribuye portavoz al Grupo Mixto) o la denegación inmotivada de ciertas iniciativas del Grupo Mixto a que se ha hecho referencia en los antecedentes (sobre víctimas del terrorismo, sobre reclamación al Archivo de Aragón de los archivos correspondientes al Reino de Valencia o “idioma valenciano”). </w:t>
      </w:r>
    </w:p>
    <w:p w:rsidR="0052098F" w:rsidRDefault="0052098F" w:rsidP="0052098F">
      <w:pPr>
        <w:pStyle w:val="TextoNormal"/>
      </w:pPr>
      <w:r>
        <w:t xml:space="preserve">Por lo demás la insuficiencia de regulación en el Reglamento de las Cortes Valencianas de 1994 de los derechos y prerrogativas del diputado que durante la legislatura deja su Grupo y pasa a integrar el Grupo Mixto (arts. 22 a 27 del Reglamento de las Cortes Valencianas) no justifica unas respuestas cáusticas de la Mesa o de la Presidencia, sino que por el contrario exige una mayor fundamentación de sus acuerdos que permita valorar la adecuación de éstos al derecho fundamental consagrado en el art. 23.2 CE. </w:t>
      </w:r>
    </w:p>
    <w:p w:rsidR="0052098F" w:rsidRDefault="0052098F" w:rsidP="0052098F">
      <w:pPr>
        <w:pStyle w:val="TextoNormal"/>
      </w:pPr>
      <w:r>
        <w:t xml:space="preserve">Por consiguiente el Ministerio público concluye, en primer lugar, que debe otorgarse el amparo demandado por la vulneración del derecho del recurrente al ius in officium (art. 23.2 CE) “producida por los Acuerdos no motivados que han limitado, sin embargo, el citado derecho del recurrente”. Ahora bien, cuando analiza la falta de motivación de los diferentes Acuerdos concretos, no hace referencia a la comunicación de la Presidencia de 26 de abril </w:t>
      </w:r>
      <w:r>
        <w:lastRenderedPageBreak/>
        <w:t xml:space="preserve">de 2006 por la que se pone en conocimiento del recurrente en amparo que el nombramiento de asesor y de Jefe de prensa no tiene, en el parecer de la Presidencia, cobertura legal. </w:t>
      </w:r>
    </w:p>
    <w:p w:rsidR="0052098F" w:rsidRDefault="0052098F" w:rsidP="0052098F">
      <w:pPr>
        <w:pStyle w:val="TextoNormal"/>
      </w:pPr>
      <w:r>
        <w:t>En todo caso añade a lo anterior que los efectos del otorgamiento del amparo han de ser analizados a la vista de las circunstancias sobrevenidas anteriormente indicadas, pues, como dice la STC 177/2002, de 14 de octubre, decidido el otorgamiento del amparo, es necesario precisar el alcance del fallo. Y en este sentido ha de tenerse presente que los actos impugnados en amparo tuvieron lugar en una legislatura ya finalizada, al haberse disuelto las Cortes Valencianas y convocado nuevas elecciones. Por ello, al igual que se resolvió en las SSTC 107/2001, de 23 de abril, FJ 10, y 203/2001, de 15 de octubre, FJ 6, respecto a supuestos similares, no puede adoptarse una medida destinada al pleno restablecimiento del derecho vulnerado por la Presidencia o la Mesa de la Cámara ya disuelta, de modo que la pretensión del Diputado demandante de amparo ha de quedar satisfecha mediante la declaración de la lesión de su derecho (art. 23.2 CE) y de la nulidad de los acuerdos que impidieron su ejercicio.</w:t>
      </w:r>
    </w:p>
    <w:p w:rsidR="0052098F" w:rsidRDefault="0052098F" w:rsidP="0052098F">
      <w:pPr>
        <w:pStyle w:val="TextoNormal"/>
      </w:pPr>
    </w:p>
    <w:p w:rsidR="0052098F" w:rsidRDefault="0052098F" w:rsidP="0052098F">
      <w:pPr>
        <w:pStyle w:val="TextoNormal"/>
      </w:pPr>
      <w:r w:rsidRPr="0052098F">
        <w:rPr>
          <w:rStyle w:val="NumeroAFNegritaCaracter"/>
        </w:rPr>
        <w:t>13</w:t>
      </w:r>
      <w:r>
        <w:t>. Por escrito que tuvo entrada en el Registro de este Tribunal el 19 de junio de 2007 el Abogado del Estado compareció sin formular ninguna alegación, si bien solicitó que en su día se le notifique la Sentencia que resuelva el recurso de amparo.</w:t>
      </w:r>
    </w:p>
    <w:p w:rsidR="0052098F" w:rsidRDefault="0052098F" w:rsidP="0052098F">
      <w:pPr>
        <w:pStyle w:val="TextoNormal"/>
      </w:pPr>
    </w:p>
    <w:p w:rsidR="0052098F" w:rsidRDefault="0052098F" w:rsidP="0052098F">
      <w:pPr>
        <w:pStyle w:val="TextoNormal"/>
      </w:pPr>
      <w:r w:rsidRPr="0052098F">
        <w:rPr>
          <w:rStyle w:val="NumeroAFNegritaCaracter"/>
        </w:rPr>
        <w:t>14</w:t>
      </w:r>
      <w:r>
        <w:t>. Por providencia de 28 de enero de 2008 se señaló para la deliberación y votación de la presente Sentencia el día 31 de dicho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demandante de amparo, miembro del Grupo Parlamentario Popular de las Cortes Valencianas que decidió abandonar el mismo el 10 de noviembre de 2005 con el fin de integrarse en el Grupo Mixto de las referidas Cortes, solicita en el suplico de su demanda que se dicte Sentencia por la que se declare la nulidad de la Resolución de la Presidencia de las Cortes Valencianas núm. 5/VI sobre “Derechos y deberes de los Diputados que se incorporan al Grupo Mixto una vez iniciada la legislatura” por considerar que impide el pleno ejercicio de los derechos parlamentarios del Grupo Mixto y de su representante, el recurrente de amparo. En el encabezamiento de su demanda de amparo dirige no obstante su recurso, no sólo contra la referida Resolución núm.  5/VI, sino además contra las Resoluciones “de la Mesa de las Cortes Valencianas de fecha 23 de febrero de 2006 y siguientes”. Y en el cuerpo de la demanda de amparo se refiere a la denegación de tres proposiciones no de Ley (una sobre “el idioma valenciano”, otra sobre la reclamación al archivo de Aragón de los archivos correspondientes al Reino de Valencia y otra sobre las víctimas del terrorismo; siendo las denegaciones de 28 de febrero de 2006 las dos primeras y de 14 de marzo de 2006 la tercera), resoluciones todas ellas que habrían vulnerado, en el sentir del recurrente, derechos reconocidos en los arts. 14 y 23 CE. A lo que añade cita de la comunicación de la Presidencia de las Cortes de 26 de abril de 2006 por la que se puso en conocimiento del ahora recurrente en amparo que no estaba reconocida como tal, para el Grupo Mixto, ni la figura de asesor ni la figura de jefe de prensa en los términos reflejados en los escritos del recurrente.</w:t>
      </w:r>
    </w:p>
    <w:p w:rsidR="0052098F" w:rsidRDefault="0052098F" w:rsidP="0052098F">
      <w:pPr>
        <w:pStyle w:val="TextoNormal"/>
      </w:pPr>
      <w:r>
        <w:t xml:space="preserve">El Fiscal considera que la defectuosa redacción de la demanda de amparo podría confundir acerca de su verdadera sustancia, la cual ha de concretarse, sin embargo, porque así lo habría querido la parte, a tres puntos: denegación al recurrente del derecho a tener portavoz </w:t>
      </w:r>
      <w:r>
        <w:lastRenderedPageBreak/>
        <w:t>del Grupo Mixto; denegación también del derecho a ejercer las mismas iniciativas que otro Grupo Parlamentario; y no contestación por la Junta de Sindics, por el Presidente de las Cortes Valencianas y por el Letrado Mayor a las dudas que les ha planteado respecto de la interpretación que debía darse a la Resolución de 22 de diciembre de 2005. Y concluye que debe otorgarse el amparo por la lesión del derecho contenido en el art. 23 CE producida por los acuerdos no motivados que han limitado el derecho del recurrente al ius in officium (no por las omisiones o pasividad de los órganos parlamentarios).</w:t>
      </w:r>
    </w:p>
    <w:p w:rsidR="0052098F" w:rsidRDefault="0052098F" w:rsidP="0052098F">
      <w:pPr>
        <w:pStyle w:val="TextoNormal"/>
      </w:pPr>
      <w:r>
        <w:t>El Abogado del Estado compareció sin formular ninguna alegación.</w:t>
      </w:r>
    </w:p>
    <w:p w:rsidR="0052098F" w:rsidRDefault="0052098F" w:rsidP="0052098F">
      <w:pPr>
        <w:pStyle w:val="TextoNormal"/>
      </w:pPr>
    </w:p>
    <w:p w:rsidR="0052098F" w:rsidRDefault="0052098F" w:rsidP="0052098F">
      <w:pPr>
        <w:pStyle w:val="TextoNormal"/>
      </w:pPr>
      <w:r w:rsidRPr="0052098F">
        <w:rPr>
          <w:rStyle w:val="NumeroAFNegritaCaracter"/>
        </w:rPr>
        <w:t>2</w:t>
      </w:r>
      <w:r>
        <w:t>. La primera cuestión que plantea este recurso de amparo es la de la determinación de su objeto.</w:t>
      </w:r>
    </w:p>
    <w:p w:rsidR="0052098F" w:rsidRDefault="0052098F" w:rsidP="0052098F">
      <w:pPr>
        <w:pStyle w:val="TextoNormal"/>
      </w:pPr>
      <w:r>
        <w:t>A este propósito ha de señalarse que de la lectura de la demanda se desprende que lo que se plantea es la determinación de si los derechos reconocidos en los arts. 14 y 23 CE, concretamente el ius in officium del recurrente en cuanto parlamentario, han sido vulnerados por las siguientes resoluciones de la Mesa de las Cortes Valencianas:</w:t>
      </w:r>
    </w:p>
    <w:p w:rsidR="0052098F" w:rsidRDefault="0052098F" w:rsidP="0052098F">
      <w:pPr>
        <w:pStyle w:val="TextoNormal"/>
      </w:pPr>
      <w:r>
        <w:t>1) La Resolución de la Presidencia de las Cortes Valencianas núm. 5/VI sobre derechos y deberes de los Diputados que se incorporan al Grupo Mixto una vez iniciada la legislatura.</w:t>
      </w:r>
    </w:p>
    <w:p w:rsidR="0052098F" w:rsidRDefault="0052098F" w:rsidP="0052098F">
      <w:pPr>
        <w:pStyle w:val="TextoNormal"/>
      </w:pPr>
      <w:r>
        <w:t>2) La Resolución de la Mesa de las Cortes Valencianas de inadmisión de la proposición no de Ley sobre el “idioma valenciano” (RE núm. 462058), notificada al Grupo Mixto (fecha de salida) el 28 de febrero de 2006.</w:t>
      </w:r>
    </w:p>
    <w:p w:rsidR="0052098F" w:rsidRDefault="0052098F" w:rsidP="0052098F">
      <w:pPr>
        <w:pStyle w:val="TextoNormal"/>
      </w:pPr>
    </w:p>
    <w:p w:rsidR="0052098F" w:rsidRDefault="0052098F" w:rsidP="0052098F">
      <w:pPr>
        <w:pStyle w:val="TextoNormal"/>
      </w:pPr>
      <w:r w:rsidRPr="0052098F">
        <w:rPr>
          <w:rStyle w:val="NumeroAFNegritaCaracter"/>
        </w:rPr>
        <w:t>3</w:t>
      </w:r>
      <w:r>
        <w:t>. La Resolución de la Mesa de las Cortes Valencianas de inadmisión de la proposición no de Ley acerca de la reclamación al Archivo de Aragón de los archivos correspondientes al Reino de Valencia (RE núm. 46305), notificada al Grupo Mixto (fecha de salida) el 28 de febrero de 2006.</w:t>
      </w:r>
    </w:p>
    <w:p w:rsidR="0052098F" w:rsidRDefault="0052098F" w:rsidP="0052098F">
      <w:pPr>
        <w:pStyle w:val="TextoNormal"/>
      </w:pPr>
    </w:p>
    <w:p w:rsidR="0052098F" w:rsidRDefault="0052098F" w:rsidP="0052098F">
      <w:pPr>
        <w:pStyle w:val="TextoNormal"/>
      </w:pPr>
      <w:r w:rsidRPr="0052098F">
        <w:rPr>
          <w:rStyle w:val="NumeroAFNegritaCaracter"/>
        </w:rPr>
        <w:t>4</w:t>
      </w:r>
      <w:r>
        <w:t>. La Resolución de la Mesa de las Cortes Valencianas de inadmisión de la proposición no de Ley sobre las víctimas del terrorismo (RE núm. 47323), notificada al Grupo Mixto (fecha de salida) el 14 de marzo de 2006.</w:t>
      </w:r>
    </w:p>
    <w:p w:rsidR="0052098F" w:rsidRDefault="0052098F" w:rsidP="0052098F">
      <w:pPr>
        <w:pStyle w:val="TextoNormal"/>
      </w:pPr>
      <w:r>
        <w:t>Debe rechazarse la afirmación del Ministerio público según la cual forma parte de la “verdadera sustancia” de la demanda la denegación al recurrente del derecho a tener portavoz el Grupo Mixto, la denegación del derecho a ejercer las mismas iniciativas que otro grupo parlamentario y la “no contestación por la Junta de Sindics, por el Presidente de las Cortes Valencianas y por el Letrado Mayor a las dudas que les ha planteado respecto de la interpretación que debía darse a la resolución de 22 de diciembre de 2005”.</w:t>
      </w:r>
    </w:p>
    <w:p w:rsidR="0052098F" w:rsidRDefault="0052098F" w:rsidP="0052098F">
      <w:pPr>
        <w:pStyle w:val="TextoNormal"/>
      </w:pPr>
      <w:r>
        <w:t xml:space="preserve">Para explicar las razones de tal rechazo debemos comenzar recordando que el Ministerio público no puede incluir ningún contenido al objeto del recurso de amparo definido en la demanda, instrumento rector del proceso. Como hemos afirmado recientemente en la STC 232/2007, de 5 de noviembre, FJ 5, de acuerdo con lo precedentemente observado en las SSTC 271/2005, de 24 de octubre, FJ 2, y 296/2005, de 21 de noviembre, FJ 6, hemos de rechazar la solicitud del Ministerio público de que analicemos esta nueva cuestión constitucional, dado el límite que para nuestra jurisdicción supone la congruencia con la pretensión definida en la demanda, que es la que delimita definitivamente el alcance objetivo de la queja constitucional que se somete a nuestro enjuiciamiento (SSTC 291/1993, de 18 de octubre, FJ 1.b; 159/2000, de 12 de junio, FJ 2). A tales efectos “es necesario distinguir entre la pretensión —que este Tribunal no podría alterar— y el argumento o razonamiento jurídico en virtud del cual se decide si la pretensión debe ser estimada, punto este último en el </w:t>
      </w:r>
      <w:r>
        <w:lastRenderedPageBreak/>
        <w:t>que el Tribunal no está vinculado ni por las alegaciones del actor, ni por las de las de las otras partes, como se desprende del art. 84 LOTC” (SSTC 65/1983, de 21 de julio, FJ 4.a; 159/2000, de 12 de junio, FJ 2).</w:t>
      </w:r>
    </w:p>
    <w:p w:rsidR="0052098F" w:rsidRDefault="0052098F" w:rsidP="0052098F">
      <w:pPr>
        <w:pStyle w:val="TextoNormal"/>
      </w:pPr>
      <w:r>
        <w:t>La mencionada alteración de la pretensión, que convertiría “a este Tribunal en un órgano indebidamente activo” (STC 27/1986, de 19 de febrero, FJ 1), se produciría en este caso si enjuiciáramos la denegación al recurrente del derecho a tener portavoz el Grupo Mixto, la denegación del derecho a ejercer las mismas iniciativas que otro grupo parlamentario (contemplada genéricamente) o las omisiones que plantea el Fiscal, que no constituyen un mero enfoque jurídico nuevo o un simple enriquecimiento argumentativo de la queja presentada por el recurrente.</w:t>
      </w:r>
    </w:p>
    <w:p w:rsidR="0052098F" w:rsidRDefault="0052098F" w:rsidP="0052098F">
      <w:pPr>
        <w:pStyle w:val="TextoNormal"/>
      </w:pPr>
      <w:r>
        <w:t>En efecto, en el presente caso, en cuanto al primer punto que el Fiscal considera sustancial como objeto de la demanda (denegación al recurrente del derecho a tener portavoz del Grupo Mixto) debe señalarse que, como ya se ha reflejado en los antecedentes, el suplico de la demanda no hace referencia a la comunicación de la Presidencia de 26 de abril de 2006 (en la que se pone en su conocimiento el no reconocimiento de las figuras de asesor y de jefe de prensa para el Grupo Mixto en los términos concebidos por los escritos del recurrente), sino que sólo se solicita que se declare la nulidad de la Resolución de la Presidencia 5/VI, de 17 de noviembre de 2005, sobre derechos y deberes de los Diputados que se incorporan al Grupo Mixto una vez iniciada la legislatura. Y en el encabezamiento de la demanda se formaliza el recurso de amparo contra la referida resolución núm. 5/VI, “así como las resoluciones de la Mesa de las Cortes Valencianas de fecha 23 de febrero de 2006 y siguientes”, sin que se haga referencia a resolución alguna de la Presidencia distinta de la ya mencionada núm. 5/VI.</w:t>
      </w:r>
    </w:p>
    <w:p w:rsidR="0052098F" w:rsidRDefault="0052098F" w:rsidP="0052098F">
      <w:pPr>
        <w:pStyle w:val="TextoNormal"/>
      </w:pPr>
      <w:r>
        <w:t>Es cierto que la demanda “cita” (es la expresión que en ella se utiliza) la que denomina “resolución” de 25 de abril de 2006 del Presidente de las Cortes, como se ha indicado en los antecedentes. Pero ello se hace tras haber resaltado como plasmación más concreta de la interpretación inconstitucional de la Resolución de carácter general núm. 5/VI determinadas resoluciones de la Mesa de inadmisión de determinadas proposiciones no de ley (sobre el “idioma valenciano”, acerca de la reclamación al Archivo de Aragón de los archivos correspondientes al Reino de Valencia y sobre las víctimas del terrorismo) a las que nos hemos referido en los antecedentes, que sí deben considerarse, con base en una lectura antiformalista de la demanda, objeto del recurso de amparo.</w:t>
      </w:r>
    </w:p>
    <w:p w:rsidR="0052098F" w:rsidRDefault="0052098F" w:rsidP="0052098F">
      <w:pPr>
        <w:pStyle w:val="TextoNormal"/>
      </w:pPr>
      <w:r>
        <w:t>Además la comunicación de la Presidencia de 25 de abril de 2006, relativa a los asesores y al jefe de prensa, no es una resolución. Para dilucidar la naturaleza de la misma basta su lectura y la del escrito al que responde. En efecto, el único escrito aportado de los tres a los que dice contestar la referida comunicación se limita a “informar” de la designación como asesores del Grupo Mixto de determinadas personas, sin solicitar nada concreto, como consta en el tenor literal reproducido en los antecedentes (la información se hace simplemente “a los efectos oportunos y para que quede constancia de su acreditación oficial”). Coherentemente la contestación de la Presidencia se limita a “poner en conocimiento” y a “informar”; en definitiva, a expresar un parecer (no una declaración de voluntad) en una cuestión que, por lo demás, la Presidencia no tiene competencia para resolver.</w:t>
      </w:r>
    </w:p>
    <w:p w:rsidR="0052098F" w:rsidRDefault="0052098F" w:rsidP="0052098F">
      <w:pPr>
        <w:pStyle w:val="TextoNormal"/>
      </w:pPr>
      <w:r>
        <w:t xml:space="preserve">De modo que los términos en que trata la cuestión la demanda, no refiriéndose a esta notificación de la Presidencia ni en el encabezamiento ni en el suplico, mencionándola meramente a mayor abundamiento en el cuerpo del escrito, sin desarrollar ni argumentar nada en torno a la cuestión que, en la hipótesis de que se tratara de una resolución, plantearía (esto es, la de si en caso de existencia de un Grupo Mixto compuesto por un solo Diputado, este último puede nombrar asesores, y si tal derecho puede reconducirse al art. 23.1 CE), y </w:t>
      </w:r>
      <w:r>
        <w:lastRenderedPageBreak/>
        <w:t>nuestra doctrina, según la cual no nos corresponde reconstruir las demandas (por todas, STC156/2007, de 2 de julio, FJ 2), impiden considerar objeto del recurso de amparo esta comunicación.</w:t>
      </w:r>
    </w:p>
    <w:p w:rsidR="0052098F" w:rsidRDefault="0052098F" w:rsidP="0052098F">
      <w:pPr>
        <w:pStyle w:val="TextoNormal"/>
      </w:pPr>
      <w:r>
        <w:t>Debe añadirse, todavía en este punto, que el propio Fiscal, cuando expresa su opinión, según la cual debe otorgarse el amparo, no se refiere a esta comunicación, sino a “los Acuerdos no motivados que han limitado … el citado derecho del recurrente”, y los únicos acuerdos cuya motivación analiza son los de inadmisión de las proposiciones de ley.</w:t>
      </w:r>
    </w:p>
    <w:p w:rsidR="0052098F" w:rsidRDefault="0052098F" w:rsidP="0052098F">
      <w:pPr>
        <w:pStyle w:val="TextoNormal"/>
      </w:pPr>
      <w:r>
        <w:t>Otro tanto debe decirse de otro aspecto que considera el Ministerio público como “verdadera sustancia” de la demanda, concretamente “la no contestación por la Junta de Sindics, por el Presidente de las Cortes Valencianas y por el Letrado Mayor a las dudas que les ha planteado respecto de la interpretación que debería darse a la resolución de 22 de diciembre de 2005”.</w:t>
      </w:r>
    </w:p>
    <w:p w:rsidR="0052098F" w:rsidRDefault="0052098F" w:rsidP="0052098F">
      <w:pPr>
        <w:pStyle w:val="TextoNormal"/>
      </w:pPr>
      <w:r>
        <w:t>En efecto, en primer lugar el propio Fiscal no pide el otorgamiento del amparo por estas omisiones, sino por la insuficiencia de la motivación de las inadmisiones a trámite de las proposiciones de ley.</w:t>
      </w:r>
    </w:p>
    <w:p w:rsidR="0052098F" w:rsidRDefault="0052098F" w:rsidP="0052098F">
      <w:pPr>
        <w:pStyle w:val="TextoNormal"/>
      </w:pPr>
      <w:r>
        <w:t>A lo que debe añadirse, como queda reflejado en los antecedentes, que ciertamente la demanda hace referencia a solicitudes de aclaración no contestadas, pero que no hace de ello objeto del recurso de amparo, como se comprueba constatando que no pide que se obligue a los órganos correspondientes a contestar. Lo que indica en su demanda el recurrente es que, tras la aprobación de la Resolución de la Presidencia de las Cortes Valencianas núm. 5/VI, solicitó determinadas aclaraciones de ella, y que, ante “el silencio del Letrado Mayor, el Presidente y la Mesa de las Cortes”, pasó a ejercer lo que creía que eran sus derechos como representante del Grupo Mixto; que se le denegó dicho ejercicio; y que frente a la norma en la que se basan las denegaciones (según el suplico de la demanda), o frente a las mismas denegaciones y la norma en que se basan (según el encabezamiento y el cuerpo de la demanda) se dirige el recurso de amparo.</w:t>
      </w:r>
    </w:p>
    <w:p w:rsidR="0052098F" w:rsidRDefault="0052098F" w:rsidP="0052098F">
      <w:pPr>
        <w:pStyle w:val="TextoNormal"/>
      </w:pPr>
      <w:r>
        <w:t>De acuerdo a cuanto queda expuesto, de los puntos que el Ministerio público considera como “verdadera sustancia” de la demanda el único que puede considerarse tal es el relativo a la denegación del derecho a ejercer las mismas iniciativas que otro Grupo Parlamentario, si bien con matices. Y ello porque en realidad no nos corresponde entrar a considerar la cuestión planteada por el Fiscal si no es en la medida en que existan actos o resoluciones impugnadas en las que tal cuestión se plantea.  Esto es: lo que nos corresponde dilucidar es si las inadmisiones de determinadas proposiciones no de ley (la relativa al “idioma valenciano”, la relativa a la reclamación al archivo de Aragón de los archivos correspondientes al reino de Valencia y la relativa a las víctimas del terrorismo) lesionaron o no el derecho fundamental del art. 23 CE, siempre y cuando concurran los requisitos procesales para entrar a considerar el fondo de la cuestión.</w:t>
      </w:r>
    </w:p>
    <w:p w:rsidR="0052098F" w:rsidRDefault="0052098F" w:rsidP="0052098F">
      <w:pPr>
        <w:pStyle w:val="TextoNormal"/>
      </w:pPr>
      <w:r>
        <w:t>3. Una vez fijado el objeto del amparo debemos analizar si concurre en el caso algún óbice de procedibilidad de la demanda. En efecto, aunque las causas de inadmisión se aprecian ordinariamente en providencia o en Auto antes de admitir a trámite el recurso interpuesto, es también posible que, admitida a trámite una demanda de amparo, se aprecie la concurrencia de alguno de los motivos del art. 50.1 LOTC, posibilidad que no es infrecuente, sobre todo porque la decisión sobre la admisión se adopta sin haber oído al resto de las partes intervinientes en el proceso previo y, en muchas ocasiones, sin tener presentes las actuaciones judiciales, que sólo se reclaman tras la admisión (art. 51.1 LOTC, STC 39/1981, de 16 de diciembre, FJ 1).</w:t>
      </w:r>
    </w:p>
    <w:p w:rsidR="0052098F" w:rsidRDefault="0052098F" w:rsidP="0052098F">
      <w:pPr>
        <w:pStyle w:val="TextoNormal"/>
      </w:pPr>
      <w:r>
        <w:lastRenderedPageBreak/>
        <w:t>Sea, pues, en la fase previa a la tramitación del recurso, sea en el momento de dictarse Sentencia, el Tribunal está obligado a examinar si concurre en el caso algún motivo de inadmisión y, de ser así, debe negar el amparo solicitado sin proceder al enjuiciamiento del fondo del asunto, pues, como ha recordado en muchas ocasiones, el cumplimiento de los requisitos legales para la interposición de la demanda de amparo es una materia de orden público procesal, no disponible para las partes ni para el propio Tribunal, y su incumplimiento no queda subsanado por la simple admisión inicial a trámite de la demanda (SSTC 2/1984, de 18 de enero; 156/1986, de 9 de diciembre; 90/1987, de 3 de junio; 50/1991, de 11 de marzo 205/2007, de 24 de septiembre, FJ 2 y 228/2007, de 5 de noviembre, FJ 2). Como hemos señalado repetidamente (por todas, STC 230/2006, de 17 de julio, FJ 2, con abundante cita de precedentes), nada impide que este Tribunal, en el momento de dictar Sentencia, y por tanto, en fase procesal distinta a la de admisión de los recursos de amparo, pueda examinar, aunque no haya sido alegado por ninguna de las partes (SSTC 2/1982, de 29 de enero; 53/1983, de 20 de junio; 27/1984, de 24 de febrero; 90/1987, de 3 de junio; 50/1991, de 11 de marzo; y 65/2000, de 13 de marzo) los requisitos exigidos para la admisión a trámite del recurso y, en el supuesto de comprobar que no concurren en el caso, dictar un pronunciamiento de inadmisión del amparo solicitado. En tal situación el Tribunal, puede apreciar de oficio una causa de inadmisión sin abrir trámite de alegaciones (SSTC 107/1995, de 3 de julio, y 65/1996, de 16 de abril).</w:t>
      </w:r>
    </w:p>
    <w:p w:rsidR="0052098F" w:rsidRDefault="0052098F" w:rsidP="0052098F">
      <w:pPr>
        <w:pStyle w:val="TextoNormal"/>
      </w:pPr>
      <w:r>
        <w:t>Pues bien, en el supuesto aquí enjuiciado hemos de constatar, en primer lugar, que la impugnación directa de la Resolución núm. 5/VI de la Presidencia de las Cortes Valencianas es extemporánea. Como reconoce el propio demandante la Resolución impugnada es de 22 de diciembre de 2005, y el recurso frente a ella fue presentado el 23 de mayo de 2006, por tanto habiendo transcurrido con creces el plazo de tres meses que para interponer las demandas de amparo constitucional establece el art. 42 de la Ley Orgánica de este Tribunal.</w:t>
      </w:r>
    </w:p>
    <w:p w:rsidR="0052098F" w:rsidRDefault="0052098F" w:rsidP="0052098F">
      <w:pPr>
        <w:pStyle w:val="TextoNormal"/>
      </w:pPr>
      <w:r>
        <w:t>Ahora bien, dado que en sus propias alegaciones el recurrente, a raíz de la providencia de este Tribunal de 18 de septiembre de 2006, en la que se ponía de manifiesto la posible extemporaneidad del recurso, señaló que lo que realmente impugnaba era el carácter viciado y extensivo de la interpretación realizada por el Presidente y por la Mesa de las Cortes de la Resolución de la Presidencia de las Cortes de carácter general núm. 5/VI, a través de los actos de aplicación que también son objeto del presente recurso de amparo, es a éstos a los que se debe contraer nuestro enjuiciamiento. Y respecto de las Resoluciones de la Mesa en las que se concretó la Resolución de la Presidencia de carácter general núm. 5/IV el recurso es prematuro por falta de agotamiento de la vía previa.</w:t>
      </w:r>
    </w:p>
    <w:p w:rsidR="0052098F" w:rsidRDefault="0052098F" w:rsidP="0052098F">
      <w:pPr>
        <w:pStyle w:val="TextoNormal"/>
      </w:pPr>
      <w:r>
        <w:t>4. Como hemos dicho recientemente en la STC 228/2007, de 5 de noviembre, FJ 2, con carácter previo al examen de fondo de los motivos de la demanda de amparo debemos pronunciarnos sobre si en el presente caso se ha satisfecho el requisito del agotamiento de la vía judicial previa a que obliga el art. 44.1 a) LOTC como condición de admisibilidad del recurso de amparo, pues, como hemos afirmado en numerosas ocasiones, el cumplimiento de esa exigencia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últimamente STC 59/2007, de 26 de marzo, FJ 2).</w:t>
      </w:r>
    </w:p>
    <w:p w:rsidR="0052098F" w:rsidRDefault="0052098F" w:rsidP="0052098F">
      <w:pPr>
        <w:pStyle w:val="TextoNormal"/>
      </w:pPr>
      <w:r>
        <w:t xml:space="preserve">Debe efectivamente tenerse en cuenta que el art. 42 de la Ley Orgánica de este Tribunal establece el carácter recurrible de las decisiones o actos sin valor de ley de las Asambleas legislativas de las Comunidades Autónomas o de sus órganos dentro del plazo de tres meses desde que, con arreglo a las normas internas de las Cámaras o Asambleas, sean firmes. Y </w:t>
      </w:r>
      <w:r>
        <w:lastRenderedPageBreak/>
        <w:t>que la generalmente denominada solicitud de reconsideración en nuestro Derecho parlamentario ha sido considerada repetidamente por este Tribunal requisito de la firmeza a partir de la STC 161/1988, de 20 de septiembre, en la cual se advierte que “no es, sin embargo, [el] primer Acuerdo de la Mesa el que debe considerarse causante de las supuestas vulneraciones de derechos que se denuncian por los demandantes, sino el posterior adoptado por el mismo órgano parlamentario … en virtud del cual se desestimó el recurso formulado por los actores al amparo de los arts. 12.4 y 30.4 del Reglamento (solicitud de reconsideración) y confirió firmeza a la decisión anterior” (FJ 2). Esta doctrina se ha aplicado en nuestros pronunciamientos posteriores, toda vez que el otorgamiento del amparo por vulneración del ius in officium de los parlamentarios ha ido siempre precedido de la constatación de la interposición de la solicitud de reconsideración cuando la misma venía establecida por los Reglamentos parlamentarios (SSTC 161/1989, de 20 de septiembre, 181/1989, de 3 de noviembre; 205/1990, de 13 de diciembre; 95/1994, de 21 de marzo; 124/1995, de 18 de julio; 38/1999, de 22 de marzo; 107/2001 de 23 de abril; 203/2001, de 15 de octubre; 177/2002, de 14 de octubre; 40/2003, de 27 de febrero; 208/2003, de 1 de diciembre; 227/2004, de 29 de noviembre; 89/2005, de 18 de abril; 90/2005, de 18 de abril; 78/2006, de 13 de marzo; 361/2006, de 18 de diciembre; y 141/2007, de 18 de junio).</w:t>
      </w:r>
    </w:p>
    <w:p w:rsidR="0052098F" w:rsidRDefault="0052098F" w:rsidP="0052098F">
      <w:pPr>
        <w:pStyle w:val="TextoNormal"/>
      </w:pPr>
      <w:r>
        <w:t>En el presente caso el recurrente de amparo no justifica ni acredita que haya presentado las correspondientes solicitudes de reconsideración, que en el caso resultaban necesarias.</w:t>
      </w:r>
    </w:p>
    <w:p w:rsidR="0052098F" w:rsidRDefault="0052098F" w:rsidP="0052098F">
      <w:pPr>
        <w:pStyle w:val="TextoNormal"/>
      </w:pPr>
      <w:r>
        <w:t>En efecto, en el art. 32 del Reglamento de las Cortes Valencianas, en la redacción dada por la reforma de 30 de junio de 1994 (DOGV núm. 2320, de 28 de julio de 1994) vigente tanto en el momento de producirse los hechos que dieron lugar a las solicitudes que están en el origen del presente recurso de amparo como en el de presentación de las propias solicitudes y en el de producirse las denegaciones de ellas se establecía (apartado 1, subapartados sexto y séptimo), que: “corresponden a la Mesa las siguientes funciones: … Sexto. – Calificar, con arreglo al Reglamento, los escritos y documentos de índole parlamentaria, así como declarar la admisibilidad o inadmisibilidad de los mismos. Séptimo. – Decidir la tramitación de todos los escritos y documentos de índole parlamentaria, de acuerdo con las normas establecidas en este Reglamento”. Y el apartado 2 del referido art. 27 disponía que: “Si un Diputado o un Grupo Parlamentario discrepa de la decisión adoptada por la Mesa en el ejercicio de las funciones a las que se refieren los puntos sexto y séptimo del apartado anterior, podrá solicitar su reposición. La Mesa decidirá definitivamente, oída la Junta de Portavoces, mediante resolución motivada, existiendo diez días de plazo para la presentación del recurso de reposición, así como veinte días para que la Mesa resuelva a partir de su tramitación”.</w:t>
      </w:r>
    </w:p>
    <w:p w:rsidR="0052098F" w:rsidRDefault="0052098F" w:rsidP="0052098F">
      <w:pPr>
        <w:pStyle w:val="TextoNormal"/>
      </w:pPr>
      <w:r>
        <w:t>Pues bien, es patente que todas las solicitudes denegadas objeto del presente recurso de amparo han de considerarse comprendidas en los supuestos de hecho de los reproducidos subapartados VI y VII del apartado 1 del art. 27. En efecto, las inadmisiones de las proposiciones no de Ley sobre el “idioma valenciano” (RE núm. 46258), sobre la reclamación al Archivo de Aragón de los archivos del Reino de Valencia (RE núm. 46305) y sobre las víctimas del terrorismo (RE núm. 47323) son Acuerdos que califican e inadmiten actos de parlamentarios.</w:t>
      </w:r>
    </w:p>
    <w:p w:rsidR="0052098F" w:rsidRDefault="0052098F" w:rsidP="0052098F">
      <w:pPr>
        <w:pStyle w:val="TextoNormal"/>
      </w:pPr>
      <w:r>
        <w:t xml:space="preserve">En consecuencia cabía, en todos estos casos lo que el Reglamento denominaba reposición. Y sin embargo no se ha justificado ni se ha acreditado por el ahora recurrente en amparo la interposición de este remedio. De donde se desprende que, frente a lo que afirma del Ministerio público, los Acuerdos recurridos en amparo no eran firmes (o no habían alcanzado firmeza tras la utilización por el ahora demandante de amparo de todos los recursos </w:t>
      </w:r>
      <w:r>
        <w:lastRenderedPageBreak/>
        <w:t>utilizables frente a ellos) y, por lo tanto, no resultaban recurribles en amparo, por lo que el recurso de tal naturaleza interpuesto ante este Tribunal deviene inadmisible.</w:t>
      </w:r>
    </w:p>
    <w:p w:rsidR="0052098F" w:rsidRDefault="0052098F" w:rsidP="0052098F">
      <w:pPr>
        <w:pStyle w:val="TextoNormal"/>
      </w:pPr>
    </w:p>
    <w:p w:rsidR="0052098F" w:rsidRDefault="0052098F" w:rsidP="0052098F">
      <w:pPr>
        <w:pStyle w:val="TextoNormal"/>
      </w:pPr>
      <w:r w:rsidRPr="0052098F">
        <w:rPr>
          <w:rStyle w:val="NumeroAFNegritaCaracter"/>
        </w:rPr>
        <w:t>5</w:t>
      </w:r>
      <w:r>
        <w:t>. En cuanto al contenido del fallo procedente en el caso ha de advertirse que este Tribunal, desde tempranas decisiones, ha entendido que la falta de presupuestos procesales en un recurso de amparo impide entrar en el fondo del mismo, tanto si este defecto se constata en fase de admisión como si la apreciación correspondiente se realiza una vez admitido a trámite el recurso. Así, por ejemplo, ya la STC 14/1982, de 21 de abril, ante la denuncia realizada por el Ministerio público de extemporaneidad de la demanda, afirmó que el examen de dicha cuestión debía hacerse en aquel momento previamente al enjuiciamiento de fondo, sin que el carácter tasado de los pronunciamientos previstos en el art. 53 LOTC impidiera efectuar, en tiempo distinto al previsto para la inicial admisión o inadmisión a trámite de la demanda de amparo, un pronunciamiento denegatorio del recurso interpuesto por falta de alguno (o varios) de sus presupuestos procesales. Esta doctrina se ha mantenido de manera inalterada hasta nuestros días (así, en las SSTC 123/2000 y 148/2000, de 16 de mayo y 1 de junio, entre otras).</w:t>
      </w:r>
    </w:p>
    <w:p w:rsidR="0052098F" w:rsidRDefault="0052098F" w:rsidP="0052098F">
      <w:pPr>
        <w:pStyle w:val="TextoNormal"/>
      </w:pPr>
      <w:r>
        <w:t>Y es que, en efecto, la existencia de las denominadas “sentencias de inadmisión” resulta técnicamente correcta y en nada contradice el tenor del art. 53 LOTC, puesto que lo en él establecido se refiere a la estimación o desestimación a efectuar “al conocer del fondo del asunto”. Como quiera que la apreciación en sentencia de la carencia de un presupuesto procesal impide conocer del fondo del asunto, resulta evidente que el pronunciamiento de inadmisión es adecuado y respetuoso con el tenor del art.  53, toda vez que los pronunciamientos allí previstos se refieren a asuntos en los que se entra a resolver sobre el fondo al resultar satisfechos en el caso todos los requisitos procesales.</w:t>
      </w:r>
    </w:p>
    <w:p w:rsidR="0052098F" w:rsidRDefault="0052098F" w:rsidP="0052098F">
      <w:pPr>
        <w:pStyle w:val="TextoNormal"/>
      </w:pPr>
      <w:r>
        <w:t>De conformidad a lo hasta aquí razonado resulta procedente la inadmisión del presente recurso de amparo.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Inadmitir el recurso de amparo interpuesto por don Francisco Javier Tomás Puchol.</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4" w:name="SENTENCIA_2008_21"/>
      <w:r>
        <w:lastRenderedPageBreak/>
        <w:t>SENTENCIA 21/2008, de 31 de enero de 2008</w:t>
      </w:r>
    </w:p>
    <w:bookmarkEnd w:id="24"/>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ECLI:ES:TC:2008:21</w:t>
      </w:r>
    </w:p>
    <w:p w:rsidR="0052098F" w:rsidRDefault="0052098F" w:rsidP="0052098F">
      <w:pPr>
        <w:pStyle w:val="SntesisDescriptiva"/>
      </w:pPr>
    </w:p>
    <w:p w:rsidR="0052098F" w:rsidRDefault="0052098F" w:rsidP="0052098F">
      <w:pPr>
        <w:pStyle w:val="SntesisDescriptiva"/>
      </w:pPr>
      <w:r>
        <w:t>Recurso de amparo 7598-2006. Promovido por don Ramón López Iglesias frente a la Sentencia y el Auto de aclaración de la Sala Segunda de lo Penal del Tribunal Supremo que estimó parcialmente su recurso de casación en causa por delitos de estafa y falsificación de documento.</w:t>
      </w:r>
    </w:p>
    <w:p w:rsidR="0052098F" w:rsidRDefault="0052098F" w:rsidP="0052098F">
      <w:pPr>
        <w:pStyle w:val="SntesisDescriptiva"/>
      </w:pPr>
    </w:p>
    <w:p w:rsidR="0052098F" w:rsidRDefault="0052098F" w:rsidP="0052098F">
      <w:pPr>
        <w:pStyle w:val="SntesisAnaltica"/>
      </w:pPr>
      <w:r>
        <w:t>Vulneración del derecho a la tutela judicial efectiva: mantenimiento de la pena de prisión de un condenado cuyo recurso de casación ha sido estimado parcialmente, revocando uno de los delitos que sustentaban la pena, sin motivación.</w:t>
      </w:r>
    </w:p>
    <w:p w:rsidR="0052098F" w:rsidRDefault="0052098F" w:rsidP="0052098F">
      <w:pPr>
        <w:pStyle w:val="SntesisAnaltica"/>
      </w:pPr>
    </w:p>
    <w:p w:rsidR="0052098F" w:rsidRDefault="0052098F" w:rsidP="0052098F">
      <w:pPr>
        <w:pStyle w:val="Extracto"/>
      </w:pPr>
      <w:r>
        <w:t>1.</w:t>
      </w:r>
      <w:r>
        <w:tab/>
        <w:t>La existencia de un déficit de motivación en punto a la determinación en concreto de la pena impuesta al demandante de amparo lesiona el derecho a la tutela judicial efectiva [FFJJ 4, 5].</w:t>
      </w:r>
    </w:p>
    <w:p w:rsidR="0052098F" w:rsidRDefault="0052098F" w:rsidP="0052098F">
      <w:pPr>
        <w:pStyle w:val="Extracto"/>
      </w:pPr>
    </w:p>
    <w:p w:rsidR="0052098F" w:rsidRDefault="0052098F" w:rsidP="0052098F">
      <w:pPr>
        <w:pStyle w:val="Extracto"/>
      </w:pPr>
      <w:r>
        <w:t>2.</w:t>
      </w:r>
      <w:r>
        <w:tab/>
        <w:t>Doctrina sobre el deber general de motivación de las sentencias y, en particular, sobre la obligación reforzada de motivar la concreta pena impuesta (SSTC 170/2004, 148/2005) [FFJJ 3, 4].</w:t>
      </w:r>
    </w:p>
    <w:p w:rsidR="0052098F" w:rsidRDefault="0052098F" w:rsidP="0052098F">
      <w:pPr>
        <w:pStyle w:val="Extracto"/>
      </w:pPr>
    </w:p>
    <w:p w:rsidR="0052098F" w:rsidRDefault="0052098F" w:rsidP="0052098F">
      <w:pPr>
        <w:pStyle w:val="Extracto"/>
      </w:pPr>
      <w:r>
        <w:t>3.</w:t>
      </w:r>
      <w:r>
        <w:tab/>
        <w:t>Una decisión judicial en virtud de la cual, pese a haber estimado parcialmente el recurso de casación y absuelto al recurrente de uno de los delitos, se mantenga la pena impuesta en la instancia, no puede ser considerada fruto de un error de hecho con relevancia constitucional, dado que el fundamento que se alega es un pronunciamiento de naturaleza jurídica [FJ 2].</w:t>
      </w:r>
    </w:p>
    <w:p w:rsidR="0052098F" w:rsidRDefault="0052098F" w:rsidP="0052098F">
      <w:pPr>
        <w:pStyle w:val="Extracto"/>
      </w:pPr>
    </w:p>
    <w:p w:rsidR="0052098F" w:rsidRDefault="0052098F" w:rsidP="0052098F">
      <w:pPr>
        <w:pStyle w:val="Extracto"/>
      </w:pPr>
      <w:r>
        <w:t>4.</w:t>
      </w:r>
      <w:r>
        <w:tab/>
        <w:t>Aplica la doctrina sobre el error patente que se integra en el derecho a la tutela judicial efectiva (SSTC 242/2005, 180/2007) [FJ 2].</w:t>
      </w:r>
    </w:p>
    <w:p w:rsidR="0052098F" w:rsidRDefault="0052098F" w:rsidP="0052098F">
      <w:pPr>
        <w:pStyle w:val="Extracto"/>
      </w:pPr>
    </w:p>
    <w:p w:rsidR="0052098F" w:rsidRDefault="0052098F" w:rsidP="0052098F">
      <w:pPr>
        <w:pStyle w:val="Extracto"/>
      </w:pPr>
      <w:r>
        <w:t>5.</w:t>
      </w:r>
      <w:r>
        <w:tab/>
        <w:t>La jurisprudencia de este Tribunal ha negado la posible inclusión del principio de retroactividad de la Ley penal más favorable en el art. 25.1 CE, por lo que no es posible realizar un examen sobre la vulneración del principio de legalidad (SSTC 14/1891, 99/2000) [FJ 5].</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7598-2006, promovido por don Ramón López Iglesias, representado por la Procuradora de los Tribunales doña María del Rosario Victoria Bolívar y asistido por el Abogado don Joseba Íñiguez Ochoa, contra la Sentencia de 2 de marzo de 2006 (segunda Sentencia) y el Auto de 17 de mayo de 2006, dictados ambos por la Sala Segunda del Tribunal Supremo, en el recurso de casación núm. 2254-2004. Ha intervenido el Ministerio Fiscal. Ha sido Ponente el Magistrado don Javier Delgado Barrio,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que tuvo entrada en el Registro General de este Tribunal el día 18 de julio de 2006, la Procuradora de los Tribunales doña María del Rosario Victoria Bolívar, en nombre y representación de don Ramón López Iglesias, interpuso recurso de amparo contra las resoluciones judiciales que se citan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tiene su origen el presente recurso y relevantes para su resolución son, sucintamente expuestos, los siguientes: </w:t>
      </w:r>
    </w:p>
    <w:p w:rsidR="0052098F" w:rsidRDefault="0052098F" w:rsidP="0052098F">
      <w:pPr>
        <w:pStyle w:val="TextoNormal"/>
      </w:pPr>
      <w:r>
        <w:t xml:space="preserve">a) La Sentencia de la Sección Primera de la Audiencia Provincial de Vizcaya de 30 de junio de 2004, condenó al demandante de amparo, como autor de los delitos de estafa continuada en concurso medial con delito de uso de documento falso oficial y mercantil, a la pena de cuatro años de prisión, accesoria de inhabilitación para el derecho de sufragio pasivo durante el tiempo que dure la condena, así como al abono de las costas procesales causadas. </w:t>
      </w:r>
    </w:p>
    <w:p w:rsidR="0052098F" w:rsidRDefault="0052098F" w:rsidP="0052098F">
      <w:pPr>
        <w:pStyle w:val="TextoNormal"/>
      </w:pPr>
      <w:r>
        <w:t xml:space="preserve">En relación con la pena a imponer, en el fundamento jurídico cuarto se señala —en lo que aquí interesa— que estamos ante un delito continuado de estafa del tipo básico (art. 249 CP) “que en concurso medial con el delito de uso de falsedad en documento público, llevaría a imponer la pena (arts. 74 y 77 del C. Penal) en cuatro años de prisión”. </w:t>
      </w:r>
    </w:p>
    <w:p w:rsidR="0052098F" w:rsidRDefault="0052098F" w:rsidP="0052098F">
      <w:pPr>
        <w:pStyle w:val="TextoNormal"/>
      </w:pPr>
      <w:r>
        <w:t xml:space="preserve">Y en el fundamento jurídico quinto se justifica la pena impuesta sobre la base de que no se aprecia la concurrencia de circunstancias modificativas de la responsabilidad penal y “en atención a las circunstancias que se derivan de la variedad de afectados, multiplicidad de las acciones, importancia del montante económico y concurso de los delitos en el modo expresado (art. 249 del C. Penal)”. </w:t>
      </w:r>
    </w:p>
    <w:p w:rsidR="0052098F" w:rsidRDefault="0052098F" w:rsidP="0052098F">
      <w:pPr>
        <w:pStyle w:val="TextoNormal"/>
      </w:pPr>
      <w:r>
        <w:t xml:space="preserve">b) Contra la anterior resolución, el demandante de amparo interpuso recurso de casación, que fue impugnado por el Ministerio Fiscal, salvo en uno de los motivos. En concreto, el Fiscal apoya parcialmente el quinto motivo de recurso, poniendo de manifiesto que no cabe apreciar el delito de uso de documento falso (art. 393 CP), que resulta absorbido por el delito de estafa y que “la pena impuesta de cuatro años de prisión debe ser reducida, por cuanto la Ley Orgánica 15/2003, de 25 de noviembre, cuya entrada en vigor se produjo el 1 de octubre de 2004, establece que la extensión de la pena prevista en el art. 249 del Código Penal oscila entre los 6 meses y tres años”. </w:t>
      </w:r>
    </w:p>
    <w:p w:rsidR="0052098F" w:rsidRDefault="0052098F" w:rsidP="0052098F">
      <w:pPr>
        <w:pStyle w:val="TextoNormal"/>
      </w:pPr>
      <w:r>
        <w:t xml:space="preserve">El recurso fue parcialmente estimado por Sentencia de la Sala de lo Penal del Tribunal Supremo de 2 de marzo de 2006. Esta Sentencia, en su fundamento jurídico quinto, sostiene </w:t>
      </w:r>
      <w:r>
        <w:lastRenderedPageBreak/>
        <w:t xml:space="preserve">que aborda la impugnación de la calificación jurídica de los hechos desde la perspectiva sostenida por el Ministerio Fiscal, expresándolo así: </w:t>
      </w:r>
    </w:p>
    <w:p w:rsidR="0052098F" w:rsidRDefault="0052098F" w:rsidP="0052098F">
      <w:pPr>
        <w:pStyle w:val="TextoNormal"/>
      </w:pPr>
      <w:r>
        <w:t xml:space="preserve">“Argumenta el ministerio público que no es factible la doble condena por delito de uso de documento oficial falso y por delito de estafa, por cuanto al exigir el delito de falsedad de uso el perjuicio de tercero, ese elemento queda absorbido en la estafa. Este criterio es compartido. La exigencia típica de que el delito de falsedad de uso, para que sea típico exige que sea presentado en juicio o que se realice en perjuicio de tercero, supone que el documento falso que se emplea es la propia artimaña o engaño de la estafa que exige el ánimo de lucro. Por lo tanto, en aplicación de la norma de solución concursal de normas, prevista en el apartado 3 del art. 8 del Código Penal, procede absorber en la estafa la utilización del documento falso.- Resta por examinar cuál de los dos Códigos aplicables, el del Texto Refundido de 1973, o el de 1995, es de aplicación. Por el primero, la pena procedente sería la que media entre la prisión menor, seis meses y un día, y el grado medio de la prisión mayor, ocho años, resultante de considerar que el delito de estafa era de gravedad muy calificada, al exceder varias de las estafas de los seis millones que permitía la configuración de la especial gravedad como calificada. Además al tratarse de delito continuado, la penalidad podía ser impuesta hasta el grado medio de la pena superior en grado. De acuerdo al Código de 1995, la pena procedente es la que media entre los seis meses a cuatro años, en la mitad superior, esto es, la que media entre dos años y tres meses y cuatro años. A esta pena se llega desde la consideración de que nos encontramos ante un delito de estafa, no agravado, y aplicando la regla penológica del art. 74 anterior a su reforma por la LO 15/2003.- Parece patente que es más beneficioso el Código actualmente vigente, por lo que el motivo no puede ser estimado en la argumentación que desarrolla el recurrente, si bien, y como postula el Ministerio público, será estimado para suprimir de la penalidad la condena por el delito de uso de documento oficial falsificado del art. 393 del Código Penal”. </w:t>
      </w:r>
    </w:p>
    <w:p w:rsidR="0052098F" w:rsidRDefault="0052098F" w:rsidP="0052098F">
      <w:pPr>
        <w:pStyle w:val="TextoNormal"/>
      </w:pPr>
      <w:r>
        <w:t xml:space="preserve">Al final del fundamento jurídico décimo se introduce un párrafo del siguiente tenor literal: “Segunda sentencia: condenar a los dos por delito continuado de estafa a la pena de dos años y tres meses de prisión, accesorias legales y al pago de las costas procesales”. A continuación, en el fallo, se declara haber lugar parcialmente al recurso de casación por infracción de ley, casando y anulando la Sentencia de la Audiencia Provincial de Vizcaya. </w:t>
      </w:r>
    </w:p>
    <w:p w:rsidR="0052098F" w:rsidRDefault="0052098F" w:rsidP="0052098F">
      <w:pPr>
        <w:pStyle w:val="TextoNormal"/>
      </w:pPr>
      <w:r>
        <w:t xml:space="preserve">Ese mismo día, se dicta la segunda Sentencia por la Sala de lo Penal del Tribunal Supremo, en cuya fundamentación se afirma: “Que por las razones expresadas en el quinto de los fundamentos jurídicos de la Sentencia de casación procede la estimación parcial de los recursos presentados por don Ramón López Iglesias y don A.F.S.”. Y su fallo tiene el siguiente tenor literal: “Que debemos condenar y condenamos a don Ramón López Iglesias y don A.F.S. como autores de un delito de estafa ya definido a la pena de cuatro años de prisión, accesorias de inhabilitación para el derecho de sufragio pasivo durante el tiempo de la condena y al pago de la mitad de las costas procesales integrando las de la acusación relativas a doña M.L.R.P. y a C.M.C. Y les absolvemos del delito de uso de documento falso oficial con declaración de oficio de la mitad de las costas procesales. Se ratifican los demás pronunciamientos de la sentencia impugnada”. </w:t>
      </w:r>
    </w:p>
    <w:p w:rsidR="0052098F" w:rsidRDefault="0052098F" w:rsidP="0052098F">
      <w:pPr>
        <w:pStyle w:val="TextoNormal"/>
      </w:pPr>
      <w:r>
        <w:t xml:space="preserve">c) El recurrente solicitó la aclaración de esta segunda Sentencia, por entender que existía un error material de transcripción en el fallo, a la vista de lo expuesto en el fundamento jurídico quinto de la primera Sentencia y del párrafo final de la fundamentación jurídica de la misma, previo al fallo, y que la pena impuesta debería ser de dos años y tres meses de prisión. </w:t>
      </w:r>
    </w:p>
    <w:p w:rsidR="0052098F" w:rsidRDefault="0052098F" w:rsidP="0052098F">
      <w:pPr>
        <w:pStyle w:val="TextoNormal"/>
      </w:pPr>
      <w:r>
        <w:lastRenderedPageBreak/>
        <w:t>Mediante Auto de 17 de mayo de 2006, la Sala de lo Penal del Tribunal Supremo procede a la aclaración del error material de transcripción padecido, manifestando en el razonamiento jurídico segundo lo siguiente: “En la Sentencia dictada por esta Sala en el recurso de casación 2254/2004, se aprecia un error de transcripción al incorporar en el fundamento jurídico décimo un párrafo, el último, que ha de ser suprimido. Error material que mediante el presente Auto de aclaración se subsana mediante la omisión del último párrafo de dicho fundamento jurídico”. En virtud de lo cual se acuerda aclarar el error material de transcripción padecido en la primera Sentencia, “omitiendo dicho último párrafo del fundamento jurídico décimo”.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El recurrente fundamenta su demanda de amparo en la vulneración de su derecho fundamental a la tutela judicial efectiva (art. 24.1 CE) y a un proceso con todas las garantías (art. 24.2 CE), desde diversas perspectivas. </w:t>
      </w:r>
    </w:p>
    <w:p w:rsidR="0052098F" w:rsidRDefault="0052098F" w:rsidP="0052098F">
      <w:pPr>
        <w:pStyle w:val="TextoNormal"/>
      </w:pPr>
      <w:r>
        <w:t xml:space="preserve">En primer lugar, se denuncia la existencia de “un error patente a la hora de transcribir el fallo de la segunda Sentencia”, no resuelto por el Auto de aclaración. El error consistiría en la imposición de una pena de cuatro años de prisión, idéntica a la impuesta por el Tribunal a quo (pese a haberse estimado parcialmente el recurso de casación y habérsele absuelto del delito de uso de documento falso por el que había sido inicialmente condenado, y pese a que la única parte acusadora había apoyado el motivo e interesado la reducción de la pena), cuando la primera Sentencia anticipaba el fallo en inequívocos términos al afirmar: “Segunda sentencia: condenar a los dos por delito continuado de estafa a la pena de 2 años y tres meses de prisión, accesorias legales y el pago de las costas procesales”. A estos argumentos añade el de que, si la Sala Segunda hubiera querido imponer idéntica pena, en aplicación del principio de pena justificada hubiera procedido a desestimar el recurso de casación por infracción de ley, pues el mismo estaría privado de eficacia práctica alguna. </w:t>
      </w:r>
    </w:p>
    <w:p w:rsidR="0052098F" w:rsidRDefault="0052098F" w:rsidP="0052098F">
      <w:pPr>
        <w:pStyle w:val="TextoNormal"/>
      </w:pPr>
      <w:r>
        <w:t xml:space="preserve">En segundo lugar, se sostiene que la imposición de una pena idéntica a la de la instancia en este caso resuelta manifiestamente irrazonable, porque no se cohonesta con la motivación de la Sentencia, y en concreto con el fundamento jurídico quinto, en el que el Tribunal Supremo afirmaba que el motivo “como postula el Ministerio público, será estimado para suprimir de la penalidad la condena por el delito de uso de documento oficial falsificado del art. 393 del Código penal”. Si la Audiencia impuso la pena máxima permitida (cuatro años de prisión), entendiendo que concurrían dos delitos en concurso medial, suprimido uno de ellos no puede castigarse la conducta con la misma penalidad, salvo que se expliciten las razones para mantener esa máxima penalidad, cosa que no hacen las resoluciones impugnadas. </w:t>
      </w:r>
    </w:p>
    <w:p w:rsidR="0052098F" w:rsidRDefault="0052098F" w:rsidP="0052098F">
      <w:pPr>
        <w:pStyle w:val="TextoNormal"/>
      </w:pPr>
      <w:r>
        <w:t xml:space="preserve">Por último, sostiene el recurrente que el Ministerio público —única parte acusadora— había solicitado expresamente que se rebajase la pena de cuatro años impuesta por la Audiencia Provincial, por lo que el apartamiento de tal criterio e imponer una pena superior a la solicitada por el Fiscal sólo es constitucionalmente admisible, según la doctrina de este Tribunal (STC 20/2003, de 10 de febrero, FJ 6) si se exteriorizan de modo expreso las razones que conducen a tal decisión, como reflejo del principio acusatorio. La ausencia de motivación al respecto quiebra la garantía contenida en el art. 24.1, con incidencia en el principio acusatorio, integrado en el derecho a un proceso con todas las garantías (art. 24.2 CE). </w:t>
      </w:r>
    </w:p>
    <w:p w:rsidR="0052098F" w:rsidRDefault="0052098F" w:rsidP="0052098F">
      <w:pPr>
        <w:pStyle w:val="TextoNormal"/>
      </w:pPr>
      <w:r>
        <w:t xml:space="preserve">En el suplico interesa que se declare la nulidad de las resoluciones recurridas, con retroacción de las actuaciones para que la Sala Segunda del Tribunal Supremo dicte una nueva segunda Sentencia acomodada a la fundamentación jurídica de la primera y en la que la pena a imponer no sea superior a la solicitada por el Fiscal. </w:t>
      </w:r>
    </w:p>
    <w:p w:rsidR="0052098F" w:rsidRDefault="0052098F" w:rsidP="0052098F">
      <w:pPr>
        <w:pStyle w:val="TextoNormal"/>
      </w:pPr>
      <w:r>
        <w:lastRenderedPageBreak/>
        <w:t>Mediante otrosí se interesa igualmente la suspensión de la ejecución de la Sentencia impugnada, pues de no acordarse la misma se le causaría un perjuicio irreparable.</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31 de octubre de 2006, la Sección Primera acordó la admisión a trámite de la demanda de amparo y, a tenor de lo dispuesto en el art. 51 LOTC, requerir atentamente a la Sala de lo Penal del Tribunal Supremo y a la Sección Primera de la Audiencia Provincial de Vizcaya para que en el plazo de diez días remitieran respectivamente testimonio del recurso de casación 2254-2004 y del rollo penal 79-2002,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0052098F" w:rsidRDefault="0052098F" w:rsidP="0052098F">
      <w:pPr>
        <w:pStyle w:val="TextoNormal"/>
      </w:pPr>
    </w:p>
    <w:p w:rsidR="0052098F" w:rsidRDefault="0052098F" w:rsidP="0052098F">
      <w:pPr>
        <w:pStyle w:val="TextoNormal"/>
      </w:pPr>
      <w:r w:rsidRPr="0052098F">
        <w:rPr>
          <w:rStyle w:val="NumeroAFNegritaCaracter"/>
        </w:rPr>
        <w:t>5</w:t>
      </w:r>
      <w:r>
        <w:t>.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ATC 39/2007, de 12 de febrero, la Sala Primera acordó suspender la ejecución de la Sentencia recurrida en lo relativo a la pena privativa de libertad y a la accesoria legal, denegándola respecto de los demás pronunciamientos.</w:t>
      </w:r>
    </w:p>
    <w:p w:rsidR="0052098F" w:rsidRDefault="0052098F" w:rsidP="0052098F">
      <w:pPr>
        <w:pStyle w:val="TextoNormal"/>
      </w:pPr>
    </w:p>
    <w:p w:rsidR="0052098F" w:rsidRDefault="0052098F" w:rsidP="0052098F">
      <w:pPr>
        <w:pStyle w:val="TextoNormal"/>
      </w:pPr>
      <w:r w:rsidRPr="0052098F">
        <w:rPr>
          <w:rStyle w:val="NumeroAFNegritaCaracter"/>
        </w:rPr>
        <w:t>6</w:t>
      </w:r>
      <w:r>
        <w:t>. Una vez recibidos los testimonios de las actuaciones, a través de una diligencia de ordenación de 16 de febrero de 2007, se dio vista de las mismas a la parte recurrente y al Ministerio público por término de veinte días, dentro de los cuales podrían presentar las alegaciones que estimaran pertinentes, conforme a lo establecido en el art. 52 LOTC.</w:t>
      </w:r>
    </w:p>
    <w:p w:rsidR="0052098F" w:rsidRDefault="0052098F" w:rsidP="0052098F">
      <w:pPr>
        <w:pStyle w:val="TextoNormal"/>
      </w:pPr>
    </w:p>
    <w:p w:rsidR="0052098F" w:rsidRDefault="0052098F" w:rsidP="0052098F">
      <w:pPr>
        <w:pStyle w:val="TextoNormal"/>
      </w:pPr>
      <w:r w:rsidRPr="0052098F">
        <w:rPr>
          <w:rStyle w:val="NumeroAFNegritaCaracter"/>
        </w:rPr>
        <w:t>7</w:t>
      </w:r>
      <w:r>
        <w:t>. La representación procesal del demandante de amparo formuló sus alegaciones mediante escrito que tuvo su entrada en el Registro General de este Tribunal el día 22 de marzo de 2007, en el que da por reproducidos los argumentos ya expuestos en la demanda.</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día 23 de marzo de 2007 presentó sus alegaciones el Ministerio Fiscal, interesando el otorgamiento del amparo, por vulneración de los derechos a la tutela judicial efectiva (art. 24.1 CE) y a la legalidad (art. 25.1 CE). </w:t>
      </w:r>
    </w:p>
    <w:p w:rsidR="0052098F" w:rsidRDefault="0052098F" w:rsidP="0052098F">
      <w:pPr>
        <w:pStyle w:val="TextoNormal"/>
      </w:pPr>
      <w:r>
        <w:t xml:space="preserve">Tras recordar la doctrina de este Tribunal acerca del error patente, con cita de la STC 109/2006, sostiene el Fiscal que en el presente caso “no existe un error fáctico inmediatamente verificable, pues no puede calificarse como tal la decisión judicial por virtud de la cual, de un lado se estima el recurso de casación, y de otro no se llega a reducir la pena impuesta por la Audiencia Provincial; y ello, porque la tácita inaplicación del denominado ‘principio de pena justificada’, no sólo no es que no integre un hecho —pues constituye una valoración en la que la Sala emplea o no el meritado principio—, sino que, además, éste no posee una indiscutible virtualidad ni acarrea la consiguiente e imperativa sujeción por parte del órgano judicial, pues el empleo de dicho principio es siempre potestativo, siendo la Sala a quien corresponde en cada caso decidir si ante el planteamiento de un recurso de casación se vale o no de tal instituto, resolviendo desde la perspectiva de una valoración jurídica —no de la supuesta afirmación de un elemento fáctico—, si resulta o no sostenible una determinada impugnación de la parte, sin perjuicio de que la consecuencia penológica pueda no obstante permanecer invariada. A estos efectos ha de tenerse en cuenta además el carácter </w:t>
      </w:r>
      <w:r>
        <w:lastRenderedPageBreak/>
        <w:t xml:space="preserve">informador de la jurisprudencia del Tribunal Supremo, y por lo tanto, la necesidad del establecimiento de líneas interpretativas con una finalidad dogmática que no puede hurtarse acudiendo al fácil expediente de la identidad cuantitativa de las penas, con abstracción de las razones que justifican la imposición de unas u otras, pues en tal caso se defraudaría la función integradora del ordenamiento jurídico que a la jurisprudencia reserva el Código Civil”. </w:t>
      </w:r>
    </w:p>
    <w:p w:rsidR="0052098F" w:rsidRDefault="0052098F" w:rsidP="0052098F">
      <w:pPr>
        <w:pStyle w:val="TextoNormal"/>
      </w:pPr>
      <w:r>
        <w:t xml:space="preserve">Entiende el Fiscal que sí podía apreciarse en la Sentencia impugnada una incongruencia interna, ante la manifiesta contradicción que se advierte entre el contenido del segundo párrafo del fundamento de derecho décimo de la primera Sentencia (en el que se dice: “Segunda sentencia: condenar a los dos por delito continuado de estafa a la pena de dos años y tres meses de prisión”) y el fallo de la segunda (en la que se condena a los acusados a la pena de cuatro años de prisión). Y aunque la misma ha sido resuelta por el Auto de aclaración, la forma en que se ha producido dicha subsanación “resulta manifiestamente arbitraria”. Y ello porque “para resolver la incongruencia interna se acude al fácil expediente de suprimir sin más una de las menciones de la Sentencia, señalando que al incluirla se habría sufrido un error mecanográfico. Sin embargo, no se explica en la citada resolución, el motivo por el cual, ante los dos pronunciamientos incompatibles entre sí (dos años y tres meses vs. cuatro años) se sitúa el error en el primero de ellos, cuando la fundamentación de la Sentencia no parece avalar esa tesis, sino precisamente la contraria”. La segunda Sentencia del Tribunal Supremo resulta necesariamente condicionada por el contenido de la primera y al no haberse respetado dicho contenido en la segunda Sentencia ésta resulta manifiestamente arbitraria y vulneradora del derecho a la tutela judicial efectiva (art. 24.1 CE). </w:t>
      </w:r>
    </w:p>
    <w:p w:rsidR="0052098F" w:rsidRDefault="0052098F" w:rsidP="0052098F">
      <w:pPr>
        <w:pStyle w:val="TextoNormal"/>
      </w:pPr>
      <w:r>
        <w:t xml:space="preserve">Al margen de lo anterior, entiende el Fiscal que el artículo 249 del Código penal, en virtud de la redacción operada por Ley 15/2003, de 25 de noviembre, que entró en vigor el 1 de octubre de 2004, con su carácter de norma más favorable, debiera haber sido retroactivamente aplicado y, en consecuencia, situar la penalidad del delito de estafa entre los seis meses y los tres años de prisión, tal y como exponía en su informe el Fiscal del Tribunal Supremo. Al no haberlo hecho así el Tribunal Supremo, “la equívoca selección de una norma derogada, obliga a apreciar la patente irrazonabilidad de lo resuelto por el Tribunal Supremo, y por ende, la lesión del derecho a la tutela judicial efectiva del artículo 24.1 CE, así como del principio de legalidad ex art. 25.1 CE”. </w:t>
      </w:r>
    </w:p>
    <w:p w:rsidR="0052098F" w:rsidRDefault="0052098F" w:rsidP="0052098F">
      <w:pPr>
        <w:pStyle w:val="TextoNormal"/>
      </w:pPr>
      <w:r>
        <w:t>Finalmente, y en relación con la denunciada vulneración del principio acusatorio, recuerda el Fiscal que Pleno del Tribunal en la STC 123/2005 ha afirmado que la confirmación por el Tribunal de casación de la calificación jurídica realizada en la Sentencia de instancia, incluso contra la petición de las distintas partes recurrentes, ni priva al condenado de la posibilidad efectiva de conocer dicha calificación jurídica y de rebatirla en la casación, ni significa que el Tribunal asuma funciones acusatorias comprometiendo su imparcialidad judicial. Por ello, no puede sostenerse la pretendida lesión del principio acusatorio, y sí exclusivamente la afectación del principio de legalidad, en tanto no se ha tenido en cuenta la reforma operada por la Ley 15/2003, constituyendo además el pronunciamiento judicial una actuación manifiestamente irrazonable y en consecuencia, vulnerador del derecho a la tutela judicial efectiva.</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28 de enero de 2008 se señaló para deliberación y votación de la presente Sentencia el día 31 del mismo mes y año.</w:t>
      </w:r>
    </w:p>
    <w:p w:rsidR="0052098F" w:rsidRDefault="0052098F" w:rsidP="0052098F">
      <w:pPr>
        <w:pStyle w:val="TextoNormal"/>
      </w:pPr>
    </w:p>
    <w:p w:rsidR="0052098F" w:rsidRDefault="0052098F" w:rsidP="0052098F">
      <w:pPr>
        <w:pStyle w:val="TextoNormalNegritaCentrado"/>
        <w:keepNext/>
      </w:pPr>
      <w:r>
        <w:lastRenderedPageBreak/>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presente recurso se dirige contra la Sentencia de 2 de marzo de 2006 (segunda Sentencia) y el Auto de 17 de mayo de 2006, dictados por la Sala Segunda del Tribunal Supremo, cuestionándose fundamentalmente la legitimidad constitucional del mantenimiento por parte del Tribunal Supremo de la pena de cuatro años de prisión impuesta en la instancia, pese a haber estimado parcialmente el recurso de casación y haber absuelto al recurrente de uno de los delitos por los que había sido inicialmente condenado.</w:t>
      </w:r>
    </w:p>
    <w:p w:rsidR="0052098F" w:rsidRDefault="0052098F" w:rsidP="0052098F">
      <w:pPr>
        <w:pStyle w:val="TextoNormal"/>
      </w:pPr>
      <w:r>
        <w:t>En la demanda se consideran vulnerados los derechos a la tutela judicial efectiva (art. 24.1 CE) y a un proceso con todas las garantías (art. 24.2 CE), denunciando la existencia de un error patente en el fallo de la segunda Sentencia, la manifiesta irrazonabilidad de la pena impuesta (al no cohonestarse con la motivación de la primera Sentencia) y la inexistencia de motivación en la que se expliciten las razones que llevan a mantener la pena máxima permitida y a imponer una pena superior a la solicitada por la acusación.</w:t>
      </w:r>
    </w:p>
    <w:p w:rsidR="0052098F" w:rsidRDefault="0052098F" w:rsidP="0052098F">
      <w:pPr>
        <w:pStyle w:val="TextoNormal"/>
      </w:pPr>
      <w:r>
        <w:t>El Ministerio Fiscal interesa la estimación del recurso, por vulneración de los derechos a la tutela judicial efectiva (art. 24.1 CE) y a la legalidad penal (art. 25.1 CE).</w:t>
      </w:r>
    </w:p>
    <w:p w:rsidR="0052098F" w:rsidRDefault="0052098F" w:rsidP="0052098F">
      <w:pPr>
        <w:pStyle w:val="TextoNormal"/>
      </w:pPr>
    </w:p>
    <w:p w:rsidR="0052098F" w:rsidRDefault="0052098F" w:rsidP="0052098F">
      <w:pPr>
        <w:pStyle w:val="TextoNormal"/>
      </w:pPr>
      <w:r w:rsidRPr="0052098F">
        <w:rPr>
          <w:rStyle w:val="NumeroAFNegritaCaracter"/>
        </w:rPr>
        <w:t>2</w:t>
      </w:r>
      <w:r>
        <w:t>. Comienza denunciando el recurrente la existencia de un error patente en la transcripción del fallo de la segunda Sentencia del Tribunal Supremo, no subsanado por el Auto de aclaración, puesto que se mantiene la pena de cuatro años impuesta por el Tribunal a quo, pese a haberse anticipado otro fallo (pena de dos años y tres meses) en la primera Sentencia que casa y anula la de instancia, fallo este que es el único que, basándose “en la manifiesta contradicción que se advierte entre el contenido del segundo párrafo del fundamento jurídico décimo de la primera Sentencia y el fallo de la segunda”, resulta coherente con la fundamentación jurídica de la Sentencia.</w:t>
      </w:r>
    </w:p>
    <w:p w:rsidR="0052098F" w:rsidRDefault="0052098F" w:rsidP="0052098F">
      <w:pPr>
        <w:pStyle w:val="TextoNormal"/>
      </w:pPr>
      <w:r>
        <w:t>Conforme a nuestra jurisprudencia, un error de los órganos judiciales sobre las bases fácticas que han servido para fundamentar su decisión es susceptible de producir una vulneración del derecho a la tutela judicial efectiva, si bien no cabe otorgar relevancia constitucional a toda inexactitud o equivocación, sino que para que se produzca aquella lesión es necesario que concurran determinados requisitos. En concreto, que se trate de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(ratio decidendi) de la resolución, de forma que no pueda saberse cuál hubiera sido el criterio del órgano judicial de no haber incurrido en dicho error (por todas, entre otras muchas, SSTC 245/2005, de 10 de octubre, FJ 4; 6/2006, de 16 de enero, FJ 4; 150/2006, de 22 de mayo, FJ 2; 180/2007, de 10 de septiembre, FJ 2).</w:t>
      </w:r>
    </w:p>
    <w:p w:rsidR="0052098F" w:rsidRDefault="0052098F" w:rsidP="0052098F">
      <w:pPr>
        <w:pStyle w:val="TextoNormal"/>
      </w:pPr>
      <w:r>
        <w:t xml:space="preserve">En el presente caso, la Sala de lo Penal del Tribunal Supremo, en el Auto de 17 de mayo de 2006, que resuelve el recurso de aclaración, pone de manifiesto la existencia de un error material de transcripción en la primera de sus Sentencias, error que subsana mediante la “omisión” del último párrafo del fundamento jurídico décimo, de conformidad con las previsiones legales relativas al recurso de aclaración. Y aclarada de tal modo la primera de las Sentencias y suprimido de la misma el párrafo sobre cuya base se afirmaba que en ella se anticipaba el fallo de la segunda, ya no puede sostenerse —como hace el recurrente— que </w:t>
      </w:r>
      <w:r>
        <w:lastRenderedPageBreak/>
        <w:t>la imposición de la pena de cuatro años de prisión se deba a un error patente en la transcripción del fallo que podamos analizar desde la perspectiva de la jurisprudencia que acaba de exponerse.</w:t>
      </w:r>
    </w:p>
    <w:p w:rsidR="0052098F" w:rsidRDefault="0052098F" w:rsidP="0052098F">
      <w:pPr>
        <w:pStyle w:val="TextoNormal"/>
      </w:pPr>
      <w:r>
        <w:t>En efecto, en la línea de lo sostenido por el Ministerio Fiscal, la decisión judicial en virtud de la cual, pese a haber estimado parcialmente el recurso de casación y absuelto al recurrente de uno de los delitos, se mantiene la pena impuesta en la instancia, no puede ser considerada fruto de un error de hecho con relevancia constitucional, dado que el fundamento que se alega —la citada absolución— es un pronunciamiento de naturaleza jurídica, de suerte que la concreta cuantificación de la pena podrá ser una incoherencia entre partes distintas de la motivación de la propia Sentencia, pero no la consecuencia de no tomar en consideración un dato de hecho resultante de las actuaciones. Por tanto, será en el ámbito de la motivación de la decisión adoptada, y no en el del error patente, en el que, eventualmente, puedan apreciarse las vulneraciones que se denuncian.</w:t>
      </w:r>
    </w:p>
    <w:p w:rsidR="0052098F" w:rsidRDefault="0052098F" w:rsidP="0052098F">
      <w:pPr>
        <w:pStyle w:val="TextoNormal"/>
      </w:pPr>
    </w:p>
    <w:p w:rsidR="0052098F" w:rsidRDefault="0052098F" w:rsidP="0052098F">
      <w:pPr>
        <w:pStyle w:val="TextoNormal"/>
      </w:pPr>
      <w:r w:rsidRPr="0052098F">
        <w:rPr>
          <w:rStyle w:val="NumeroAFNegritaCaracter"/>
        </w:rPr>
        <w:t>3</w:t>
      </w:r>
      <w:r>
        <w:t>. En los restantes motivos de amparo se cuestionan las resoluciones recurridas precisamente desde la perspectiva de su motivación, denunciando tanto la manifiesta irrazonabilidad de la pena impuesta (por no cohonestarse el fallo de la segunda Sentencia con la motivación de la primera y porque no puede mantenerse la pena máxima de cuatro años, coincidente con la de la Audiencia, pese a la absolución por uno de los delitos a los que se refería la condena inicial, sin explicitar las razones de la fijación de esa penalidad máxima), como la ausencia de motivación de la imposición de una pena superior a la solicitada por el Fiscal en el recurso de casación.</w:t>
      </w:r>
    </w:p>
    <w:p w:rsidR="0052098F" w:rsidRDefault="0052098F" w:rsidP="0052098F">
      <w:pPr>
        <w:pStyle w:val="TextoNormal"/>
      </w:pPr>
      <w:r>
        <w:t>Este Tribunal ha declarado reiteradamente que el deber general de motivación de las sentencias que impone el art. 120.3 CE, y que se integra en el contenido del derecho a la tutela judicial efectiva del art. 24.1 CE —conforme al cual las decisiones judiciales deben exteriorizar los elementos de juicio sobre los que se basan y su fundamentación jurídica ha de ser una aplicación no irracional, arbitraria o manifiestamente errónea de la legalidad— resulta reforzado en el caso de las sentencias penales condenatorias, por cuanto en ellas el derecho a la tutela judicial efectiva se conecta con otros derechos fundamentales y, directa o indirectamente, con el derecho a la libertad personal (por todas, entre otras muchas, SSTC 43/1997, de 10 de marzo, FJ 6; 108/2001, de 23 de abril, FJ 3; 20/2003, de 10 de febrero, FJ 5; 170/2004, de 18 de octubre, FJ 2; 76/2007, de 16 de abril, FJ 7). Un deber de motivación que incluye no sólo la obligación de fundamentar los hechos y la calificación jurídica, sino también la pena finalmente impuesta en concreto (por todas, SSTC 108/2001, de 23 de abril, FJ 3; 20/2003, de 10 de febrero, FJ 6; 148/2005, de 6 de junio, FJ 4; 76/2007, de 16 de abril, FJ 7).</w:t>
      </w:r>
    </w:p>
    <w:p w:rsidR="0052098F" w:rsidRDefault="0052098F" w:rsidP="0052098F">
      <w:pPr>
        <w:pStyle w:val="TextoNormal"/>
      </w:pPr>
      <w:r>
        <w:t xml:space="preserve">El fundamento de extender el deber reforzado de motivación a las decisiones judiciales relativas a la fijación de la pena radica en que el margen de discrecionalidad del que legalmente goza el Juez no constituye por sí mismo justificación suficiente de la decisión finalmente adoptada, sino que, por el contrario, el ejercicio de dicha facultad viene condicionado estrechamente por la exigencia de que la resolución esté motivada, pues solo así puede procederse a su control posterior en evitación de toda arbitrariedad. De este modo,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(SSTC 20/2003, de 10 de febrero, FJ 6; 136/2003, de 30 de junio, FJ 3; 170/2004, de 18 de octubre, FJ 2; 76/2007, de 16 de abril, FJ 7) y que éstas no sean incoherentes con los elementos objetivos y subjetivos cuya valoración exigen los preceptos </w:t>
      </w:r>
      <w:r>
        <w:lastRenderedPageBreak/>
        <w:t>legales relativos a la individualización de la pena (SSTC 148/2005, de 6 de junio, FJ 4; 76/2007, de 16 de abril, FJ 7).</w:t>
      </w:r>
    </w:p>
    <w:p w:rsidR="0052098F" w:rsidRDefault="0052098F" w:rsidP="0052098F">
      <w:pPr>
        <w:pStyle w:val="TextoNormal"/>
      </w:pPr>
      <w:r>
        <w:t>Finalmente, hemos de recordar que dicha obligación reforzada de motivar la concreta pena impuesta cobra especial relieve desde la perspectiva constitucional, y así se ha destacado por nuestra jurisprudencia, cuando la misma sea mayor a la solicitada por las acusaciones, como reflejo del principio acusatorio implícito en el art. 24 CE (por todas, SSTC 59/2000, de 2 de marzo, FJ 4; 20/2003, de 10 de febrero, FJ 6; 136/2003, de 30 de junio, FJ 3) y en aquellos casos en que se imponga la máxima pena legalmente prevista (SSTC 170/2004, de 18 de octubre, FJ 3; 148/2005, de 6 de junio, FJ 4).</w:t>
      </w:r>
    </w:p>
    <w:p w:rsidR="0052098F" w:rsidRDefault="0052098F" w:rsidP="0052098F">
      <w:pPr>
        <w:pStyle w:val="TextoNormal"/>
      </w:pPr>
    </w:p>
    <w:p w:rsidR="0052098F" w:rsidRDefault="0052098F" w:rsidP="0052098F">
      <w:pPr>
        <w:pStyle w:val="TextoNormal"/>
      </w:pPr>
      <w:r w:rsidRPr="0052098F">
        <w:rPr>
          <w:rStyle w:val="NumeroAFNegritaCaracter"/>
        </w:rPr>
        <w:t>4</w:t>
      </w:r>
      <w:r>
        <w:t>. En el presente caso, como quedó reflejado en los antecedentes, el recurrente fue inicialmente condenado como autor de los delitos de estafa continuada en concurso medial con delito de uso de documento falso oficial y mercantil a la pena de cuatro años de prisión, motivando la Sentencia de instancia la cuantía de dicha pena, entre otras razones, en la existencia del concurso de delitos.</w:t>
      </w:r>
    </w:p>
    <w:p w:rsidR="0052098F" w:rsidRDefault="0052098F" w:rsidP="0052098F">
      <w:pPr>
        <w:pStyle w:val="TextoNormal"/>
      </w:pPr>
      <w:r>
        <w:t>Contra dicha resolución se interpuso recurso de casación, parcialmente estimado por la Sentencia de la Sala de lo Penal del Tribunal Supremo de 2 de marzo de 2006, que en su fundamento jurídico quinto, sostiene que procede absorber en la estafa la utilización del documento falso y “suprimir de la penalidad la condena por el delito de uso de documento oficial falsificado del art. 393 del Código Penal”. En ese mismo fundamento jurídico el Tribunal Supremo establece que “de acuerdo al Código de 1995, la pena procedente es la que media entre los seis meses a cuatro años, en la mitad superior, esto es, la que media entre dos años y tres meses y cuatro años”, teniendo en cuenta que “nos encontramos ante un delito de estafa, no agravado, y aplicando la regla penológica del art. 74 anterior a su reforma por la [Ley Orgánica] 15/2003”. En la segunda Sentencia dictada por el Tribunal Supremo ese mismo día, se condena al recurrente como autor de un delito de estafa a la pena de cuatro años de prisión, y se le absuelve del delito de uso de documento falso oficial, con declaración de oficio de la mitad de las costas procesales, sin ofrecer explicación alguna de las razones por las que se acuerda la imposición de dicha pena en concreto.</w:t>
      </w:r>
    </w:p>
    <w:p w:rsidR="0052098F" w:rsidRDefault="0052098F" w:rsidP="0052098F">
      <w:pPr>
        <w:pStyle w:val="TextoNormal"/>
      </w:pPr>
      <w:r>
        <w:t xml:space="preserve">A la vista de los datos que acaban de exponerse puede afirmarse que ni la Sentencia recurrida en amparo explicita las razones para justificar que la pena de prisión debía tener tal duración, ni éstas pueden desprenderse con claridad del conjunto de la decisión (SSTC 193/1996, de 26 de noviembre, FJ 6; 170/2004, de 18 de octubre, FJ 3). Por el contrario, del análisis de su desarrollo lo que se desprende es, por una parte, que la pena impuesta es la misma que la de la Sentencia de instancia, pese a que en ésta se fijaba sobre la base de la existencia de un concurso de delitos entre el continuado de estafa y el de uso de documento oficial falso y, por otra, que la Sentencia de casación absuelve al recurrente del delito de uso de documento oficial falso, haciendo desaparecer el concurso de delitos y condenando exclusivamente por el delito continuado de estafa. En tales circunstancias, ha de entenderse que asiste la razón al recurrente en cuanto a que resultaba constitucionalmente exigible, conforme al deber de motivación reforzado al que anteriormente se hizo referencia, una explicitación de los motivos por los que se acuerda mantener la pena. Al igual que sucedía en el caso resuelto en la STC 170/2004, de 18 de octubre, FJ 3, desconoce este Tribunal hasta qué punto la gravedad de los hechos o las circunstancias subjetivas del autor pudieran fundamentar la imposición de la pena de cuatro años de prisión, pese a la absolución de uno de los delitos; pero lo desconoce precisamente porque si tales datos, hechos o circunstancias determinantes de la imposición de tal pena existían, no tienen reflejo alguno en la resolución recurrida, lo que conduce a entender que no ha existido la motivación constitucionalmente </w:t>
      </w:r>
      <w:r>
        <w:lastRenderedPageBreak/>
        <w:t>exigible en relación con esta cuestión, lo que se corrobora destacando que se impuso una pena mayor que la solicitada por el Fiscal en el recurso de casación.</w:t>
      </w:r>
    </w:p>
    <w:p w:rsidR="0052098F" w:rsidRDefault="0052098F" w:rsidP="0052098F">
      <w:pPr>
        <w:pStyle w:val="TextoNormal"/>
      </w:pPr>
    </w:p>
    <w:p w:rsidR="0052098F" w:rsidRDefault="0052098F" w:rsidP="0052098F">
      <w:pPr>
        <w:pStyle w:val="TextoNormal"/>
      </w:pPr>
      <w:r w:rsidRPr="0052098F">
        <w:rPr>
          <w:rStyle w:val="NumeroAFNegritaCaracter"/>
        </w:rPr>
        <w:t>5</w:t>
      </w:r>
      <w:r>
        <w:t>. La conclusión anterior acerca de la existencia en la segunda Sentencia dictada por el Tribunal Supremo de un déficit de motivación en punto a la determinación en concreto de la pena impuesta al demandante de amparo, y de la consiguiente lesión de su derecho a la tutela judicial efectiva, conduce al otorgamiento del amparo previsto en el art. 53 a) LOTC, sin que por otra parte haya lugar al examen de la vulneración del principio de legalidad alegada por el Fiscal, dado que “la jurisprudencia de este Tribunal viene negando la posible inclusión del principio de retroactividad de la Ley penal más favorable en el art. 25.1 CE (SSTC 14/1981, de 29 de abril, FJ 7; 68/1982, de 13 de mayo, FJ 3; 122/1983, de 26 de octubre, FJ 2; 51/1985, de 10 de abril, FJ 7; 131/1986, de 29 de octubre, FJ 2; 196/1991, de 17 de octubre, FJ 3; 38/1994, de 17 de enero; 177/1994, de 10 de junio, FJ 1)” (STC 99/2000, de 10 de abril, FJ 5), sin perjuicio de los matices recogidos en esta jurisprudencia y que no son aplicables al caso.</w:t>
      </w:r>
    </w:p>
    <w:p w:rsidR="0052098F" w:rsidRDefault="0052098F" w:rsidP="0052098F">
      <w:pPr>
        <w:pStyle w:val="TextoNormal"/>
      </w:pPr>
      <w:r>
        <w:t>Resulta así procedente la declaración de nulidad de dicha resolución y la retroacción de las actuaciones al momento inmediatamente anterior al de su pronunciamiento, a fin de que la Sala proceda a motivar debidamente la extensión temporal de la pena a imponer (SSTC 108/2001, de 23 de abril, FJ 4; 170/2004, de 18 de octubre, FJ 4; 148/2005, de 6 de junio, FJ 5; 75/2007, de 16 de abril, FJ 7; 76/2007, de 16 de abril, FJ 9).</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Ramón López Iglesias, y en consecuencia:</w:t>
      </w:r>
    </w:p>
    <w:p w:rsidR="0052098F" w:rsidRDefault="0052098F" w:rsidP="0052098F">
      <w:pPr>
        <w:pStyle w:val="TextoNormal"/>
      </w:pPr>
      <w:r>
        <w:t>1º Reconocer su derecho a la tutela judicial efectiva (art. 24.1 CE).</w:t>
      </w:r>
    </w:p>
    <w:p w:rsidR="0052098F" w:rsidRDefault="0052098F" w:rsidP="0052098F">
      <w:pPr>
        <w:pStyle w:val="TextoNormal"/>
      </w:pPr>
      <w:r>
        <w:t>2º Anular la segunda Sentencia dictada por la Sala Segunda del Tribunal Supremo de 2 de marzo de 2006 en el recurso de casación núm. 2254-2004.</w:t>
      </w:r>
    </w:p>
    <w:p w:rsidR="0052098F" w:rsidRDefault="0052098F" w:rsidP="0052098F">
      <w:pPr>
        <w:pStyle w:val="TextoNormal"/>
      </w:pPr>
      <w:r>
        <w:t>3º Retrotraer las actuaciones al momento inmediatamente anterior al de dictarse la Sentencia, a fin de que la Sala de lo Penal del Tribunal Supremo dicte otra con respeto al derecho fundamental reconocido.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5" w:name="SENTENCIA_2008_22"/>
      <w:r>
        <w:lastRenderedPageBreak/>
        <w:t>SENTENCIA 22/2008, de 31 de enero de 2008</w:t>
      </w:r>
    </w:p>
    <w:bookmarkEnd w:id="25"/>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52, de 29 de febrero de 2008)</w:t>
      </w:r>
    </w:p>
    <w:p w:rsidR="0052098F" w:rsidRDefault="0052098F" w:rsidP="0052098F">
      <w:pPr>
        <w:pStyle w:val="TtuloBOE"/>
      </w:pPr>
    </w:p>
    <w:p w:rsidR="0052098F" w:rsidRDefault="0052098F" w:rsidP="0052098F">
      <w:pPr>
        <w:pStyle w:val="SntesisDescriptiva"/>
      </w:pPr>
      <w:r>
        <w:t>ECLI:ES:TC:2008:22</w:t>
      </w:r>
    </w:p>
    <w:p w:rsidR="0052098F" w:rsidRDefault="0052098F" w:rsidP="0052098F">
      <w:pPr>
        <w:pStyle w:val="SntesisDescriptiva"/>
      </w:pPr>
    </w:p>
    <w:p w:rsidR="0052098F" w:rsidRDefault="0052098F" w:rsidP="0052098F">
      <w:pPr>
        <w:pStyle w:val="SntesisDescriptiva"/>
      </w:pPr>
      <w:r>
        <w:t>Recurso de amparo 10216-2006. Promovido por doña Monserrat R. M. frente al Auto de un Juzgado de Primera Instancia e Instrucción de Utrera que desestimó su oposición a la ejecución provisional de Sentencia de la Audiencia Provincial de Sevilla en litigio de familia sobre guarda y custodia de la menor Paola.</w:t>
      </w:r>
    </w:p>
    <w:p w:rsidR="0052098F" w:rsidRDefault="0052098F" w:rsidP="0052098F">
      <w:pPr>
        <w:pStyle w:val="SntesisDescriptiva"/>
      </w:pPr>
    </w:p>
    <w:p w:rsidR="0052098F" w:rsidRDefault="0052098F" w:rsidP="0052098F">
      <w:pPr>
        <w:pStyle w:val="SntesisAnaltica"/>
      </w:pPr>
      <w:r>
        <w:t>Supuesta vulneración de los derechos a la tutela judicial efectiva, a la prueba y a la integridad moral: denegación de prueba impertinente en proceso de ejecución provisional; resolución sobre guarda de menor sin oírle personalmente (STC 221/2002); ausencia de riesgo evidente para la menor (STC 71/2004).</w:t>
      </w:r>
    </w:p>
    <w:p w:rsidR="0052098F" w:rsidRDefault="0052098F" w:rsidP="0052098F">
      <w:pPr>
        <w:pStyle w:val="SntesisAnaltica"/>
      </w:pPr>
    </w:p>
    <w:p w:rsidR="0052098F" w:rsidRDefault="0052098F" w:rsidP="0052098F">
      <w:pPr>
        <w:pStyle w:val="Extracto"/>
      </w:pPr>
      <w:r>
        <w:t>1.</w:t>
      </w:r>
      <w:r>
        <w:tab/>
        <w:t>La no admisión y práctica de las pruebas no puede tildarse de arbitraria, irrazonable o incursa en un error patente cuando la prueba propuesta es impertinente, esto es, cuando no guardaba relación con el objeto del proceso de ejecución provisional y la concreta causa legal alegada para oponerse a dicha ejecución [FJ 5].</w:t>
      </w:r>
    </w:p>
    <w:p w:rsidR="0052098F" w:rsidRDefault="0052098F" w:rsidP="0052098F">
      <w:pPr>
        <w:pStyle w:val="Extracto"/>
      </w:pPr>
    </w:p>
    <w:p w:rsidR="0052098F" w:rsidRDefault="0052098F" w:rsidP="0052098F">
      <w:pPr>
        <w:pStyle w:val="Extracto"/>
      </w:pPr>
      <w:r>
        <w:t>2.</w:t>
      </w:r>
      <w:r>
        <w:tab/>
        <w:t>No se vulnera el derecho a la prueba cuando se incumple con la carga de argumentar sobre la incidencia que la práctica de las pruebas inadmitidas o no practicadas hubiera podido tener en la adopción de una decisión judicial favorable a la pretensión planteada en la demanda [FJ 5].</w:t>
      </w:r>
    </w:p>
    <w:p w:rsidR="0052098F" w:rsidRDefault="0052098F" w:rsidP="0052098F">
      <w:pPr>
        <w:pStyle w:val="Extracto"/>
      </w:pPr>
    </w:p>
    <w:p w:rsidR="0052098F" w:rsidRDefault="0052098F" w:rsidP="0052098F">
      <w:pPr>
        <w:pStyle w:val="Extracto"/>
      </w:pPr>
      <w:r>
        <w:t>3.</w:t>
      </w:r>
      <w:r>
        <w:tab/>
        <w:t>Doctrina sobre el derecho a utilizar los medios de prueba pertinentes para la defensa (SSTC 247/2004, 240/2007) [FJ 2].</w:t>
      </w:r>
    </w:p>
    <w:p w:rsidR="0052098F" w:rsidRDefault="0052098F" w:rsidP="0052098F">
      <w:pPr>
        <w:pStyle w:val="Extracto"/>
      </w:pPr>
    </w:p>
    <w:p w:rsidR="0052098F" w:rsidRDefault="0052098F" w:rsidP="0052098F">
      <w:pPr>
        <w:pStyle w:val="Extracto"/>
      </w:pPr>
      <w:r>
        <w:t>4.</w:t>
      </w:r>
      <w:r>
        <w:tab/>
        <w:t>La falta de audiencia o exploración de un menor en cualesquiera de las fases del procedimiento de adopción de medidas paterno filiales no puede proyectarse con idéntica trascendencia constitucional a los autos que tiene por objeto, no la adopción de aquellas medidas, sino su ejecución provisional y la determinación de si existe causa legal en que pueda fundarse la oposición a dicha ejecución (SSTC 221/2002, 152/2005) [FJ 7].</w:t>
      </w:r>
    </w:p>
    <w:p w:rsidR="0052098F" w:rsidRDefault="0052098F" w:rsidP="0052098F">
      <w:pPr>
        <w:pStyle w:val="Extracto"/>
      </w:pPr>
    </w:p>
    <w:p w:rsidR="0052098F" w:rsidRDefault="0052098F" w:rsidP="0052098F">
      <w:pPr>
        <w:pStyle w:val="Extracto"/>
      </w:pPr>
      <w:r>
        <w:t>5.</w:t>
      </w:r>
      <w:r>
        <w:tab/>
        <w:t>Doctrina sobre el derecho de los menores a ser oídos u explorados por el órgano judicial en la adopción o modificación de las medidas relativas a su guarda y custodia (SSTC 221/2002, 152/2005) [FJ 7].</w:t>
      </w:r>
    </w:p>
    <w:p w:rsidR="0052098F" w:rsidRDefault="0052098F" w:rsidP="0052098F">
      <w:pPr>
        <w:pStyle w:val="Extracto"/>
      </w:pPr>
    </w:p>
    <w:p w:rsidR="0052098F" w:rsidRDefault="0052098F" w:rsidP="0052098F">
      <w:pPr>
        <w:pStyle w:val="Extracto"/>
      </w:pPr>
      <w:r>
        <w:t>6.</w:t>
      </w:r>
      <w:r>
        <w:tab/>
        <w:t>La declaración de lesión de la integridad física de menores, cuando la misma no se haya producido de modo real y efectivo, sino que se infiera de un riesgo, sólo podrá ser efectuada en un proceso de amparo cuando la lesión resulte palmaria, manifiesta o del todo indudable (STC 71/2004) [FJ 8].</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10216-2006, promovido por doña Montserrat R. M., representada por el Procurador de los Tribunales don Carmelo Olmos Gómez y asistida por el Letrado don José Manuel Prieto Álvarez de Toledo, contra el Auto del Juzgado de Primera Instancia e Instrucción núm. 3 de Utrera, de 24 de julio de 2006, que desestimó la oposición a la ejecución provisional de la Sentencia de la Sección Sexta de la Audiencia Provincial de Sevilla de 10 de noviembre de 2005, en autos de ejecución provisional núm. 112-2006 dimanantes de los autos de juicio de familia núm. 520-2004, sobre medidas paterno filiales. Ha comparecido y formulado alegaciones el Ministerio Fiscal. Ha actuado como Ponente el Magistrado don Vicente Conde Martín de Hijas,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14 de noviembre de 2006 don Carmelo Olmos Gómez, Procurador de los Tribunales, en nombre y representación de doña Montserrat R. M., interpuso recurso de amparo contra la resolución judicial a la que se ha hecho mención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En la demanda de amparo se recoge la relación de antecedentes fácticos que a continuación sucintamente se extracta: </w:t>
      </w:r>
    </w:p>
    <w:p w:rsidR="0052098F" w:rsidRDefault="0052098F" w:rsidP="0052098F">
      <w:pPr>
        <w:pStyle w:val="TextoNormal"/>
      </w:pPr>
      <w:r>
        <w:t xml:space="preserve">a) La recurrente en amparo interpuso demanda de adopción de medidas paterno filiales contra don José Manuel E. B, solicitando entre ellas, a los efectos que a este recurso de amparo interesan, que se le atribuyese la guarda y custodia de la hija común de menor edad, llamada Paola. </w:t>
      </w:r>
    </w:p>
    <w:p w:rsidR="0052098F" w:rsidRDefault="0052098F" w:rsidP="0052098F">
      <w:pPr>
        <w:pStyle w:val="TextoNormal"/>
      </w:pPr>
      <w:r>
        <w:t xml:space="preserve">b) El Juzgado de Primera Instancia e Instrucción núm. 3 de Utrera por Auto de 21 de febrero de 2005, por el que se adoptaron medidas provisionales, primero, y, después, por Sentencia de 14 de marzo de 2005 estimatoria de la demanda de la recurrente en amparo, acordó que la hija común del matrimonio quedase bajo la guarda y custodia de la madre, sin perjuicio de la patria potestad compartida de ambos progenitores, reconociendo al padre el derecho de visitar y estar en compañía de su hija menor los fines de semana alternos, desde las 14:00 horas del viernes hasta las 20:00 horas del domingo y las vacaciones por mitad, e imponiéndole en concepto de pensión de alimentos el deber de abonar a favor de la hija común la cantidad de 250 € mensuales, anualmente revisables según el índice de precios al consumo. </w:t>
      </w:r>
    </w:p>
    <w:p w:rsidR="0052098F" w:rsidRDefault="0052098F" w:rsidP="0052098F">
      <w:pPr>
        <w:pStyle w:val="TextoNormal"/>
      </w:pPr>
      <w:r>
        <w:lastRenderedPageBreak/>
        <w:t xml:space="preserve">c) El padre de la menor interpuso recurso de apelación contra la Sentencia de instancia, que fue estimado por Sentencia de la Sección Sexta de la Audiencia Provincial de Sevilla de 10 de noviembre de 2005. </w:t>
      </w:r>
    </w:p>
    <w:p w:rsidR="0052098F" w:rsidRDefault="0052098F" w:rsidP="0052098F">
      <w:pPr>
        <w:pStyle w:val="TextoNormal"/>
      </w:pPr>
      <w:r>
        <w:t xml:space="preserve">Con base en la prueba practicada, “especialmente por el informe del equipo de evaluación que aparece en los folios 89 a 98 de las actuaciones, y en interés y beneficio de la menor” (fundamento de Derecho segundo), la Sala revocó la Sentencia del Juzgado de Primera Instancia y declaró que la hija del matrimonio “qued[ase] bajo la guarda y custodia de su padre, sin perjuicio de que la patria potestad sea compartida por ambos padres, contribuyendo la madre con 90 euros mensuales como pensión de alimentos de su hija, pudiendo visitarla los sábados y domingos alternos en la localidad de El Palmar de Troya de 11 a 20 horas, no pudiéndola sacar de la localidad hasta que se acredite que no existen factores de riesgo en la casa de los padres de la parte demandante para la educación de la menor Paola”. </w:t>
      </w:r>
    </w:p>
    <w:p w:rsidR="0052098F" w:rsidRDefault="0052098F" w:rsidP="0052098F">
      <w:pPr>
        <w:pStyle w:val="TextoNormal"/>
      </w:pPr>
      <w:r>
        <w:t xml:space="preserve">d) La demandante de amparo interpuso recursos extraordinario por infracción procesal y de casación contra la Sentencia de apelación, que se tuvieron por preparados por providencia de la Sección Sexta de la Audiencia Provincial de Sevilla de 11 de enero de 2006; y, una vez interpuestos dentro del plazo legalmente establecido, fueron remitidas las actuaciones, previo emplazamiento de las partes, a la Sala Primera del Tribunal Supremo por providencia de 15 de febrero de 2006. </w:t>
      </w:r>
    </w:p>
    <w:p w:rsidR="0052098F" w:rsidRDefault="0052098F" w:rsidP="0052098F">
      <w:pPr>
        <w:pStyle w:val="TextoNormal"/>
      </w:pPr>
      <w:r>
        <w:t xml:space="preserve">La Sala Primera del Tribunal Supremo por providencia de 3 de abril de 2006 formó el correspondiente rollo para sustanciar ambos recursos y tuvo por personada a la demandante de amparo. </w:t>
      </w:r>
    </w:p>
    <w:p w:rsidR="0052098F" w:rsidRDefault="0052098F" w:rsidP="0052098F">
      <w:pPr>
        <w:pStyle w:val="TextoNormal"/>
      </w:pPr>
      <w:r>
        <w:t xml:space="preserve">e) El padre de la menor solicitó la ejecución provisional de la Sentencia de la Sección Sexta de la Audiencia Provincial de Sevilla de 10 de noviembre de 2005, interesando, en consecuencia, se procediese a cumplir el nuevo régimen de guarda y custodia con la correspondiente entrega de su hija, disponiendo lo necesario para el cumplimiento del régimen de visitas de la madre. </w:t>
      </w:r>
    </w:p>
    <w:p w:rsidR="0052098F" w:rsidRDefault="0052098F" w:rsidP="0052098F">
      <w:pPr>
        <w:pStyle w:val="TextoNormal"/>
      </w:pPr>
      <w:r>
        <w:t xml:space="preserve">f) El Juzgado de Primera Instancia e Instrucción núm. 3 de Utrera, por Auto de 7 de marzo de 2006, acordó la ejecución provisional de la Sentencia de apelación y, en consecuencia, requirió a la demandante de amparo “para que en el plazo de una audiencia proceda a cumplir el nuevo régimen de guarda y custodia de la menor Paola y con ello la entrega de ésta al padre disponiéndose la necesario para el cumplimiento de las visitas con la madre Montserrat R. M. que tendrá lugar los sábados y domingos alternos en la localidad de El Palmar de Troya de 11:00 a 20:00 horas, no pudiéndola sacar de la localidad hasta que se acredite que no existen riesgo en la casa de los padres de la parte demandante”. </w:t>
      </w:r>
    </w:p>
    <w:p w:rsidR="0052098F" w:rsidRDefault="0052098F" w:rsidP="0052098F">
      <w:pPr>
        <w:pStyle w:val="TextoNormal"/>
      </w:pPr>
      <w:r>
        <w:t xml:space="preserve">g) La demandante de amparo, mediante escrito de fecha 14 de marzo de 2006, en contestación al requerimiento del Auto de 7 de marzo de 2006, solicitó, con base en la disposición adicional primera de la Ley Orgánica 1/1996, de 15 de enero, de protección jurídica del menor, en relación con el art. 158 CC, la adopción por el Juzgado de las medidas cautelares que se interesaban en el suplico del escrito, a fin de evitar los perjuicios que el nuevo régimen de guarda, custodia y visitas pudiera irrogarle a la menor. </w:t>
      </w:r>
    </w:p>
    <w:p w:rsidR="0052098F" w:rsidRDefault="0052098F" w:rsidP="0052098F">
      <w:pPr>
        <w:pStyle w:val="TextoNormal"/>
      </w:pPr>
      <w:r>
        <w:t xml:space="preserve">El Juzgado, por providencia de 11 de abril de 2006, formó pieza separada de medidas cautelares núm. 1121-2006 y convocó a las partes a una vista a celebrar el 21 de abril de 2006 (arts. 733 y ss. LEC). </w:t>
      </w:r>
    </w:p>
    <w:p w:rsidR="0052098F" w:rsidRDefault="0052098F" w:rsidP="0052098F">
      <w:pPr>
        <w:pStyle w:val="TextoNormal"/>
      </w:pPr>
      <w:r>
        <w:t xml:space="preserve">Llegado el día de la vista, y con anterioridad a su apertura, según se afirma en la demanda de amparo, las partes a invitación del Juez iniciaron conversaciones para tratar de alcanzar una solución al asunto, motivo por el que la recurrente en amparo solicitó el desistimiento del juicio de conformidad con la parte demandada. Por Auto de 21 de abril de 2006 “Se </w:t>
      </w:r>
      <w:r>
        <w:lastRenderedPageBreak/>
        <w:t xml:space="preserve">sobresee el presente proceso pudiendo la parte actora promover nuevo juicio sobre el mismo objeto”. </w:t>
      </w:r>
    </w:p>
    <w:p w:rsidR="0052098F" w:rsidRDefault="0052098F" w:rsidP="0052098F">
      <w:pPr>
        <w:pStyle w:val="TextoNormal"/>
      </w:pPr>
      <w:r>
        <w:t xml:space="preserve">h) La demandante de amparo, por escrito de fecha 22 de marzo de 2006, formuló oposición a la ejecución provisional de la Sentencia de apelación acordada por Auto de 7 de marzo de 2006, invocando la causa prevista en el art. 528.2.2 LEC, a cuyo tenor “La oposición a la ejecución provisional únicamente podrá fundarse en las siguientes causas: … 2ª. Si la sentencia fuese de condena no dineraria, resultar imposible o de extrema dificultad, atendida la naturaleza de las actuaciones ejecutivas, restaurar la situación anterior a la ejecución provisional o compensar económicamente al ejecutado mediante el resarcimiento de los daños y perjuicios que se le causaren, si aquella sentencia fuese revocada”. </w:t>
      </w:r>
    </w:p>
    <w:p w:rsidR="0052098F" w:rsidRDefault="0052098F" w:rsidP="0052098F">
      <w:pPr>
        <w:pStyle w:val="TextoNormal"/>
      </w:pPr>
      <w:r>
        <w:t xml:space="preserve">En el escrito de oposición a la ejecución provisional la demandante de amparo relata los avatares y reproduce el contenido de las resoluciones recaídas en los autos de adopción de medidas paterno filiales —Auto de adopción de medidas provisionales de 21 de febrero de 2005 y Sentencia de 14 de marzo de 2005 del Juzgado de Primera Instancia e Instrucción núm. 3 de Utrera; Sentencia de la Sección Sexta de la Audiencia Provincial de Sevilla de 10 de noviembre de 2005; providencias de la misma Sección de 11 de enero y de 15 de febrero de 2006, por las que, respectivamente, se tiene por preparados los recursos extraordinario de infracción procesal y de casación contra la Sentencia de apelación y se remiten los autos a la Sala de lo Civil del Tribunal Supremo previo emplazamiento de las partes—. A continuación describe los distintos domicilios y personas con las que ha convivido la menor, así como el domicilio y las personas con las que actualmente convive —la demandante de amparo y su actual pareja—, y su situación laboral y económica; los distintos centros docentes en los que ha estado escolarizada la menor y su actual escolarización, con aportación de una certificación favorable de su profesora tutora; transcribe el contenido de un informe psicológico sobre la menor elaborado a petición de la demandante de amparo; se refiere seguidamente a su escrito de 14 de marzo de 2006, mediante el que interesó la adopción de medidas cautelares a fin de evitar los perjuicios que a la menor le pudiera irrogar el nuevo régimen de guarda, custodia y visitas, describiendo mediante su reproducción la práctica de las actuaciones solicitadas en orden a acreditar dichos perjuicios, así como las medidas cautelares cuya adopción se instaron. Concluye el escrito suplicando al Juzgado que tenga por presentado dicho escrito y los documentos que al mismo se adjuntan y por formulada oposición a la ejecución provisional despachada. </w:t>
      </w:r>
    </w:p>
    <w:p w:rsidR="0052098F" w:rsidRDefault="0052098F" w:rsidP="0052098F">
      <w:pPr>
        <w:pStyle w:val="TextoNormal"/>
      </w:pPr>
      <w:r>
        <w:t xml:space="preserve">i) El Juzgado de Primera Instancia e Instrucción núm. 3 de Utrera, por providencia de 11 de abril de 2006, acordó unir a la pieza el escrito de oposición a la ejecución y, de conformidad con el art. 529.2 LEC, dar traslado del mismo a la parte ejecutante para que en el plazo de cinco días manifestase lo que considere conveniente. </w:t>
      </w:r>
    </w:p>
    <w:p w:rsidR="0052098F" w:rsidRDefault="0052098F" w:rsidP="0052098F">
      <w:pPr>
        <w:pStyle w:val="TextoNormal"/>
      </w:pPr>
      <w:r>
        <w:t xml:space="preserve">j) Impugnada por la representación procesal del padre de la menor la oposición a la ejecución provisional, el Juzgado de Primera Instancia e Instrucción núm. 3 de Utrera, por providencia de 20 de junio de 2006, acordó unir a los autos el escrito de impugnación y “[E]stimando no ser posible resolver la controversia sobre la oposición solamente con los documentos aportados, de acuerdo con lo dispuesto en el artículo 560 párrafo segundo de la 1/2000, de enjuiciamiento civil (LEC), se acuerda la celebración de vista”. </w:t>
      </w:r>
    </w:p>
    <w:p w:rsidR="0052098F" w:rsidRDefault="0052098F" w:rsidP="0052098F">
      <w:pPr>
        <w:pStyle w:val="TextoNormal"/>
      </w:pPr>
      <w:r>
        <w:t xml:space="preserve">k) La demandante de amparo, mediante escrito de fecha 29 de junio de 2006, solicitó que fuera citada judicialmente en calidad de testigo para la vista doña Laura Gavira Ruiz, profesora del C.E.I.P. Palenque de los Palacios y Villafranca, a “efectos del contenido de su certificado, y sobre todo el estado y evolución de la menor desde su incorporación a ese Centro”, así como interesó que se recabase dictamen detallado y minucioso del equipo psicosocial adscrito a los Juzgados de Familia de Sevilla “sobre la situación de la menor … y </w:t>
      </w:r>
      <w:r>
        <w:lastRenderedPageBreak/>
        <w:t xml:space="preserve">su entorno social así como sobre su estado psicológico, incluyendo los efectos sobre la menor del cambio de su guardia y custodia, y el régimen de visitas acordado, en este momento, y qué perjuicio pudiera ello depararle a la menor, informe que el citado equipo deberá emitir previo examen de las personas que componen el entorno familiar de la menor, es decir tanto el del padre, como el de la madre, así como de la propia menor”. </w:t>
      </w:r>
    </w:p>
    <w:p w:rsidR="0052098F" w:rsidRDefault="0052098F" w:rsidP="0052098F">
      <w:pPr>
        <w:pStyle w:val="TextoNormal"/>
      </w:pPr>
      <w:r>
        <w:t xml:space="preserve">l) Celebrada la vista, el Juzgado de Primera Instancia e Instrucción núm. 3 de Utrera, por Auto de 24 de julio de 2006 desestimó la oposición formulada y declaró procedente que la ejecución provisional siguiese adelante. </w:t>
      </w:r>
    </w:p>
    <w:p w:rsidR="0052098F" w:rsidRDefault="0052098F" w:rsidP="0052098F">
      <w:pPr>
        <w:pStyle w:val="TextoNormal"/>
      </w:pPr>
      <w:r>
        <w:t xml:space="preserve">La fundamentación jurídica del Auto resulta del siguiente tenor: </w:t>
      </w:r>
    </w:p>
    <w:p w:rsidR="0052098F" w:rsidRDefault="0052098F" w:rsidP="0052098F">
      <w:pPr>
        <w:pStyle w:val="TextoNormal"/>
      </w:pPr>
      <w:r>
        <w:t xml:space="preserve">“Único: La parte ejecutada funda su oposición en la causa del art. 528.2 LECiv, consistente en ‘resultar imposible o de extrema dificultad atendida la naturaleza de las actuaciones ejecutivas, restaurar la situación anterior a la ejecución provisional o compensar económicamente al ejecutado, mediante el resarcimiento de los daños y perjuicios que se causaren, si aquella sentencia fuese revocada’. </w:t>
      </w:r>
    </w:p>
    <w:p w:rsidR="0052098F" w:rsidRDefault="0052098F" w:rsidP="0052098F">
      <w:pPr>
        <w:pStyle w:val="TextoNormal"/>
      </w:pPr>
      <w:r>
        <w:t xml:space="preserve">No obstante los razonamientos de su escrito no van más allá de la simple invocación de la dificultad de restaurar la situación anterior (sin explicar el porqué) y el temor a que el cambio de custodia de la menor Paola, pasando a ostentarla el padre, y el consiguiente régimen de visitas acordado a favor de la madre, pueda causar perjuicios irreparables tanto a la menor como a la madre (ejecutada en este procedimiento); alegación que no basa en dato concreto alguno, sin que de los datos obrantes en la causa pueda inferirse mínimamente dicha posibilidad. </w:t>
      </w:r>
    </w:p>
    <w:p w:rsidR="0052098F" w:rsidRDefault="0052098F" w:rsidP="0052098F">
      <w:pPr>
        <w:pStyle w:val="TextoNormal"/>
      </w:pPr>
      <w:r>
        <w:t xml:space="preserve">A la vista del escrito de oposición presentado se colige claramente que lo que dicha parte alega como causa de oposición no es más que su disconformidad con la decisión adoptada por la Audiencia Provincial, pretendiendo por esta vía que se proceda a la revisión de la decisión adoptada en la alzada entrando a valorar pruebas cuya valoración ya efectuó en su día la Audiencia, y en base a las cuales resolvió, sin duda alguna, en beneficio e interés de la menor. Razón por la cual lo pretendido por la parte ejecutada a través de este incidente resulta jurídicamente inviable. </w:t>
      </w:r>
    </w:p>
    <w:p w:rsidR="0052098F" w:rsidRDefault="0052098F" w:rsidP="0052098F">
      <w:pPr>
        <w:pStyle w:val="TextoNormal"/>
      </w:pPr>
      <w:r>
        <w:t xml:space="preserve">No hay, en definitiva, motivo justificado que aconseje estimar la oposición planteada”. </w:t>
      </w:r>
    </w:p>
    <w:p w:rsidR="0052098F" w:rsidRDefault="0052098F" w:rsidP="0052098F">
      <w:pPr>
        <w:pStyle w:val="TextoNormal"/>
      </w:pPr>
      <w:r>
        <w:t>m) La demandante de amparo formuló incidente de nulidad de actuaciones contra el anterior Auto, que fue inadmitido a trámite por providencia del Juzgado de Primera Instancia e Instrucción núm. 3 de Utrera de 10 de octubre de 2006.</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la fundamentación jurídica de la demanda de amparo se invocan, frente al Auto del Juzgado de Primera Instancia e Instrucción núm. 3 de Utrera de 24 de julio de 2006, las vulneraciones de derechos fundamentales que a continuación se exponen: </w:t>
      </w:r>
    </w:p>
    <w:p w:rsidR="0052098F" w:rsidRDefault="0052098F" w:rsidP="0052098F">
      <w:pPr>
        <w:pStyle w:val="TextoNormal"/>
      </w:pPr>
      <w:r>
        <w:t xml:space="preserve">a) Vulneración de los derechos a la tutela judicial efectiva sin que, en ningún caso, pueda producirse indefensión (art. 24.1 CE), y a utilizar los medios de prueba pertinentes para su defensa (art. 24.2 CE). </w:t>
      </w:r>
    </w:p>
    <w:p w:rsidR="0052098F" w:rsidRDefault="0052098F" w:rsidP="0052098F">
      <w:pPr>
        <w:pStyle w:val="TextoNormal"/>
      </w:pPr>
      <w:r>
        <w:t xml:space="preserve">Se argumenta al respecto en la demanda que el órgano judicial, de estimar necesaria la celebración de vista, pues entendió que no era posible resolver la controversia sobre la oposición con los documentos aportados, y de citar a una testigo a petición de la recurrente en amparo, pasó a considerar en dicho acto que no era necesaria la práctica de prueba alguna, “ya que se trata de una cuestión exclusivamente jurídica”. Sin embargo en las actuaciones queda constancia de que la controversia entre las partes excede de lo exclusivamente jurídico y se extiende al terreno de los hechos. En efecto, el ejecutante formuló alegaciones a favor de su pretensión referidas a las relaciones de la menor con su padre y con la familia de éste, al cuidado de la menor por sus abuelos paternos, a la convivencia de ambas familias </w:t>
      </w:r>
      <w:r>
        <w:lastRenderedPageBreak/>
        <w:t xml:space="preserve">en el mismo domicilio, a la escolarización de la menor, al contenido de los informes escolares y psicológico, que contrastaban con las alegaciones y los documentos presentados por esta parte, tratándose de circunstancias que merecían esclarecerse mediante prueba para adoptar una resolución. </w:t>
      </w:r>
    </w:p>
    <w:p w:rsidR="0052098F" w:rsidRDefault="0052098F" w:rsidP="0052098F">
      <w:pPr>
        <w:pStyle w:val="TextoNormal"/>
      </w:pPr>
      <w:r>
        <w:t xml:space="preserve">De otra parte la recurrente en amparo hizo constar como hecho nuevo el sobreseimiento provisional del rollo núm. 4991-2003 de la Sección Tercera de la Audiencia Provincial dimanante del sumario núm. 2-2003 del Juzgado de Instrucción núm. 2 de Utrera por Auto de 26 de junio de 2006. Hecho nuevo que acredita una situación diferente a la luz del Auto del Juzgado de Primera Instancia e Instrucción núm. 3 de Utrera, de 7 de marzo de 2007. </w:t>
      </w:r>
    </w:p>
    <w:p w:rsidR="0052098F" w:rsidRDefault="0052098F" w:rsidP="0052098F">
      <w:pPr>
        <w:pStyle w:val="TextoNormal"/>
      </w:pPr>
      <w:r>
        <w:t xml:space="preserve">Pese a todo lo anterior el órgano judicial “no consideró necesaria la práctica de prueba alguna”, lo que vulnera los derechos de la menor y de la recurrente en amparo a la tutela judicial efectiva (art. 24.1 CE) y a la prueba (art. 24.2 CE), a fin de demostrar el riesgo en que la ejecución provisional situaría a la menor. De haber accedido el órgano judicial a la práctica de prueba habría cabido la posibilidad de haber oído al perito que a instancia de la demandante de amparo había elaborado el informe psicológico que se adjuntó al escrito de oposición a la ejecución, en el que se señala, entre otras conclusiones, que en caso de cambio brusco del entorno de la menor “lo que se estaría contribuyendo es a la desestabilización de la menor tanto a nivel social como afectivo”. Además se podrían haber practicado otras pruebas propuestas por las partes y que hubieran sido admitidas, así como acreditado documentalmente el sobreseimiento provisional del rollo núm. 4991-2003. </w:t>
      </w:r>
    </w:p>
    <w:p w:rsidR="0052098F" w:rsidRDefault="0052098F" w:rsidP="0052098F">
      <w:pPr>
        <w:pStyle w:val="TextoNormal"/>
      </w:pPr>
      <w:r>
        <w:t xml:space="preserve">b) Vulneración del derecho de la menor a la tutela judicial efectiva sin que, en ningún caso, pueda producirse indefensión (art. 24.1 CE), al no haber sido oída por el órgano judicial. </w:t>
      </w:r>
    </w:p>
    <w:p w:rsidR="0052098F" w:rsidRDefault="0052098F" w:rsidP="0052098F">
      <w:pPr>
        <w:pStyle w:val="TextoNormal"/>
      </w:pPr>
      <w:r>
        <w:t xml:space="preserve">En ese caso la menor nunca ha sido oída o explorada, ni durante la tramitación de las medidas provisionales, ni en el procedimiento principal sobre adopción de medidas, ni con ocasión de la tramitación del recurso de apelación, ni a lo largo de los autos de ejecución provisional de la Sentencia de apelación. La exploración de los menores es un derecho de éstos recogido en el art. 12 de la Convención de los derechos del niño de 20 de noviembre de 1989, ratificada por España el 30 de noviembre de 1990. En este sentido el art. 9 de la Ley Orgánica 1/1996, de 15 de enero, de protección jurídica del menor, reconoce su derecho a ser oído tanto en el ámbito familiar como en cualquier procedimiento administrativo o judicial en el que esté directamente implicado y que conduzca a una decisión que afecte a su esfera personal, familiar o social. Por su parte el art. 92.2 CC determina que el Juez, cuando debe adoptar cualquier medida sobre la custodia, el cuidado y la educación de los hijos menores, velará por el cumplimiento de su derecho a ser oídos. </w:t>
      </w:r>
    </w:p>
    <w:p w:rsidR="0052098F" w:rsidRDefault="0052098F" w:rsidP="0052098F">
      <w:pPr>
        <w:pStyle w:val="TextoNormal"/>
      </w:pPr>
      <w:r>
        <w:t xml:space="preserve">En este supuesto no ha habido ocasión a ejercitar el citado derecho en la fase probatoria a instancia de las partes, pues el órgano judicial no consideró necesaria la práctica de prueba alguna, ni adoptó ningún pronunciamiento en orden a cumplir con el derecho de la menor a ser oída, pese a que la naturaleza de la medida que provisionalmente se ejecuta conlleva su cambio de custodia. En apoyo de esta pretensión de amparo se invoca en la demanda la doctrina de las SSTC 221/2002, de 23 de noviembre (FJ 5), y 152/2005, de 6 de junio (FJ 3). </w:t>
      </w:r>
    </w:p>
    <w:p w:rsidR="0052098F" w:rsidRDefault="0052098F" w:rsidP="0052098F">
      <w:pPr>
        <w:pStyle w:val="TextoNormal"/>
      </w:pPr>
      <w:r>
        <w:t xml:space="preserve">c) Vulneración del derecho a la integridad física y moral (art. 15 CE). </w:t>
      </w:r>
    </w:p>
    <w:p w:rsidR="0052098F" w:rsidRDefault="0052098F" w:rsidP="0052098F">
      <w:pPr>
        <w:pStyle w:val="TextoNormal"/>
      </w:pPr>
      <w:r>
        <w:t xml:space="preserve">Tras reproducirse en la demanda el art. 158 CC, se aduce que en el informe psicológico, aportado como documento junto al escrito de oposición a la ejecución provisional, se afirma que con el cambio de entorno de la menor “lo que se estaría contribuyendo es a la desestabilización de la menor tanto a nivel social como afectivo”. Ante tal conclusión, y a la vista </w:t>
      </w:r>
      <w:r>
        <w:lastRenderedPageBreak/>
        <w:t xml:space="preserve">del art. 158 CC, se afirma en la demanda que el Auto impugnado vulnera el mencionado derecho fundamental. </w:t>
      </w:r>
    </w:p>
    <w:p w:rsidR="0052098F" w:rsidRDefault="0052098F" w:rsidP="0052098F">
      <w:pPr>
        <w:pStyle w:val="TextoNormal"/>
      </w:pPr>
      <w:r>
        <w:t xml:space="preserve">La normativa civil en el caso de los menores regula una serie de especialidades a fin de evitar precisamente que los niños sufran perjuicios innecesarios que puedan derivar de la rigidez de los procedimientos administrativos y judiciales (exposición de motivos de la Ley Orgánica 1/1996). Entre dichas especialidades han de destacarse las siguientes: 1) el art. 158.2 CC, que establece la posibilidad de que el Juez adopte las disposiciones apropiadas a fin de evitar a los hijos perturbaciones dañosas en los casos de cambio de titular de la potestad de guarda, añadiendo en su apartado 4 que el Juez dictará en general las demás disposiciones que considere oportunas a fin de apartar al menor de un peligro o de evitarle perjuicios; 2) todos los principios que contempla y garantiza la Ley Orgánica 1/1996, de 15 de enero, en cuyo art. 2 se establece que habrá de hacerse primar el interés superior de los menores sobre cualquier otro interés legítimo que pudiera concurrir; 3) la obligación constitucional de los poderes públicos de asegurar la protección social, económica y jurídica de la familia y, con carácter singular, la de los menores; finalmente, 4) por muy legítimo derecho que se tenga a instar la tutela judicial efectiva y a solicitar la ejecución de una resolución, este derecho quiebra, de acuerdo con la doctrina del Tribunal Constitucional, si queda patente que implicaría atentar contra la integridad física y psíquica de unos menores. </w:t>
      </w:r>
    </w:p>
    <w:p w:rsidR="0052098F" w:rsidRDefault="0052098F" w:rsidP="0052098F">
      <w:pPr>
        <w:pStyle w:val="TextoNormal"/>
      </w:pPr>
      <w:r>
        <w:t>Concluye el escrito de demanda suplicando del Tribunal Constitucional que, tras los trámites oportunos, dicte Sentencia en la que se otorgue el amparo solicitado, se declare la nulidad del Auto del Juzgado de Primera Instancia e Instrucción núm. 3 de Utrera de 24 de julio de 2006, así como la de la providencia de dicho Juzgado de 10 de octubre de 2006, retrotrayéndose las actuaciones judiciales al momento procesal oportuno, a fin de que la demandante de amparo pueda defenderse contradictoriamente frente a las pretensiones deducidas por la parte contraria y el Ministerio Fiscal, admitiendo el recibimiento de los autos a prueba y acordando lo necesario en orden a la audiencia de la menor. Por otrosí digo se interesó la suspensión de la ejecución del Auto de 24 de julio de 2006.</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La Sala Segunda del Tribunal Constitucional, por providencia de 26 de abril de 2007, acordó admitir la demanda y, en aplicación de lo dispuesto en el art. 51 LOTC, dirigir atentas comunicaciones a la Sección Sexta de la Audiencia Provincial de Sevilla y al Juzgado de Primera Instancia e Instrucción núm. 3 de Utrera, a fin de que en plazo que no excediera de diez días remitiesen, respectivamente, certificación o fotocopia adverada de la actuaciones correspondientes al rollo núm. 5314-2005 y a los autos de ejecución provisional núm. 112-2006, debiendo el Juzgado emplazar previamente a quienes hubieran sido parte en el procedimiento, a excepción de la demandante de amparo, para que si lo desearan pudiesen comparecer en este procedimiento. </w:t>
      </w:r>
    </w:p>
    <w:p w:rsidR="0052098F" w:rsidRDefault="0052098F" w:rsidP="0052098F">
      <w:pPr>
        <w:pStyle w:val="TextoNormal"/>
      </w:pPr>
      <w:r>
        <w:t>Habiendo comunicado la Sección Sexta de la Audiencia Provincial de Sevilla que los autos originales solicitados habían sido elevados a la Sala Primera del Tribunal Supremo, por diligencia de ordenación de la Secretaría de la Sala Segunda del Tribunal Constitucional, de 22 de mayo de 2007, se acordó dirigir atenta comunicación a la Sala Primera del Tribunal Supremo, a fin de que a la mayor brevedad posible remitiese certificación o fotocopia adverada de las actuaciones correspondientes al rollo de apelación núm. 5134-2005.</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La Sala Segunda del Tribunal Constitucional, por providencia de 26 de abril de 2007, acordó formar la oportuna pieza separada para la tramitación del incidente de suspensión y, de conformidad con lo dispuesto en el art. 56 LOTC, otorgó un plazo común de tres días a </w:t>
      </w:r>
      <w:r>
        <w:lastRenderedPageBreak/>
        <w:t xml:space="preserve">la parte recurrente y al Ministerio Fiscal para que alegasen lo que estimaren procedente sobre la suspensión solicitada. </w:t>
      </w:r>
    </w:p>
    <w:p w:rsidR="0052098F" w:rsidRDefault="0052098F" w:rsidP="0052098F">
      <w:pPr>
        <w:pStyle w:val="TextoNormal"/>
      </w:pPr>
      <w:r>
        <w:t>Evacuado el trámite de alegaciones conferido, la Sala, por ATC 421/2007, de 5 de noviembre, denegó la suspensión solicitada.</w:t>
      </w:r>
    </w:p>
    <w:p w:rsidR="0052098F" w:rsidRDefault="0052098F" w:rsidP="0052098F">
      <w:pPr>
        <w:pStyle w:val="TextoNormal"/>
      </w:pPr>
    </w:p>
    <w:p w:rsidR="0052098F" w:rsidRDefault="0052098F" w:rsidP="0052098F">
      <w:pPr>
        <w:pStyle w:val="TextoNormal"/>
      </w:pPr>
      <w:r w:rsidRPr="0052098F">
        <w:rPr>
          <w:rStyle w:val="NumeroAFNegritaCaracter"/>
        </w:rPr>
        <w:t>6</w:t>
      </w:r>
      <w:r>
        <w:t>. Por diligencia de ordenación de la Secretaría de la Sala Segunda del Tribunal Constitucional, de 17 de julio de 2007, se acordó dar vista de la actuaciones recibidas a la parte recurrente y al Ministerio Fiscal, por plazo común de veinte días, dentro del cual pudieron formular las alegaciones que tuvieron por conveniente, de conformidad con el art. 52.1 LOTC.</w:t>
      </w:r>
    </w:p>
    <w:p w:rsidR="0052098F" w:rsidRDefault="0052098F" w:rsidP="0052098F">
      <w:pPr>
        <w:pStyle w:val="TextoNormal"/>
      </w:pPr>
    </w:p>
    <w:p w:rsidR="0052098F" w:rsidRDefault="0052098F" w:rsidP="0052098F">
      <w:pPr>
        <w:pStyle w:val="TextoNormal"/>
      </w:pPr>
      <w:r w:rsidRPr="0052098F">
        <w:rPr>
          <w:rStyle w:val="NumeroAFNegritaCaracter"/>
        </w:rPr>
        <w:t>7</w:t>
      </w:r>
      <w:r>
        <w:t>. La representación procesal de la recurrente en amparo evacuó el trámite de alegaciones conferido mediante escrito registrado en fecha 20 de septiembre de 2007, en el que en síntesis reiteró las formuladas en el escrito de demanda.</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Ministerio Fiscal evacuó el trámite de alegaciones conferido mediante escrito registrado en fecha 3 de octubre de 2007, en el que, con base en la argumentación que a continuación se extracta, interesó la desestimación de la demanda de amparo. </w:t>
      </w:r>
    </w:p>
    <w:p w:rsidR="0052098F" w:rsidRDefault="0052098F" w:rsidP="0052098F">
      <w:pPr>
        <w:pStyle w:val="TextoNormal"/>
      </w:pPr>
      <w:r>
        <w:t xml:space="preserve">a) En relación con la denunciada vulneración del derecho a la prueba argumenta que en todos los casos en que la evaluación del mencionado derecho se lleva a cabo no se puede desconocer la naturaleza del proceso en el que se ejerce, así como el contenido de las normas que lo regulan, ni el núcleo del hecho que se pretende probar, ni, naturalmente, se puede prescindir de la lectura y examen de las actuaciones para la verificar la alegación relativa a la conculcación del derecho. </w:t>
      </w:r>
    </w:p>
    <w:p w:rsidR="0052098F" w:rsidRDefault="0052098F" w:rsidP="0052098F">
      <w:pPr>
        <w:pStyle w:val="TextoNormal"/>
      </w:pPr>
      <w:r>
        <w:t xml:space="preserve">Pues bien, en este caso nos hallamos ante un proceso específico de ejecución provisional no dineraria. Se trata de un proceso sumario en el que rigen los principios de concentración y oralidad y en el que, atendido que parten del fallo de una sentencia, el legislador ha entendido de debe haber una limitación de los medios de oposición (arts. 527 y 528 LEC). Al ser el contenido del proceso la ejecución de la Sentencia dictada en otro proceso debería entenderse que el nuevo fallo debería partir de la intangibilidad de lo alegado y debatido en el proceso antecedente, salvo que concurra una causa de oposición a la ejecución que diera lugar a que la ejecución provisional no siga adelante (art. 530.2 LEC), con las consecuencias inherentes a tal declaración. </w:t>
      </w:r>
    </w:p>
    <w:p w:rsidR="0052098F" w:rsidRDefault="0052098F" w:rsidP="0052098F">
      <w:pPr>
        <w:pStyle w:val="TextoNormal"/>
      </w:pPr>
      <w:r>
        <w:t xml:space="preserve">En el acto del juicio oral la causa de oposición a la ejecución provisional alegada por la demandante de amparo fue la prevista en el art. 528.2 LEC, a cuyo tenor “[S]i la sentencia fuere de condena no dineraria, resultar imposible o de extrema dificultad, atendida la naturaleza de las actuaciones ejecutivas, restaurar la situación anterior a la ejecución provisional o compensar económicamente al ejecutado mediante el resarcimiento de los daños y perjuicios que se le causaren, si aquella sentencia fuese revocada”. Esta causa de oposición trasciende a la temática probatoria, que debe versar, no sobre la acreditación de que la custodia es nociva al ostentarla el padre o beneficiosa si la tiene la madre, sino sobre la dificultad o imposibilidad del cumplimiento de la condena (entrega de la menor) o de restaurar la situación anterior o sobre la también imposibilidad de compensación económica si la Sentencia fuese revocada. </w:t>
      </w:r>
    </w:p>
    <w:p w:rsidR="0052098F" w:rsidRDefault="0052098F" w:rsidP="0052098F">
      <w:pPr>
        <w:pStyle w:val="TextoNormal"/>
      </w:pPr>
      <w:r>
        <w:t xml:space="preserve">Con base en las consideraciones expuestas el Ministerio Fiscal entiende que no ha existido la denunciada vulneración del derecho a la prueba. Aduce al respecto, en primer lugar, que la parte demandante, que hizo constar en el acto del juicio que se oponía a la causa </w:t>
      </w:r>
      <w:r>
        <w:lastRenderedPageBreak/>
        <w:t xml:space="preserve">antedicha (art. 528.2 LEC), no presentó prueba alguna tendente a acreditar la dificultad o imposibilidad a que se refiere el citado precepto. Interrogada por el Juez en el acto de la vista no consiguió argumentar, fuera de la declaración genérica de que el cambio de custodia pudiera desestabilizar a la menor, sobre la razón de la tan citada imposibilidad de restauración de la situación anterior o de la compensación económica si la Sentencia fuera revocada en su día. En este sentido la prueba debería haber orbitado, no sobre la bondad de la convivencia de la menor con su madre, sino sobre los perjuicios que pudieran provenir del traslado pretendido por el ejecutante que pudieran originar un daño irreversible en la menor. El informe psicológico presentado por la recurrente apunta más bien a lo contrario, al confesar la niña el apego a su padre (como a su madre), aceptando incluso a la persona que con aquél convive, sin que se acuse en tal informe disfunción alguna por el trato con sus progenitores, al tener identificada a cada una de esas personas. </w:t>
      </w:r>
    </w:p>
    <w:p w:rsidR="0052098F" w:rsidRDefault="0052098F" w:rsidP="0052098F">
      <w:pPr>
        <w:pStyle w:val="TextoNormal"/>
      </w:pPr>
      <w:r>
        <w:t xml:space="preserve">En segundo lugar tampoco puede decirse con rotundidad que no se hayan practicado las pruebas solicitadas. Las testificales pedidas, tanto de la tutora como del psicólogo autor del informe, constan en autos como documentales de modo exhaustivo, lo que pudo ser valorado por el Juez. Asimismo obran otras documentales igualmente presentadas por la madre, referidas a la matriculación de la menor en el correspondiente colegio, e informes individualizados de la misma. Por tanto no se puede decir que la falta de prueba haya redundado en indefensión material a la demandante. De las pruebas pedidas solo faltaría la exploración de la menor, no necesaria según veremos después, y el informe del equipo psico-social del Juzgado de familia, que, a juicio del Ministerio Fiscal, era redundante, habida cuenta del otro informe antes aludido presentado por la propia demandante. </w:t>
      </w:r>
    </w:p>
    <w:p w:rsidR="0052098F" w:rsidRDefault="0052098F" w:rsidP="0052098F">
      <w:pPr>
        <w:pStyle w:val="TextoNormal"/>
      </w:pPr>
      <w:r>
        <w:t xml:space="preserve">Por último la circunstancia de que no conste en una resolución separada el rechazo de la prueba solicitada no puede convertirse en un obstáculo para no entender vulnerado el derecho a la prueba en una consideración antiformalista de tal requisito, máxime cuando del contenido total de lo ocurrido en la vista, su transcripción en CD, así como de la decisión final del Auto de entender la controversia como de exclusivo carácter jurídico, se infiere que la prueba en la forma presentada no era ni pertinente, ni relevante ni causal al fin pretendido, lo que se remarca, además, con la consideración que merece al órgano judicial la posición de la demandada, que pretende obtener por vía oblicua lo que no ha conseguido en el proceso antecedente, desvirtuando de esta forma la naturaleza del proceso de ejecución provisional. El rechazo implícito lo es, pues, por la no relación de la prueba con el derecho alegado (art. 528.2 LEC). </w:t>
      </w:r>
    </w:p>
    <w:p w:rsidR="0052098F" w:rsidRDefault="0052098F" w:rsidP="0052098F">
      <w:pPr>
        <w:pStyle w:val="TextoNormal"/>
      </w:pPr>
      <w:r>
        <w:t xml:space="preserve">b) En cuanto a la denunciada lesión del derecho a la tutela judicial efectiva (art. 24.1 CE), por la no exploración de la menor en el proceso de ejecución provisional, el Ministerio Fiscal alega que los preceptos legales invocados por la recurrente para fundar la vulneración denunciada son reproducidos parcialmente. En efecto, aunque el art. 9 de la Ley Orgánica 1/1996, de 15 de enero, consagra el derecho del menor a ser oído, su aparatado 2 prevé que tal derecho se ejerza a través de su representante, cuando tenga suficiente juicio, permitiéndose en el párrafo siguiente que se pueda conocer la opinión del menor por medio de personas que por su profesión o relación especial de confianza con él puedan trasmitirla objetivamente. Por su parte el art. 92.2 CC, junto a la obligación del Juez en orden a garantizar la audiencia de los menores, condiciona dicha audiencia a la “suficiencia de juicio” y a que el Juez “lo estime necesario”, lo que apunta a la posibilidad de que no se les escuche en determinados supuestos en función de cada caso en concreto. </w:t>
      </w:r>
    </w:p>
    <w:p w:rsidR="0052098F" w:rsidRDefault="0052098F" w:rsidP="0052098F">
      <w:pPr>
        <w:pStyle w:val="TextoNormal"/>
      </w:pPr>
      <w:r>
        <w:t xml:space="preserve">Aplicadas dichas normas al presente caso, el Ministerio Fiscal destaca que la menor, nacida el día 3 de marzo de 2000, contaba con 5 o 6 años en el momento del proceso de ejecución, por lo que es dudoso que pudiera ser considerada como persona con el suficiente </w:t>
      </w:r>
      <w:r>
        <w:lastRenderedPageBreak/>
        <w:t xml:space="preserve">juicio para discriminar la persona que debería ostentar su custodia. Seguramente ésta es la razón por la que los Jueces no estimaron necesaria su exploración, máxime cuando había sido entrevistada por el psicólogo como consta en la documental presentada por la recurrente en amparo en el juicio de ejecución provisional, posibilidad que, como vimos, suple la exploración judicial. De otro lado entiende que la jurisprudencia constitucional invocada en la demanda de amparo no es aplicable a este caso, pues son Sentencias anteriores a la reforma del CC, se refieren a menores de mayor edad (9 años) y contemplan supuestos distintos al ahora enjuiciado. </w:t>
      </w:r>
    </w:p>
    <w:p w:rsidR="0052098F" w:rsidRDefault="0052098F" w:rsidP="0052098F">
      <w:pPr>
        <w:pStyle w:val="TextoNormal"/>
      </w:pPr>
      <w:r>
        <w:t>c) Bajo la invocación del derecho a la integridad física y moral (art. 15 CE) la demandante de amparo, a juicio del Ministerio Fiscal, vuelve a insistir en el interés del menor que relaciona con su estancia bajo la custodia de la madre, y el peligro que supondría el cumplimiento provisional de la Sentencia, consistente en el traslado de la custodia al padre. A tal efecto se citan textos del Código civil y de la Ley Orgánica 1/1996, de 15 de enero, sin que éstos tengan repercusión en el caso concreto y sin que se aporte dato alguno para entender que existe un daño a la integridad física y moral actual o futuro que pudiera provenir del cambio de tutela. Por ello entiende que esta alegación tiene un carácter meramente retórico y está ayuna de argumentación.</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28 de enero de 2008, se señaló para la deliberación y votación de la presente Sentencia el día 31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presente demanda de amparo tiene por objeto la impugnación del Auto del Juzgado de Primera Instancia e Instrucción núm. 3 de Utrera, de 24 de julio de 2006, por el que se desestimó la oposición planteada por la recurrente a la ejecución provisional de la Sentencia de la Sección Sexta de la Audiencia Provincial de Sevilla de 10 de noviembre de 2005 que, revocando en apelación la Sentencia dictada en primera instancia, atribuyó a don José Manuel E. B, ex marido de la solicitante de amparo, la guarda y custodia de la hija menor de ambos, sin perjuicio de que la patria potestad fuese compartida por los progenitores. En la demanda de amparo ningún reproche se dirige a la providencia del Juzgado de Primera Instancia e Instrucción núm.  3 de Utrera de 10 de octubre de 2006, que inadmitió a trámite el incidente de nulidad de actuaciones formulado frente a aquel Auto, que sólo se impugna en la medida en que viene a confirmarlo.</w:t>
      </w:r>
    </w:p>
    <w:p w:rsidR="0052098F" w:rsidRDefault="0052098F" w:rsidP="0052098F">
      <w:pPr>
        <w:pStyle w:val="TextoNormal"/>
      </w:pPr>
      <w:r>
        <w:t>La demandante de amparo imputa al Auto del Juzgado de Primera Instancia e Instrucción núm. 3 de Utrera, de 24 de julio de 2006, la vulneración del derecho a la tutela judicial efectiva (art. 24.1 CE), en relación con el derecho a utilizar los medios de prueba pertinentes para la defensa (art. 24.2 CE), por haber considerado el órgano judicial en el acto de la vista que no era necesaria la práctica de prueba alguna; la lesión del derecho a la tutela judicial efectiva (art. 24.1 CE), al no haber sido oída la menor; y, en fin, la violación del derecho a la integridad física y moral (art. 15 CE), ya que el cambio del entorno de la menor contribuiría a su desestabilización social y afectiva.</w:t>
      </w:r>
    </w:p>
    <w:p w:rsidR="0052098F" w:rsidRDefault="0052098F" w:rsidP="0052098F">
      <w:pPr>
        <w:pStyle w:val="TextoNormal"/>
      </w:pPr>
      <w:r>
        <w:t>El Ministerio Fiscal, por las razones que se han dejado expuestas en los antecedentes, se opone a la estimación de la demanda de amparo, al entender que no se ha producido ninguna de las vulneraciones de derechos fundamentales denunciadas.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2</w:t>
      </w:r>
      <w:r>
        <w:t>. La demandante de amparo sostiene, en primer término, que ha resultado vulnerado su derecho y el de la menor a la tutela judicial efectiva (art. 24.1 CE), en relación con el derecho a utilizar los medios de prueba pertinentes para la defensa (art.  24.2 CE), por haber estimado el órgano judicial en el acto de la vista de la ejecución provisional que no era necesaria la práctica de prueba alguna, a fin de demostrar el riesgo en que la ejecución provisional situaría a la menor y cuando la discrepancia y controversia entre las partes excedía de lo exclusivamente jurídico y se extendía al terreno fáctico.</w:t>
      </w:r>
    </w:p>
    <w:p w:rsidR="0052098F" w:rsidRDefault="0052098F" w:rsidP="0052098F">
      <w:pPr>
        <w:pStyle w:val="TextoNormal"/>
      </w:pPr>
      <w:r>
        <w:t>El examen de la queja de la recurrente en amparo debe partir de la previa consideración de que, pese a la estrecha relación existente entre el derecho a la tutela judicial efectiva (art. 24.1 CE) y el derecho a utilizar los medios de prueba pertinentes para la defensa (art. 24.2 CE), la decisión de inadmitir o no practicar la prueba produce consecuencias directas en el ámbito de este último derecho, en el que, por lo tanto, ha de encuadrarse el primero de los motivos en los que la actora funda su pretensión. En relación con el mencionado derecho fundamental este Tribunal ha elaborado una consolidada doctrina constitucional, que puede sintetizarse en los siguientes términos:</w:t>
      </w:r>
    </w:p>
    <w:p w:rsidR="0052098F" w:rsidRDefault="0052098F" w:rsidP="0052098F">
      <w:pPr>
        <w:pStyle w:val="TextoNormal"/>
      </w:pPr>
      <w:r>
        <w:t>a) El derecho a utilizar los medios de prueba pertinentes para la defensa es un derecho fundamental de configuración legal, en la delimitación de cuyo contenido constitucionalmente protegido coadyuva de manera activa el legislador, en particular al establecer las normas reguladoras de cada concreto orden jurisdiccional y de cada proceso,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w:t>
      </w:r>
    </w:p>
    <w:p w:rsidR="0052098F" w:rsidRDefault="0052098F" w:rsidP="0052098F">
      <w:pPr>
        <w:pStyle w:val="TextoNormal"/>
      </w:pPr>
      <w:r>
        <w:t>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la pertinencia de las pruebas solicitadas, debiendo motivar razonablemente la denegación de las pruebas propuestas, de modo que puede resultar vulnerado este derecho en caso de denegación o inejecución imputables al órgano judicial cuando se inadmiten o inejecutan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 CE.</w:t>
      </w:r>
    </w:p>
    <w:p w:rsidR="0052098F" w:rsidRDefault="0052098F" w:rsidP="0052098F">
      <w:pPr>
        <w:pStyle w:val="TextoNormal"/>
      </w:pPr>
      <w:r>
        <w:t>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hubiera practicado correctamente la admitida, la resolución final del proceso hubiese podido ser distinta en el sentido de resultar favorable a quien denuncia la infracción del derecho fundamental.</w:t>
      </w:r>
    </w:p>
    <w:p w:rsidR="0052098F" w:rsidRDefault="0052098F" w:rsidP="0052098F">
      <w:pPr>
        <w:pStyle w:val="TextoNormal"/>
      </w:pPr>
      <w:r>
        <w:lastRenderedPageBreak/>
        <w:t>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 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las pretensiones; sólo en tal caso —comprobado que el fallo del proceso a quo pudo, tal vez, haber sido otro si la prueba se hubiera practicado— podrá apreciarse también el menoscabo efectivo del derecho de quien por este motivo solicita el amparo constitucional (por todas, SSTC 247/2004, de 20 de diciembre, FJ 3; 23/2007, de 12 de febrero, FJ 6; 94/2007, de 7 de mayo, FJ 3; 185/2007, de 10 de septiembre, FJ 2; 240/2007, de 10 de diciembre, FJ 2).</w:t>
      </w:r>
    </w:p>
    <w:p w:rsidR="0052098F" w:rsidRDefault="0052098F" w:rsidP="0052098F">
      <w:pPr>
        <w:pStyle w:val="TextoNormal"/>
      </w:pPr>
    </w:p>
    <w:p w:rsidR="0052098F" w:rsidRDefault="0052098F" w:rsidP="0052098F">
      <w:pPr>
        <w:pStyle w:val="TextoNormal"/>
      </w:pPr>
      <w:r w:rsidRPr="0052098F">
        <w:rPr>
          <w:rStyle w:val="NumeroAFNegritaCaracter"/>
        </w:rPr>
        <w:t>3</w:t>
      </w:r>
      <w:r>
        <w:t>. Como el Ministerio Fiscal pone de manifiesto con acierto en su escrito de alegaciones, la denunciada vulneración del derecho a la prueba ha de examinarse teniendo en cuenta la naturaleza y el objeto del concreto proceso en el que se ejercita este derecho fundamental. En este caso se trata de un proceso específico de ejecución provisional de una Sentencia de segunda instancia de condena no dineraria (arts. 535 y ss., en relación con los arts. 526 y ss. de la Ley de enjuiciamiento civil: LEC), en concreto, la Sentencia de la Sección Sexta de la Audiencia Provincial de Sevilla de 10 de noviembre de 2005 que, revocando en apelación la dictada en primera instancia, atribuye la guarda y custodia de la menor a su padre, en vez de a su madre.  Proceso de ejecución provisional que se caracteriza por su sumariedad, en el que rigen los principios de concentración y oralidad y en el que el legislador, dado que se parte del fallo de una Sentencia cuya ejecución provisional se pretende, ha limitado taxativamente los medios o causas de oposición. En dicho proceso han de acreditarse, por tanto, la causa o causas de oposición a la ejecución provisional alegadas para evitar que ésta siga adelante, y no, por ser una cuestión ajena al proceso de ejecución, la cuestión debatida y decidida en el proceso en el que ha recaído la Sentencia cuya ejecución provisional se persigue.</w:t>
      </w:r>
    </w:p>
    <w:p w:rsidR="0052098F" w:rsidRDefault="0052098F" w:rsidP="0052098F">
      <w:pPr>
        <w:pStyle w:val="TextoNormal"/>
      </w:pPr>
      <w:r>
        <w:t xml:space="preserve">En este caso el padre de la menor, habiéndole sido reconocido el derecho a su custodia y guarda, solicitó la ejecución provisional de la Sentencia de la Audiencia Provincial, a la que accedió el Juzgado de Primera Instancia e Instrucción núm. 3 de Utrera por Auto de 7 de marzo de 2006. La demandante de amparo, a los efectos que ahora interesan, mediante escrito de fecha 22 de marzo de 2006 formuló oposición a la ejecución provisional, alegando como causa “resultar imposible o de extrema dificultad, atendida la naturaleza de las actuaciones ejecutivas, restaurar la situación anterior a la ejecución provisional o compensar económicamente al ejecutado mediante el resarcimiento de los daños y perjuicios que se le causaren, si aquella sentencia fuese revocada” (art. 528.2.2 LEC). Así pues, atendiendo a la causa de oposición alegada por la recurrente en amparo, la actividad probatoria en el proceso de ejecución provisional debía estar orientada a acreditar dicha causa, esto es, la imposibilidad o extrema dificultad de restaurar la situación anterior de seguir adelante la ejecución provisional en caso que fuese revocada la Sentencia de apelación, es decir, la imposibilidad o extrema dificultad de que la menor volviera con su madre en el supuesto de que fuese revocada la Sentencia cuya ejecución provisional implicaba la entrega de la menor a su padre. Sobre tal extremo, y únicamente sobre él, debía versar la actividad probatoria en el </w:t>
      </w:r>
      <w:r>
        <w:lastRenderedPageBreak/>
        <w:t>seno del proceso de ejecución provisional, no sobre la conveniencia de conferir la custodia y guarda de la menor a la madre o al padre o sobre los beneficios o perjuicios para la menor de la atribución a uno u a otro de la guarda y custodia, cuestiones éstas ya resueltas en la Sentencia dictada en apelación por la Audiencia Provincial, pendiente de los recursos extraordinario por infracción procesal y de casación, pero ajenas al objeto litigioso del proceso de ejecución provisional.</w:t>
      </w:r>
    </w:p>
    <w:p w:rsidR="0052098F" w:rsidRDefault="0052098F" w:rsidP="0052098F">
      <w:pPr>
        <w:pStyle w:val="TextoNormal"/>
      </w:pPr>
    </w:p>
    <w:p w:rsidR="0052098F" w:rsidRDefault="0052098F" w:rsidP="0052098F">
      <w:pPr>
        <w:pStyle w:val="TextoNormal"/>
      </w:pPr>
      <w:r w:rsidRPr="0052098F">
        <w:rPr>
          <w:rStyle w:val="NumeroAFNegritaCaracter"/>
        </w:rPr>
        <w:t>4</w:t>
      </w:r>
      <w:r>
        <w:t>. La demandante de amparo en el escrito de oposición a la ejecución provisional, cuyo contenido se describe sintéticamente en los antecedentes de esta Sentencia, aportó entre otros documentos, a los efectos que a este recurso de amparo interesan, un informe del equipo de evaluación e investigaciones de casos de abuso sexual en el entorno de su familia; certificaciones de los domicilios y personas con las que había convivido la menor, así como del domicilio y las personas con las que actualmente convive —la demandante de amparo y su actual pareja—, su situación económica y laboral, acreditando la propiedad del domicilio en el que habitan; los distintos centros docentes en los que ha estado escolarizada la menor y su actual escolarización, con aportación de un certificado de la profesora tutora de la menor favorable a los cuidados que le depara su madre, así como a los resultados docentes obtenidos por la menor; y, en fin, un informe psicológico sobre la menor elaborado a petición de la demandante de amparo, referido al desarrollo evolutivo de la menor, a sus principales figuras de apego, al grado de vinculación con su madre, a la cobertura de sus necesidades afectivas, a la existencia de indicadores comportamentales en la menor de desprotección o negligencia en el cuidado por su madre y sobre cuándo es desaconsejable un cambio brusco en el entorno de la menor y si estos factores de riesgo están presentes en este caso.</w:t>
      </w:r>
    </w:p>
    <w:p w:rsidR="0052098F" w:rsidRDefault="0052098F" w:rsidP="0052098F">
      <w:pPr>
        <w:pStyle w:val="TextoNormal"/>
      </w:pPr>
      <w:r>
        <w:t>El órgano judicial, por providencia de 11 de abril de 2006, unió a los autos el escrito de oposición a la ejecución y los documentos con él aportados, dando traslado de los mismos a la otra parte. Por providencia de 20 de junio de 2006, al estimar que no era posible resolver la controversia sobre la oposición sólo con base en los documentos aportados, acordó la celebración de vista para el día 7 de julio de 2006. La demandante de amparo solicitó que fueran citados en calidad de testigos la profesora tutora de la menor que había expedido el certificado antes ya referido, “a efectos del contenido del certificado, y sobre el estado y evolución de la menor desde su incorporación al Centro” y que se recabara dictamen al Equipo Psicosocial adscrito a los Juzgados de Familia de Sevilla “sobre la situación de la menor … su entorno social así como sobre su estado psicológico, incluyendo los efectos sobre la menor del cambio en su guardia y custodia, y el régimen de visitas acordado, en este momento, y qué perjuicio pudiera ello repararle a la menor, informe que el citado Equipo deberá emitir previo examen de las personas que componen el entorno familiar de la menor, es decir tanto del padre, como de la madre, así como de la propia menor”.</w:t>
      </w:r>
    </w:p>
    <w:p w:rsidR="0052098F" w:rsidRDefault="0052098F" w:rsidP="0052098F">
      <w:pPr>
        <w:pStyle w:val="TextoNormal"/>
      </w:pPr>
      <w:r>
        <w:t>El Juzgado de Primera Instancia e Instrucción núm. 3 de Utrera, por providencia de 30 de junio de 2006, acordó citar como testigo para la vista a la profesora tutora de la menor, sin pronunciarse sobre el dictamen solicitado por la demandante de amparo, quien se aquietó a la resolución judicial, pese a ser susceptible de recurso de reposición como se indicaba en la misma.</w:t>
      </w:r>
    </w:p>
    <w:p w:rsidR="0052098F" w:rsidRDefault="0052098F" w:rsidP="0052098F">
      <w:pPr>
        <w:pStyle w:val="TextoNormal"/>
      </w:pPr>
      <w:r>
        <w:t xml:space="preserve">Llegado el acto de la vista, el Juez solicitó a la representación letrada de la recurrente en amparo en varias ocasiones que expusiese los concretos motivos en los que sustentaba la causa de oposición a la ejecución provisional invocada, es decir, los motivos en los que fundaba la imposibilidad o extrema dificultad de restaurar la situación anterior a la ejecución provisional si fuese revocada la Sentencia. Según resulta de la trascripción de la grabación </w:t>
      </w:r>
      <w:r>
        <w:lastRenderedPageBreak/>
        <w:t>del acto de la vista que se aporta con la documentación que se adjunta a la demanda de amparo, el Juez, “a la vista de las alegaciones efectuadas, del contenido del escrito de oposición a la ejecución, de la impugnación de la parte contraria y de las explicaciones aportadas en el acto de la vista por la parte que se opone, así mismo como la alegación efectuada por el Ministerio Fiscal, se va a dejar en este momento visto para resolver ya que no se considera necesaria la práctica de prueba alguna, ya que se trata de una cuestión exclusivamente jurídica y lo que se está tratando aquí, se ha puesto de relieve una disconformidad con el parecer de la Audiencia, con la decisión tomada por la Audiencia Provincial en el cambio de custodia sin que se haya puesto de relieve ninguna situación objetiva de riesgo actual o de perjuicio actual para la menor, sino lo que se está tratando, entiende esta Juzgadora, es de utilizar esta vía para dejar sin efecto la decisión que ha tomado la Audiencia para valorar nuevamente pruebas que ya ha debido de tener en cuenta la Audiencia y que ha decidido en principio conforme al interés de la menor”.</w:t>
      </w:r>
    </w:p>
    <w:p w:rsidR="0052098F" w:rsidRDefault="0052098F" w:rsidP="0052098F">
      <w:pPr>
        <w:pStyle w:val="TextoNormal"/>
      </w:pPr>
      <w:r>
        <w:t>El Juzgado de Primera Instancia e Instrucción núm. 3 de Utrera, por Auto de 24 de julio de 2006, desestimó la oposición a la ejecución formulada por la demandante de amparo. Se razona en síntesis en el referido Auto, cuya fundamentación jurídica se ha reproducido en los antecedentes de esta Sentencia, que la recurrente simplemente ha invocado la dificultad de restaurar la situación anterior, sin explicar por qué, y el temor a que el cambio de custodia de la menor y del régimen de visitas puedan causar perjuicios irreparables tanto a la menor como a la madre, sin fundarlo en dato concreto alguno, no pudiendo tampoco inferirse mínimamente esta posibilidad de los datos que obran en la causa. Para el órgano judicial, en definitiva, con el escrito de oposición a la ejecución provisional lo que se alega como causa de oposición no es más que la disconformidad con la decisión adoptada por la Audiencia Provincial, cuya revisión se pretende en este proceso entrando a valorar pruebas cuya valoración ya efectuó en su día la Audiencia y con base en las cuales resolvió en beneficio e interés del menor.</w:t>
      </w:r>
    </w:p>
    <w:p w:rsidR="0052098F" w:rsidRDefault="0052098F" w:rsidP="0052098F">
      <w:pPr>
        <w:pStyle w:val="TextoNormal"/>
      </w:pPr>
    </w:p>
    <w:p w:rsidR="0052098F" w:rsidRDefault="0052098F" w:rsidP="0052098F">
      <w:pPr>
        <w:pStyle w:val="TextoNormal"/>
      </w:pPr>
      <w:r w:rsidRPr="0052098F">
        <w:rPr>
          <w:rStyle w:val="NumeroAFNegritaCaracter"/>
        </w:rPr>
        <w:t>5</w:t>
      </w:r>
      <w:r>
        <w:t>. El precedente relato procesal pone de manifiesto, en primer término, que no puede afirmarse de manera genérica que no se hayan practicado las pruebas solicitadas, pues el órgano judicial, por providencia de 11 de junio de 2006, tuvo por incorporados a los autos los documentos que la demandante de amparo adjuntó a su escrito de oposición a la ejecución provisional, entre ellos, el certificado emitido por la profesora tutora de la menor favorable a los cuidados que le deparaba su madre y a los brillantes resultados escolares obtenidos por la niña, así como el informe psicológico emitido a instancias de la recurrente en amparo. En segundo lugar, una vez acordada la celebración del acto de la vista, la demandante de amparo se aquietó a la providencia de 30 de junio de 2006, en la que sólo se admitió como prueba la testifical de la profesora tutora para que se ratificase en el contenido del certificado emitido, en concreto “sobre el estado y evolución de la menor desde su incorporación a ese centro”, no pronunciándose el órgano judicial sobre la procedencia del dictamen que se solicitaba que emitiese el equipo psicosocial adscrito a los Juzgados de Familia de Sevilla sobre “la situación de la menor, así como sobre su estado psicológico, incluyendo los efectos sobre la menor del cambio de su guardia y custodia y el régimen de visitas acordado”.  Así pues en puridad la única prueba admitida y no practicada en el acto de la vista fue la declaración de la profesora tutora de la menor, cuyo certificado había sido incorporado como documental a los autos, sin que la recurrente hubiese impugnado la omisión de un pronunciamiento judicial sobre el dictamen interesado del equipo psicosocial adscrito a los Juzgados de Familia de Sevilla.</w:t>
      </w:r>
    </w:p>
    <w:p w:rsidR="0052098F" w:rsidRDefault="0052098F" w:rsidP="0052098F">
      <w:pPr>
        <w:pStyle w:val="TextoNormal"/>
      </w:pPr>
      <w:r>
        <w:lastRenderedPageBreak/>
        <w:t>De cualquier forma la decisión de la no admisión o la no práctica de las pruebas solicitadas la ha fundado el órgano judicial en este caso, según resulta de la intervención de la Juzgadora en el acto del juicio y se deduce implícitamente del Auto de 24 de julio de 2006 desestimatorio de la oposición a la ejecución, en su falta de pertinencia o de idoneidad con el objeto del proceso, pues los medios de prueba versaban sobre la situación y evolución de la menor y sobre los beneficios, ventajas e inconvenientes que para ésta suponían el cambio de guarda y custodia y el nuevo régimen de visitas, cuestiones que ya habían sido decididas por la Audiencia Provincial, no sobre la concreta causa legal que la demandante de amparo oponía a la ejecución provisional de la Sentencia de apelación, es decir, la imposibilidad o extrema dificultad de restaurar la situación anterior a la ejecución provisional en caso de que fuese revocada la Sentencia de la Audiencia Provincial que confirió su guarda y custodia al padre.</w:t>
      </w:r>
    </w:p>
    <w:p w:rsidR="0052098F" w:rsidRDefault="0052098F" w:rsidP="0052098F">
      <w:pPr>
        <w:pStyle w:val="TextoNormal"/>
      </w:pPr>
      <w:r>
        <w:t>Desde la perspectiva de control que nos corresponde, al margen del posible error en el que pudiera haber incurrido el órgano judicial al calificar como jurídica y no fáctica la controversia que existía entre las partes y la conveniencia de que hubiera ofrecido un expreso razonamiento sobre la prueba propuesta y la no práctica de la prueba admitida, es suficiente para desestimar en este caso la queja de la recurrente en amparo con apreciar que en el Auto desestimatorio de la oposición a la ejecución el órgano judicial da una respuesta implícita a la no admisión y práctica de las pruebas en el acto de la vista que no puede tildarse de arbitraria, irrazonable o incursa el error patente, pues, como se argumenta en el Auto, la recurrente en dicho acto se limitó a enunciar la causa de oposición alegada, sin ofrecer razonamiento o dato alguno en los que sustentarla, pretendiendo con los medios de prueba propuestos, no la acreditación de lo que constituía el objeto específico del proceso de ejecución provisional, sino la revisión, mediante una nueva valoración probatoria, de la decisión ya adoptada por la Audiencia Provincial sobre la atribución de la guarda y custodia de la menor.  En definitiva, como se desprende de manera implícita de los razonamientos del Auto recurrido, la prueba propuesta no guardaba relación con el objeto del proceso de ejecución provisional y la concreta causa legal alegada para oponerse a dicha ejecución provisional. En modo alguno resulta ocioso señalar al respecto, como se recuerda en la STC 291/2006, de 9 de octubre (FJ 4), que el derecho a la prueba comprende el derecho a la admisión y práctica de la prueba que sea pertinente, habiendo sido considerada la pertinencia en la doctrina constitucional como la relación entre los hechos que se pretenden probar y el thema decidendi, habiendo definido también el legislador procesal civil en términos similares la prueba pertinente como la que “guarda relación con lo que sea el objeto del proceso” (art. 283.1 LEC), el cual, por otro lado, ha caracterizado como pruebas inútiles aquellas que, en ningún caso, pueden contribuir a esclarecer los hechos controvertidos (art. 283.3 LEC).</w:t>
      </w:r>
    </w:p>
    <w:p w:rsidR="0052098F" w:rsidRDefault="0052098F" w:rsidP="0052098F">
      <w:pPr>
        <w:pStyle w:val="TextoNormal"/>
      </w:pPr>
      <w:r>
        <w:t>A las precedentes consideraciones ha de añadirse, para desestimar en este extremo la queja de indefensión de la recurrente en amparo, que en la demanda nada se argumenta, no ya sobre la relación entre el objeto especifico del proceso y las pruebas inadmitidas o no practicadas, en concreto, en qué medida con éstas se acreditaría la imposibilidad o extrema dificultad de restaurar la situación anterior en caso de que fuese revocada la Sentencia cuya ejecución se pretendía, sino sobre la incidencia que su práctica hubiera podido tener en la adopción de una decisión judicial favorable a la pretensión de la demandante de amparo. De modo que, habiendo incumplido ésta, de acuerdo con una reiterada doctrina constitucional, la carga que le incumbe para que pueda prosperar la denunciada vulneración del derecho a la prueba, ha de desestimarse también por este motivo su queja.</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6</w:t>
      </w:r>
      <w:r>
        <w:t>. La demandante de amparo estima que ha resultado lesionado el derecho a la tutela judicial efectiva (art. 24.1 CE), por no haber sido oída la menor por el órgano judicial. Argumenta al respecto que en este caso la menor nunca ha sido oída o explorada, ni durante la tramitación de las medidas provisionales, ni en el procedimiento principal sobre adopción de medidas paterno filiales, ni con ocasión de la tramitación del recurso de apelación contra la Sentencia dictada en primera instancia, ni, en fin, en los autos de ejecución provisional de la Sentencia de apelación. Tras recordar que la exploración de los menores es un derecho de éstos recogido en el art. 12 de la Convención de los derechos del niño de 20 de noviembre de 1989, ratificada por España el día 30 de noviembre de 1990, se reproducen en la demanda de amparo el art. 9 de la Ley Orgánica 1/1996, de 15 de enero, de protección jurídica del menor y el art. 92.2 del Código civil (CC), para concluir invocando la doctrina de las SSTC 221/2002, de 23 de noviembre (FJ 5), y 152/2005, de 6 de junio (FJ 3), a favor de la pretensión actora.</w:t>
      </w:r>
    </w:p>
    <w:p w:rsidR="0052098F" w:rsidRDefault="0052098F" w:rsidP="0052098F">
      <w:pPr>
        <w:pStyle w:val="TextoNormal"/>
      </w:pPr>
      <w:r>
        <w:t>El Ministerio Fiscal se opone a la estimación de este motivo de amparo, argumentando al respecto, en síntesis, que la menor contaba en este caso con cinco o seis años en el momento del proceso de ejecución, por lo que es dudoso que pudiera ser considerada como persona con el suficiente criterio para ser oída. A su juicio, ésta es seguramente la razón por la que los Jueces no han considerado necesaria la exploración de la menor, máxime cuando constaba como prueba documental un informe psicológico que podía suplir la exploración judicial. Finalmente considera que la doctrina constitucional invocada no es aplicable al caso, al contemplar supuestos distintos al ahora enjuiciado.</w:t>
      </w:r>
    </w:p>
    <w:p w:rsidR="0052098F" w:rsidRDefault="0052098F" w:rsidP="0052098F">
      <w:pPr>
        <w:pStyle w:val="TextoNormal"/>
      </w:pPr>
    </w:p>
    <w:p w:rsidR="0052098F" w:rsidRDefault="0052098F" w:rsidP="0052098F">
      <w:pPr>
        <w:pStyle w:val="TextoNormal"/>
      </w:pPr>
      <w:r w:rsidRPr="0052098F">
        <w:rPr>
          <w:rStyle w:val="NumeroAFNegritaCaracter"/>
        </w:rPr>
        <w:t>7</w:t>
      </w:r>
      <w:r>
        <w:t>. El derecho del niño, que esté en condiciones de formarse un juicio propio, a ser escuchado en todo procedimiento judicial o administrativo que le afecte, ya sea directamente o por medio de representante o de un órgano apropiado, aparece recogido en la Convención de las Naciones Unidas sobre los derechos del niño de 20 de noviembre de 1989, ratificada por España por Instrumento de 30 de noviembre de 1990 (art. 12)</w:t>
      </w:r>
    </w:p>
    <w:p w:rsidR="0052098F" w:rsidRDefault="0052098F" w:rsidP="0052098F">
      <w:pPr>
        <w:pStyle w:val="TextoNormal"/>
      </w:pPr>
      <w:r>
        <w:t>En nuestro Ordenamiento, el art. 9 de la Ley Orgánica 1/1996, de 15 de enero, de protección jurídica del menor reconoce el derecho de éste a ser oído tanto en el ámbito familiar como en cualquier procedimiento administrativo o judicial en que esté directamente implicado y que conduzca a una decisión que afecte a su esfera personal, familiar o social (art. 9.1). Sin embargo no se trata de un derecho absoluto e incondicionado, como recuerda el Ministerio Fiscal y revela el párrafo 2 del citado precepto legal, al prever que “[N]o obstante, cuando ello no sea posible o no convenga al interés del menor, podrá conocerse su opinión por medio de sus representantes legales, siempre que no sean parte interesada ni tengan intereses contrapuestos a los del menor, o a través de otras personas que por su profesión o relación de especial confianza con él puedan transmitirla objetivamente”. Por su parte, el art. 90 CC, en la redacción dada por la Ley 15/2005, de 8 de julio, dispone en su apartado 2 que “[E]l Juez, cuando debe adoptar cualquier medida sobre la custodia, el cuidado y la educación de los hijos menores, velará por el cumplimiento de su derecho a ser oídos”, estableciendo su apartado 6 que “[E]n todo caso, antes de acordar el régimen de guarda y custodia, el Juez deberá recabar informe del Ministerio Fiscal y oír a los menores que tengan suficiente juicio cuando se estime necesario de oficio o a petición del Fiscal, partes o miembros del Equipo Técnico Judicial, o del propio menor”.</w:t>
      </w:r>
    </w:p>
    <w:p w:rsidR="0052098F" w:rsidRDefault="0052098F" w:rsidP="0052098F">
      <w:pPr>
        <w:pStyle w:val="TextoNormal"/>
      </w:pPr>
      <w:r>
        <w:t xml:space="preserve">En tal orden de consideraciones, este Tribunal, en las SSTC 221/2002, de 25 de noviembre (FJ 5), 71/2004, de 19 de abril (FJ 7), y 152/2005, de 6 de junio (FFJJ 3 y 4), ha estimado vulnerados el derecho a la tutela judicial efectiva (art. 24.1 CE) de los menores en cada </w:t>
      </w:r>
      <w:r>
        <w:lastRenderedPageBreak/>
        <w:t>supuesto concernidos por no haber sido oídos u explorados por el órgano judicial en la adopción o modificación de las medidas relativas a su guarda y custodia.</w:t>
      </w:r>
    </w:p>
    <w:p w:rsidR="0052098F" w:rsidRDefault="0052098F" w:rsidP="0052098F">
      <w:pPr>
        <w:pStyle w:val="TextoNormal"/>
      </w:pPr>
      <w:r>
        <w:t>Sin embargo las precedentes consideraciones no pueden conducir en este caso a la estimación de la pretensión actora. Frente a la amplitud que la demandante confiere a su queja, referida a la falta de audiencia o exploración de la menor tanto en el momento de la adopción de las medidas provisionales como en el procedimiento principal sobre adopción judicial de medidas paterno filiales como en la fase de ejecución provisional de la Sentencia dictada en apelación, nuestro enjuiciamiento ha de circunscribirse exclusivamente a la falta de audiencia y exploración de la menor con ocasión de la tramitación de los autos de ejecución provisional de la Sentencia de la Sección Sexta de la Audiencia Provincial de Sevilla de 10 de noviembre de 2005, por constituir el objeto de este recurso de amparo precisamente las resoluciones judiciales dictadas en dichos autos.</w:t>
      </w:r>
    </w:p>
    <w:p w:rsidR="0052098F" w:rsidRDefault="0052098F" w:rsidP="0052098F">
      <w:pPr>
        <w:pStyle w:val="TextoNormal"/>
      </w:pPr>
      <w:r>
        <w:t>Pues bien, el proceso de ejecución provisional de la Sentencia dictada en apelación por la Audiencia Provincial no tenía por objeto propiamente dicho la adopción de decisiones sobre la esfera personal, familiar o social de la menor, ámbito respecto al que está legalmente previsto el trámite de audiencia que se aduce por la actora, en particular, en este caso sobre las medidas de su guarda y custodia, que constituyeron el objeto del procedimiento principal de adopción de medidas paterno filiales y fueron tomadas tras la correspondiente tramitación por la Audiencia Provincial, sino la ejecución provisional de las medidas ya adoptadas en este procedimiento principal. Más concretamente, a los efectos que a este recurso de amparo interesan, el objeto del proceso de ejecución provisional versó sobre la concurrencia o no de la causa de oposición a la ejecución provisional alegada por la recurrente en amparo, esto es, la imposibilidad o extrema dificultad de restaurar la situación anterior a la ejecución provisional en caso de que fuese revocada la Sentencia cuya ejecución provisional se había acordado, no sobre las medidas a adoptar respecto a la guarda, custodia y régimen de visitas de la menor. La falta de audiencia o exploración de la menor en el momento de la adopción de las medidas provisionales o en cualesquiera de las fases del procedimiento de adopción de medidas paterno filiales, determinante, de acuerdo con la doctrina de las ya citadas SSTC 221/2002, de 25 de noviembre, 71/2004, de 19 de abril, y 152/2005, de 6 de junio, de una posible vulneración de su derecho a la tutela judicial efectiva, no puede proyectarse sin más con idéntica trascendencia constitucional, en razón del distinto objeto de unos y otros procesos, a los autos que tienen por objeto, no la adopción de aquellas medidas, sino su ejecución provisional y la determinación de si existe causa legal en que pueda fundarse la oposición a dicha ejecución, máxime cuando, como acontece en este caso, la demanda de amparo se presenta huérfana de toda argumentación sobre la posible incidencia que la audiencia o exploración de la menor pudiera haber tenido en la apreciación por el órgano judicial de la concurrencia de la causa legal invocada por la recurrente en amparo para oponerse a la ejecución provisional.</w:t>
      </w:r>
    </w:p>
    <w:p w:rsidR="0052098F" w:rsidRDefault="0052098F" w:rsidP="0052098F">
      <w:pPr>
        <w:pStyle w:val="TextoNormal"/>
      </w:pPr>
    </w:p>
    <w:p w:rsidR="0052098F" w:rsidRDefault="0052098F" w:rsidP="0052098F">
      <w:pPr>
        <w:pStyle w:val="TextoNormal"/>
      </w:pPr>
      <w:r w:rsidRPr="0052098F">
        <w:rPr>
          <w:rStyle w:val="NumeroAFNegritaCaracter"/>
        </w:rPr>
        <w:t>8</w:t>
      </w:r>
      <w:r>
        <w:t>. Por último la demandante de amparo denuncia la vulneración del derecho a la integridad física y moral (art. 15 CE).Tras reproducir diversos preceptos del Código civil y de la Ley Orgánica 1/1996, de 15 de enero, de protección jurídica del menor, sostiene que el Auto impugnado vulnera el mencionado derecho fundamental al desestimar la oposición a la ejecución provisional, pues en el informe psicológico adjuntado como documento al escrito de oposición se afirma que con el cambio de entorno de la menor se “estaría contribuyendo a la desestabilización de la menor tanto a nivel social como afectivo”.</w:t>
      </w:r>
    </w:p>
    <w:p w:rsidR="0052098F" w:rsidRDefault="0052098F" w:rsidP="0052098F">
      <w:pPr>
        <w:pStyle w:val="TextoNormal"/>
      </w:pPr>
      <w:r>
        <w:lastRenderedPageBreak/>
        <w:t>Bajo la invocación del derecho a la integridad física y moral (art. 15 CE) lo que en realidad de nuevo vuelve a cuestionar la demandante de amparo es la conveniencia o los beneficios del cambio de guarda y custodia de la menor decidido por la Audiencia Provincial, vinculando el interés de la menor con su estancia bajo la custodia y guarda de la madre. Como el Ministerio Fiscal pone de manifiesto en su escrito de alegaciones, la recurrente no aporta dato alguno del que pueda inferirse riesgo evidente (STC 71/2004, de 9 de abril, FJ 8) o peligro potencial alguno, actual o futuro, a la integridad física y moral de la menor como consecuencia del cambio de guarda y custodia. En este sentido ha de señalarse, frente al pasaje del informe psicológico que invoca la recurrente en amparo, que en él, al margen de la opinión de su autor sobre el beneficio del cambio de guarda y custodia de la menor, no sólo no se alude en ningún momento a algún posible riesgo o peligro para la integridad física o psíquica de la menor como consecuencia de dicho cambio, sino que, por el contrario se afirma expresamente que el padre es una de las principales figuras de apego de la menor, al igual que su madre, así como que “la relación que ha mantenido hasta la fecha con su padre ha servido para el establecimiento de vínculos afectivos estables”. Ha de descartarse, pues, que el Auto impugnado, al desestimar la oposición formulada por la recurrente en amparo a la ejecución provisional de la Sentencia de la Audiencia Provincial, haya vulnerado el mencionado derecho fundamental, revistiendo su invocación carente de argumentación un carácter meramente retórico en este caso.</w:t>
      </w:r>
    </w:p>
    <w:p w:rsidR="0052098F" w:rsidRDefault="0052098F" w:rsidP="0052098F">
      <w:pPr>
        <w:pStyle w:val="TextoNormal"/>
      </w:pPr>
      <w:r>
        <w:t>A mayor abundamiento este Tribunal ha manifestado en la STC 71/2004, de 19 de abril, que la declaración de lesión de la integridad psíquica de menores, cuando lo misma no se haya producido de modo real y efectivo, sino que se infiera de un riesgo, lo que ni siquiera acontece en el caso que ahora nos ocupa, sólo podrá ser efectuada en un proceso de amparo cuando la lesión resulte palmaria, manifiesta o del todo indudable. Por el contrario, cuando no sea así porque quepan dudas fundadas de que tal lesión vaya o no a producirse o porque resulte ponderada teniendo en cuenta otros factores, y sin que el interés de la menor deje de constituir siempre norte del órgano que ha de apreciarla, su declaración por este Tribunal invadiría una función que no le corresponde, sino que está atribuida a los Jueces y Tribunales ordinarios ex art. 117.4 CE, esto es, en función de las atribuciones que expresamente les confiere la Ley en garantía de cualquier derecho (FJ 8).</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Desestimar la demanda de amparo presentada por doña Montserrat R. M.</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treinta y uno de enero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6" w:name="SENTENCIA_2008_23"/>
      <w:r>
        <w:lastRenderedPageBreak/>
        <w:t>SENTENCIA 23/2008, de 11 de febrero de 2008</w:t>
      </w:r>
    </w:p>
    <w:bookmarkEnd w:id="26"/>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64, de 14 de marzo de 2008)</w:t>
      </w:r>
    </w:p>
    <w:p w:rsidR="0052098F" w:rsidRDefault="0052098F" w:rsidP="0052098F">
      <w:pPr>
        <w:pStyle w:val="TtuloBOE"/>
      </w:pPr>
    </w:p>
    <w:p w:rsidR="0052098F" w:rsidRDefault="0052098F" w:rsidP="0052098F">
      <w:pPr>
        <w:pStyle w:val="SntesisDescriptiva"/>
      </w:pPr>
      <w:r>
        <w:t>ECLI:ES:TC:2008:23</w:t>
      </w:r>
    </w:p>
    <w:p w:rsidR="0052098F" w:rsidRDefault="0052098F" w:rsidP="0052098F">
      <w:pPr>
        <w:pStyle w:val="SntesisDescriptiva"/>
      </w:pPr>
    </w:p>
    <w:p w:rsidR="0052098F" w:rsidRDefault="0052098F" w:rsidP="0052098F">
      <w:pPr>
        <w:pStyle w:val="SntesisDescriptiva"/>
      </w:pPr>
      <w:r>
        <w:t>Recurso de amparo 805-2003. Promovido por don Elías Aparici Rodríguez respecto a las Sentencias de la Sala Segunda del Tribunal Supremo que dieron lugar a su condena por un delito contra la libertad sexual.</w:t>
      </w:r>
    </w:p>
    <w:p w:rsidR="0052098F" w:rsidRDefault="0052098F" w:rsidP="0052098F">
      <w:pPr>
        <w:pStyle w:val="SntesisDescriptiva"/>
      </w:pPr>
    </w:p>
    <w:p w:rsidR="0052098F" w:rsidRDefault="0052098F" w:rsidP="0052098F">
      <w:pPr>
        <w:pStyle w:val="SntesisAnaltica"/>
      </w:pPr>
      <w:r>
        <w:t>Supuesta vulneración del derecho a la tutela judicial efectiva y a un proceso con garantías: sentencia que casa por tercera vez un fallo absolutorio por quebrantamiento de forma y ordena repetir el juicio oral que no incurre en bis in idem procesal y pondera los derechos del acusado absuelto y el derecho a la tutela judicial efectiva de la acusación.</w:t>
      </w:r>
    </w:p>
    <w:p w:rsidR="0052098F" w:rsidRDefault="0052098F" w:rsidP="0052098F">
      <w:pPr>
        <w:pStyle w:val="SntesisAnaltica"/>
      </w:pPr>
    </w:p>
    <w:p w:rsidR="0052098F" w:rsidRDefault="0052098F" w:rsidP="0052098F">
      <w:pPr>
        <w:pStyle w:val="Extracto"/>
      </w:pPr>
      <w:r>
        <w:t>1.</w:t>
      </w:r>
      <w:r>
        <w:tab/>
        <w:t>No se vulnera la prohibición de bis in idem procesal cuando la anulación y retroacción de actuaciones para la celebración de un nuevo juicio oral trae causa de un recurso de la acusación particular por vulneración de sus derechos fundamentales y se justifique merced a una correcta ponderación entre los derechos del recurrente y de la acusación particular [FJ 5].</w:t>
      </w:r>
    </w:p>
    <w:p w:rsidR="0052098F" w:rsidRDefault="0052098F" w:rsidP="0052098F">
      <w:pPr>
        <w:pStyle w:val="Extracto"/>
      </w:pPr>
    </w:p>
    <w:p w:rsidR="0052098F" w:rsidRDefault="0052098F" w:rsidP="0052098F">
      <w:pPr>
        <w:pStyle w:val="Extracto"/>
      </w:pPr>
      <w:r>
        <w:t>2.</w:t>
      </w:r>
      <w:r>
        <w:tab/>
        <w:t>Doctrina sobre la prohibición de incurrir en bis in idem procesal que se encuadra en el derecho a la tutela judicial efectiva (SSTC 4/2004, 218/2007) [FJ 3].</w:t>
      </w:r>
    </w:p>
    <w:p w:rsidR="0052098F" w:rsidRDefault="0052098F" w:rsidP="0052098F">
      <w:pPr>
        <w:pStyle w:val="Extracto"/>
      </w:pPr>
    </w:p>
    <w:p w:rsidR="0052098F" w:rsidRDefault="0052098F" w:rsidP="0052098F">
      <w:pPr>
        <w:pStyle w:val="Extracto"/>
      </w:pPr>
      <w:r>
        <w:t>3.</w:t>
      </w:r>
      <w:r>
        <w:tab/>
        <w:t>No resulta posible exigir para un correcto agotamiento de la vía judicial previa que se acuda al incidente de nulidad de actuaciones en los supuestos de vulneración de la prohibición de incurrir en bis in idem procesal, ya que pueden albergarse serias dudas sobre la procedencia de ese remedio procesal (STC 192/2005) [FJ 2].</w:t>
      </w:r>
    </w:p>
    <w:p w:rsidR="0052098F" w:rsidRDefault="0052098F" w:rsidP="0052098F">
      <w:pPr>
        <w:pStyle w:val="Extracto"/>
      </w:pPr>
    </w:p>
    <w:p w:rsidR="0052098F" w:rsidRDefault="0052098F" w:rsidP="0052098F">
      <w:pPr>
        <w:pStyle w:val="Extracto"/>
      </w:pPr>
      <w:r>
        <w:t>4.</w:t>
      </w:r>
      <w:r>
        <w:tab/>
        <w:t>La revocación de una Sentencia penal absolutoria habilitando la posibilidad de un nuevo enjuiciamiento constituye en sí misma gravamen suficiente para interponer el recurso de amparo, por lo que en dichos casos se puede impugnar en amparo directamente la decisión, sin incurrir en falta de agotamiento, o esperar a que se dicte la nueva decisión por si la misma fuera absolutoria, sin incurrir en extemporaneidad (SSTC 149/2001, 4/2004)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Jorge Rodríguez-Zapata Pérez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lastRenderedPageBreak/>
        <w:t>SENTENCIA</w:t>
      </w:r>
    </w:p>
    <w:p w:rsidR="0052098F" w:rsidRDefault="0052098F" w:rsidP="0052098F">
      <w:pPr>
        <w:pStyle w:val="TextoNormalCentrado"/>
        <w:keepNext/>
      </w:pPr>
    </w:p>
    <w:p w:rsidR="0052098F" w:rsidRDefault="0052098F" w:rsidP="0052098F">
      <w:pPr>
        <w:pStyle w:val="TextoNormal"/>
      </w:pPr>
      <w:r>
        <w:t>En el recurso de amparo núm. 0805-2003, promovido por don Elías Aparici Rodríguez, representado por el Procurador de los Tribunales don Adolfo Morales Hernández-San Juan y bajo la dirección del Letrado don Pablo Molins Amat, contra la Sentencia de la Sala Segunda del Tribunal Supremo de 9 de diciembre de 2002, por la que se estima parcialmente el recurso de casación núm. 2456-2001, interpuesto contra la Sentencia de la Sección Octava de la Audiencia Provincial de Barcelona de 10 de mayo de 2001, dictada en el rollo núm. 3922-1993, sobre delito contra la libertad sexual. Ha intervenido el Ministerio Fiscal. Ha sido Ponente el Magistrado don Pablo Pérez Tremps,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13 de febrero de 2003, el Procurador de los Tribunales don Eduardo Morales Price, en nombre y representación de don Elías Aparici Rodríguez, y bajo la dirección del Letrado don Pablo Molins Amat, interpuso demanda de amparo contra la resolución judicial que se menciona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El recurso tiene su origen en los siguientes antecedentes: </w:t>
      </w:r>
    </w:p>
    <w:p w:rsidR="0052098F" w:rsidRDefault="0052098F" w:rsidP="0052098F">
      <w:pPr>
        <w:pStyle w:val="TextoNormal"/>
      </w:pPr>
      <w:r>
        <w:t xml:space="preserve">a) El recurrente fue absuelto de diversos delitos contra la libertad sexual por Sentencia de la Sección Octava de la Audiencia Provincial de Barcelona de 4 de abril de 1995, dictada en el rollo núm. 3922-1993. La acusación particular interpuso recurso de casación, que fue tramitado con el núm. 1588-1995, alegando, entre otros motivos, quebrantamiento de forma por falta de claridad y contradicción en los hechos probados. Por Sentencia de la Sala Segunda del Tribunal Supremo de 3 de abril de 1997 se estimaron ambos motivos, al considerar que la falta de claridad era indudable, ya que “el relato fáctico de la Audiencia difícilmente puede responder, como premisa o antecedente, a lo que el fallo contiene”, por lo que se anuló la Sentencia impugnada y se acordó la retroacción de actuaciones para que se dictara nueva resolución. </w:t>
      </w:r>
    </w:p>
    <w:p w:rsidR="0052098F" w:rsidRDefault="0052098F" w:rsidP="0052098F">
      <w:pPr>
        <w:pStyle w:val="TextoNormal"/>
      </w:pPr>
      <w:r>
        <w:t xml:space="preserve">b) Se dictó nueva Sentencia de 21 de mayo de 1997, absolviendo al recurrente. La acusación particular interpuso recurso de casación, que fue tramitado con el núm. 2359-1997, alegando, entre otros motivos, quebrantamiento de forma por no expresar clara y terminantemente cuáles fueron los hechos que se consideraban probados. Por Sentencia de la Sala Segunda del Tribunal Supremo de 21 de diciembre de 1998 se estimó dicho motivo, al considerar que “entendida la falta de claridad como oscuridad, incomprensión y, en definitiva ininteligibilidad, no puede ofrecer duda que la recurrida adolece de tales déficits”, por lo que se anuló la Sentencia impugnada y se acordó la retroacción de actuaciones para que se dictara nueva resolución. </w:t>
      </w:r>
    </w:p>
    <w:p w:rsidR="0052098F" w:rsidRDefault="0052098F" w:rsidP="0052098F">
      <w:pPr>
        <w:pStyle w:val="TextoNormal"/>
      </w:pPr>
      <w:r>
        <w:t xml:space="preserve">c) Se dictó nueva Sentencia de 15 de marzo de 1999, absolviendo al recurrente. La acusación particular interpuso recurso de casación, que fue tramitado con el núm. 2548-1999, alegando, entre otros motivos, además de insistir en el quebrantamiento de forma por falta de claridad de los hechos probados, en vulneración del derecho a la tutela judicial efectiva (art. 24.1 CE), argumentando que las sucesivas Sentencias dictadas por la Audiencia Provincial tenían distintos relatos fácticos. Por Sentencia de la Sala Segunda del Tribunal Supremo de 23 de noviembre de 2000 se estimó dicho motivo, acordándose la nulidad del </w:t>
      </w:r>
      <w:r>
        <w:lastRenderedPageBreak/>
        <w:t xml:space="preserve">enjuiciamiento y la retroacción de las actuaciones al momento anterior a la celebración del juicio oral para que un nuevo Tribunal, con una composición distinta, los enjuiciara. </w:t>
      </w:r>
    </w:p>
    <w:p w:rsidR="0052098F" w:rsidRDefault="0052098F" w:rsidP="0052098F">
      <w:pPr>
        <w:pStyle w:val="TextoNormal"/>
      </w:pPr>
      <w:r>
        <w:t xml:space="preserve">d) En esta Sentencia, para argumentar la vulneración del derecho a la tutela judicial efectiva de la acusación particular, se expone el iter procesal seguido por las actuaciones, señalando las sucesivas deficiencias en la redacción de hechos probados en que incurrieron las Sentencias de 4 de abril de 1995 y 21 de mayo de 1997, y destacando cómo esta última Sentencia, además, fue dictada por una Sala integrada por dos Magistrados que no habían intervenido en el enjuiciamiento, conformando “un nuevo hecho probado, radicalmente distinto del anterior y que extravasa totalmente el quebrantamiento de forma que se había declarado por esta Sala”. En relación con la tercera sentencia dictada, que es la concretamente impugnada, se señala que esta vez es dictada por los tres Magistrados que redactaron la primera “en la que se conforman nuevos hechos probados, sin previo enjuiciamiento, también distintos a los anteriores”, poniendo de manifiesto la existencia de importantes variaciones en los hechos. A partir de ello en la Sentencia se pone de manifiesto como “[l]as sucesivas sentencias a la primera no se limitan a sanar la falta de claridad declarada por este Sala, sino que conforman un nuevo relato fáctico, sustancialmente distinto de los anteriores, sin un previo enjuiciamiento, lo que viene vedado por el ordenamiento procesal que previene la redacción de la sentencia conforme a la valoración de las pruebas practicadas en el juicio oral”. Igualmente, se destaca que “[l]a sentencia que se recurre desconoce que anulada una sentencia por quebrantamiento de forma de la misma, un vicio in procedendo, lo procedente es sanar el quebrantamiento declarado manteniendo los hechos que han sido declarados probados sin el defecto procesal y, en todo caso, el quebrantamiento de forma consistente en la falta de claridad debe ser remediado por los mismos magistrados que dictaron la sentencia anulada”. De todo ello se concluye que “[l]as irregularidades que se declaran tienen su causa en un preocupante desconocimiento de la regulación procesal sobre la forma de redactar las sentencias penales, irregularidad causante de indefensión a la parte que ha actuado los intereses de la perjudicada por lo que procede declarar la nulidad del enjuiciamiento desde la fecha inmediata anterior al enjuiciamiento de los hechos para que un nuevo tribunal, con una composición distinta a la que hasta ahora ha conocido de los hechos, los enjuicie, valore las pruebas practicadas y dicte sentencia con arreglo a derecho”. </w:t>
      </w:r>
    </w:p>
    <w:p w:rsidR="0052098F" w:rsidRDefault="0052098F" w:rsidP="0052098F">
      <w:pPr>
        <w:pStyle w:val="TextoNormal"/>
      </w:pPr>
      <w:r>
        <w:t xml:space="preserve">e) La Sección Octava de la Audiencia Provincial de Barcelona, con una composición distinta a la que dictó las anteriores resoluciones, celebró juicio oral, dictándose Sentencia de 10 de mayo de 2001, en la que se condena al recurrente como autor de un delito continuado de abusos deshonestos y otro, también continuado, de violación, con la atenuante analógica de dilaciones indebidas, a las penas de tres años de prisión menor, por el primero, y doce años y un día de reclusión menor, por el segundo, con accesorias, responsabilidad civil y costas. La Sentencia considera probado que el recurrente convivía con su compañera y la hija de ésta desde que la niña tenia cinco de años de edad y que entre los 9 y 12 años se metía en su cama por las mañana y la hacía objeto de caricias por todo el cuerpo, incluyendo el pubis, bajo la conminación de que las abandonaría y las echaría de casa, lo que causaba un serio y constante temor en la niña que comenzó a estar triste, rara, no reía y empezó a tener un mal rendimiento escolar. También se declaró probado que entre los 12 años y hasta cuatro meses antes de cumplir los 16, bajo la misma conminación, además de seguir con los tocamientos, efectuó varias veces por semana el acto sexual completo y en una ocasión obligada por la fuerza, a consecuencia de lo cual requirió tratamiento psicológico, quedando como secuela una seria fobia sexual. </w:t>
      </w:r>
    </w:p>
    <w:p w:rsidR="0052098F" w:rsidRDefault="0052098F" w:rsidP="0052098F">
      <w:pPr>
        <w:pStyle w:val="TextoNormal"/>
      </w:pPr>
      <w:r>
        <w:t xml:space="preserve">f) El recurrente interpuso recurso de casación, tramitado con el núm. 2456-2001, alegando, entre otros motivos, vulneración del derecho a un proceso con todas las garantías </w:t>
      </w:r>
      <w:r>
        <w:lastRenderedPageBreak/>
        <w:t>(art. 24.2 CE), por haber sido sometido a un doble enjuiciamiento con infracción de la interdicción del non bis in idem procesal. Por Sentencia de la Sala Segunda del Tribunal Supremo de 9 de diciembre de 2002 se desestimó este concreto motivo, al considerar que el nuevo enjuiciamiento traía causa de una anterior Sentencia que era firme y que no había sido impugnada en amparo, por lo que se había aquietado con la decisión sobre un nuevo enjuiciamiento. La Sentencia, sin embargo, estima otros de los motivos de casación, considerando prescrito el delito de abusos deshonestos y como muy cualificada la atenuante de dilaciones indebidas, dictando una segunda Sentencia en la que se absuelve al recurrente de los abusos y se rebaja la pena por la violación a un año de prisión menor.</w:t>
      </w:r>
    </w:p>
    <w:p w:rsidR="0052098F" w:rsidRDefault="0052098F" w:rsidP="0052098F">
      <w:pPr>
        <w:pStyle w:val="TextoNormal"/>
      </w:pPr>
    </w:p>
    <w:p w:rsidR="0052098F" w:rsidRDefault="0052098F" w:rsidP="0052098F">
      <w:pPr>
        <w:pStyle w:val="TextoNormal"/>
      </w:pPr>
      <w:r w:rsidRPr="0052098F">
        <w:rPr>
          <w:rStyle w:val="NumeroAFNegritaCaracter"/>
        </w:rPr>
        <w:t>3</w:t>
      </w:r>
      <w:r>
        <w:t>. El recurrente aduce en su demanda de amparo que se han vulnerado sus derechos a la tutela judicial efectiva (art. 24.1 CE) y a un proceso con todas las garantías (art. 24.2 CE), con fundamento en que el nuevo enjuiciamiento de que ha sido objeto vulnera la interdicción del non bis in idem procesal, ya que la Sentencia de la Sala Segunda del Tribunal Supremo de 23 de noviembre de 2000 acordó repetir el juicio oral sin que la acusación particular recurrente hubiera solicitado en ningún momento la nulidad del juicio, pues el recurso aludía exclusivamente a quebrantamiento de forma por falta de claridad y contradicciones en los hechos probados, que no son base suficiente para anular el juicio oral. Igualmente, destaca que no hubo aquietamiento con la decisión de anular y repetir el juicio oral, toda vez que no cabía interponer con anterioridad recurso de amparo, ya que la vulneración no se consumó hasta que se produjo la posterior celebración del juicio oral.</w:t>
      </w:r>
    </w:p>
    <w:p w:rsidR="0052098F" w:rsidRDefault="0052098F" w:rsidP="0052098F">
      <w:pPr>
        <w:pStyle w:val="TextoNormal"/>
      </w:pPr>
    </w:p>
    <w:p w:rsidR="0052098F" w:rsidRDefault="0052098F" w:rsidP="0052098F">
      <w:pPr>
        <w:pStyle w:val="TextoNormal"/>
      </w:pPr>
      <w:r w:rsidRPr="0052098F">
        <w:rPr>
          <w:rStyle w:val="NumeroAFNegritaCaracter"/>
        </w:rPr>
        <w:t>4</w:t>
      </w:r>
      <w:r>
        <w:t>. La Sección Segunda de este Tribunal, por providencia de 24 de septiembre de 2003, acordó la admisión a trámite del recurso,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que tras los trámites oportunos fue resuelta por ATC 322/2003, de 13 de octubre, accediéndose a la suspensión de la pena privativa de libertad impuesta.</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Secretaría de Justicia de la Sala Primera de este Tribunal de 11 de noviembre de 2003 se acordó tener por recibido el testimonio de las actuaciones y, de conformidad con el art. 52 LOTC, dar vista al Ministerio Fiscal y a las partes personadas por plazo común de veinte días para presentar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El Ministerio Fiscal, por escrito registrado el 9 de diciembre de 2003, interesó que se inadmitiera el recurso por falta de agotamiento de la vía judicial previa o por extemporaneidad de la demanda o, subsidiariamente, que se otorgara el amparo por vulneración del derecho a un proceso con todas las garantías (art. 24.2 CE), con anulación de las resoluciones impugnadas, dejando subsistente la absolución del recurrente. Por lo que se refiere a las causas de inadmisión, el Ministerio Fiscal señala que el recurrente viene a atribuir a la Sentencia de la Sala Segunda del Tribunal Supremo de 23 de noviembre de 2000 una autentica incongruencia extra petita por haber acordado, sin previa petición de la acusación particular recurrente, la anulación del juicio oral, por lo que el debido agotamiento de la vía judicial previa hubiera exigido acudir al incidente de nulidad de actuaciones. Además, pone de manifiesto que, en su caso, debió acudirse al amparo tras dictarse dicha Sentencia, que fue en </w:t>
      </w:r>
      <w:r>
        <w:lastRenderedPageBreak/>
        <w:t>la que se consumó la vulneración alegada, y no esperar a la celebración del nuevo juicio, por lo que la demanda sería extemporánea. Subsidiariamente, el Ministerio Fiscal considera que habría existido una vulneración del derecho a un proceso con todas las garantías (art. 24.2 CE), en cuanto incluye la prohibición de incurrir en bis in idem, ya que en la Sentencia de 23 de noviembre de 2000 se acordó de oficio la celebración de nuevo juicio, extralimitándose en las funciones revisoras que tiene legalmente asignadas.</w:t>
      </w:r>
    </w:p>
    <w:p w:rsidR="0052098F" w:rsidRDefault="0052098F" w:rsidP="0052098F">
      <w:pPr>
        <w:pStyle w:val="TextoNormal"/>
      </w:pPr>
    </w:p>
    <w:p w:rsidR="0052098F" w:rsidRDefault="0052098F" w:rsidP="0052098F">
      <w:pPr>
        <w:pStyle w:val="TextoNormal"/>
      </w:pPr>
      <w:r w:rsidRPr="0052098F">
        <w:rPr>
          <w:rStyle w:val="NumeroAFNegritaCaracter"/>
        </w:rPr>
        <w:t>7</w:t>
      </w:r>
      <w:r>
        <w:t>. El recurrente no presentó alegaciones.</w:t>
      </w:r>
    </w:p>
    <w:p w:rsidR="0052098F" w:rsidRDefault="0052098F" w:rsidP="0052098F">
      <w:pPr>
        <w:pStyle w:val="TextoNormal"/>
      </w:pPr>
    </w:p>
    <w:p w:rsidR="0052098F" w:rsidRDefault="0052098F" w:rsidP="0052098F">
      <w:pPr>
        <w:pStyle w:val="TextoNormal"/>
      </w:pPr>
      <w:r w:rsidRPr="0052098F">
        <w:rPr>
          <w:rStyle w:val="NumeroAFNegritaCaracter"/>
        </w:rPr>
        <w:t>8</w:t>
      </w:r>
      <w:r>
        <w:t>. Por diligencia de ordenación de la Secretaría de Justicia de la Sala Primera de este Tribunal de 15 de diciembre de 2003 se acordó tener por personado y parte en nombre y representación del recurrente al Procurador de los Tribunales don Adolfo Morales Hernández-San Juan, en sustitución del Procurador don Eduardo Morales Price.</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fecha 7 de febrero de 2008, se señaló para deliberación y fallo de esta Sentencia el día 11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objeto de este recurso es determinar si las resoluciones impugnadas han vulnerado los derechos del recurrente a la tutela judicial efectiva (art. 24.1 CE) y a un proceso con todas las garantías (art. 24.2 CE), desde la perspectiva de la prohibición de incurrir en bis in idem procesal, por haberse acordado de oficio la anulación y celebración de un nuevo juicio oral, sin que dicha consecuencia anulatoria hubiera sido solicitada en el recurso de casación, en el que se alegó exclusivamente quebrantamiento de forma por falta de claridad y contradicciones en los hechos probados, que no son base suficiente para anular el juicio oral.</w:t>
      </w:r>
    </w:p>
    <w:p w:rsidR="0052098F" w:rsidRDefault="0052098F" w:rsidP="0052098F">
      <w:pPr>
        <w:pStyle w:val="TextoNormal"/>
      </w:pPr>
    </w:p>
    <w:p w:rsidR="0052098F" w:rsidRDefault="0052098F" w:rsidP="0052098F">
      <w:pPr>
        <w:pStyle w:val="TextoNormal"/>
      </w:pPr>
      <w:r w:rsidRPr="0052098F">
        <w:rPr>
          <w:rStyle w:val="NumeroAFNegritaCaracter"/>
        </w:rPr>
        <w:t>2</w:t>
      </w:r>
      <w:r>
        <w:t>. Antes de entrar al fondo de estas invocaciones es preciso analizar la concurrencia de las causas de inadmisión señaladas por el Ministerio Fiscal. En cuanto a la falta de agotamiento, si bien es cierto que la incongruencia extra petita precisa la interposición del incidente de nulidad de actuaciones, también conforme a la redacción vigente del art. 240.3 de la Ley Orgánica del Poder Judicial (LOPJ) cuando se dictó la Sentencia impugnada, sin embargo, en este caso, no resultaría posible exigir para un correcto agotamiento de la vía judicial previa que se hubiera acudido a dicho incidente, ya que, como ha reiterado este Tribunal, en los supuestos de vulneración de la prohibición de incurrir en bis in idem procesal, que es lo concretamente alegado en este amparo, pueden albergarse serias dudas sobre la procedencia clara y terminante de ese remedio procesal (por todas, STC 192/2005, de 18 de julio, FJ 2).</w:t>
      </w:r>
    </w:p>
    <w:p w:rsidR="0052098F" w:rsidRDefault="0052098F" w:rsidP="0052098F">
      <w:pPr>
        <w:pStyle w:val="TextoNormal"/>
      </w:pPr>
      <w:r>
        <w:t xml:space="preserve">También debe descartarse que concurra la extemporaneidad de la demanda. Asiste la razón al Ministerio Fiscal cuando afirma que, en su caso, la lesión constitucional denunciada se habría consumado con la Sentencia de la Sala Segunda del Tribunal Supremo de 23 de noviembre de 2000, que es la resolución que acordó la anulación y celebración de nuevo juicio oral, ya que, como ha señalado este Tribunal, la revocación de una sentencia penal absolutoria habilitando la posibilidad de un nuevo enjuiciamiento constituye en sí misma gravamen suficiente para interponer el recurso de amparo, pues el contenido propio de este </w:t>
      </w:r>
      <w:r>
        <w:lastRenderedPageBreak/>
        <w:t>derecho es la prohibición del doble enjuiciamiento con independencia del resultado favorable o desfavorable del mismo (por todas, STC 4/2004, de 16 de enero, FJ 2). Ahora bien, con independencia de ello, este Tribunal también ha destacado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 De ese modo, en casos como el presente, este Tribunal no ha objetado la tempestividad de la interposición del recurso de amparo tras la celebración de la nueva vista y el dictado de las posteriores resoluciones que ponían fin definitivamente al procedimiento judicial (así, STC 249/2005, de 10 de octubre).</w:t>
      </w:r>
    </w:p>
    <w:p w:rsidR="0052098F" w:rsidRDefault="0052098F" w:rsidP="0052098F">
      <w:pPr>
        <w:pStyle w:val="TextoNormal"/>
      </w:pPr>
    </w:p>
    <w:p w:rsidR="0052098F" w:rsidRDefault="0052098F" w:rsidP="0052098F">
      <w:pPr>
        <w:pStyle w:val="TextoNormal"/>
      </w:pPr>
      <w:r w:rsidRPr="0052098F">
        <w:rPr>
          <w:rStyle w:val="NumeroAFNegritaCaracter"/>
        </w:rPr>
        <w:t>3</w:t>
      </w:r>
      <w:r>
        <w:t>. Entrando al fondo de la cuestión planteada, este Tribunal ha reiterado que la prohibición de incurrir en bis in idem procesal o doble enjuiciamiento penal queda encuadrada en el derecho a la tutela judicial efectiva (art. 24.1 CE), concretándose en la imposibilidad de proceder a un nuevo enjuiciamiento penal si el primer proceso ha concluido con una resolución de fondo firme con efecto de cosa juzgada y que, por tanto, en rigor, no cabe entender concurrente un doble proceso cuando el que pudiera ser considerado como primero ha sido anulado en virtud del régimen de recursos legalmente previsto (por todas, SSTC 2/2003, de 16 de enero, FJ 3, ó 218/2007, de 8 de octubre, FJ 4).</w:t>
      </w:r>
    </w:p>
    <w:p w:rsidR="0052098F" w:rsidRDefault="0052098F" w:rsidP="0052098F">
      <w:pPr>
        <w:pStyle w:val="TextoNormal"/>
      </w:pPr>
      <w:r>
        <w:t>Este Tribunal también ha destacado la singularidad que plantea, a los efectos de la interdicción del bis in idem, la anulación de sentencias penales absolutorias con orden de retroacción de actuaciones, por la diferencia que existe entre la acusación y los acusados desde la perspectiva de los derechos fundamentales en juego dentro del proceso penal. Así, se ha incidido, en los casos en que se recurre en amparo sentencias penales absolutorias, en que no cabe la retroacción de actuaciones cuando se estimen vulnerados derechos fundamentales de carácter sustantivo de la acusación, ya que ello impone al acusado absuelto la carga de un nuevo enjuiciamiento que no está destinado a corregir una vulneración en su contra de normas procesales con relevancia constitucional. A pesar de ello, también se ha puesto de relieve que el reconocimiento de este diferente status constitucional entre acusaciones y acusados no implica negar a la acusación particular la protección constitucional dispensada por el art.  24 CE, por lo que, ponderando el reforzado estatuto constitucional del acusado y la necesidad de no excluir de las garantías del art. 24 CE a la acusación particular, este Tribunal ha establecido la posibilidad de anular una resolución judicial penal materialmente absolutoria, con orden de retroacción de actuaciones, sólo en aquellos caso en que se haya producido la quiebra de una regla esencial del proceso en perjuicio de la acusación, ya que, en tal caso, propiamente no se puede hablar de proceso ni permitir que la sentencia absolutoria adquiera el carácter de inatacable (por todas, STC 4/2004, de 16 de enero, FJ 4).</w:t>
      </w:r>
    </w:p>
    <w:p w:rsidR="0052098F" w:rsidRDefault="0052098F" w:rsidP="0052098F">
      <w:pPr>
        <w:pStyle w:val="TextoNormal"/>
      </w:pPr>
      <w:r>
        <w:t xml:space="preserve">En aplicación de esta doctrina, hemos estimado en la práctica de la jurisdicción de amparo que se deben anular pronunciamientos absolutorios con retroacción de actuaciones en los siguientes supuestos citados en la STC 4/2004, de 16 de enero, FJ 4: “por haberse inadmitido una prueba de la acusación relevante y decisiva cerrándose la causa sin practicarla (STC 116/1997, de 23 de junio), por haberse negado el acceso a los recursos contra el archivo de la causa, habiendo mostrado el recurrente su voluntad inequívoca de personarse en el proceso penal (STC 16/2001, de 29 de enero), porque se sustanció el recurso de queja dando lugar al Auto de sobreseimiento libre sin contradicción del querellante (STC 178/2001, de 17 de septiembre), por haberse sustanciado el recurso de apelación sin unir el escrito de impugnación de la acusación particular y, por tanto, sin que el órgano judicial lo </w:t>
      </w:r>
      <w:r>
        <w:lastRenderedPageBreak/>
        <w:t>tomara en consideración (STC 138/1999, de 22 de julio), por haberse producido una incongruencia extra petitum al introducirse en la Sentencia un elemento que no había sido objeto de debate contradictorio (STC 215/1999, de 29 de noviembre), o por haber admitido el órgano de apelación la pretensión de legitimación del actor y entrar en el fondo sin juicio oral en el que las partes hubieran podido ejercer su derecho de defensa sobre la cuestión de fondo (STC 168/2001, de 16 de julio)”. A estos supuestos cabe añadir el de la STC 218/2007, de 8 de octubre, en la que también este Tribunal anuló una sentencia absolutoria, acordando retroacción de actuaciones para un nuevo enjuiciamiento, en un supuesto en el que en vía judicial, a pesar de haberse reconocido que se había vulnerado el derecho a la tutela judicial efectiva de la acusación, sin embargo, el órgano judicial de casación no anuló la sentencia absolutoria para que la acusación fuera restablecida en su derecho a través de la retroacción de actuaciones. Igualmente, pueden destacarse, en esta misma línea, las SSTC 169/2004, de 6 de octubre, 246/2004, de 20 de diciembre, 192/2005, de 18 de julio, y 115/2006, de 24 de abril, en las que se confirmó la constitucionalidad de las decisiones judiciales de anular sentencias absolutorias por defectuosa motivación en las actas de votación de los Tribunales de Jurado con orden de celebración de nuevo juicio.</w:t>
      </w:r>
    </w:p>
    <w:p w:rsidR="0052098F" w:rsidRDefault="0052098F" w:rsidP="0052098F">
      <w:pPr>
        <w:pStyle w:val="TextoNormal"/>
      </w:pPr>
      <w:r>
        <w:t>Por su parte, la STC 4/2004, de 16 de enero, ante un supuesto en que se había acordado la anulación de una sentencia absolutoria y la retroacción para celebrar nueva vista oral por haberse extraviado el acta del juicio oral, consideró vulnerados los derechos a la tutela judicial efectiva (art. 24.1 CE) y a un proceso con todas las garantías (art. 24.2 CE) del acusado, argumentando que, sin haberse producido ninguna infracción procesal causante de indefensión en la acusación particular, no se podía adoptar una decisión de anulación y retroacción, teniendo en cuenta que el recurso no se sustentó en la vulneración de garantías procesales ni en él se solicitaba dicha anulación (FJ 5).</w:t>
      </w:r>
    </w:p>
    <w:p w:rsidR="0052098F" w:rsidRDefault="0052098F" w:rsidP="0052098F">
      <w:pPr>
        <w:pStyle w:val="TextoNormal"/>
      </w:pPr>
    </w:p>
    <w:p w:rsidR="0052098F" w:rsidRDefault="0052098F" w:rsidP="0052098F">
      <w:pPr>
        <w:pStyle w:val="TextoNormal"/>
      </w:pPr>
      <w:r w:rsidRPr="0052098F">
        <w:rPr>
          <w:rStyle w:val="NumeroAFNegritaCaracter"/>
        </w:rPr>
        <w:t>4</w:t>
      </w:r>
      <w:r>
        <w:t>. En el presente caso, como ha sido expuesto con más detenimiento en los antecedentes, el recurrente, tras un primer juicio oral, fue absuelto por Sentencia de la Sección Octava de la Audiencia Provincial de Barcelona de 4 de abril de 1995, que fue anulada por Sentencia de la Sala Segunda del Tribunal Supremo de 3 de abril de 1997, por falta de claridad y contradicción en el relato de hechos probados, acordándose la retroacción de actuaciones para que se dictara nueva resolución. La Audiencia volvió a absolver al recurrente por Sentencia de 21 de mayo de 1997, que fue nuevamente anulada en casación por Sentencia de 21 de diciembre de 1998, por falta de claridad de los hechos probados, acordándose, otra vez, la retroacción de actuaciones para que se dictara nueva resolución. La Audiencia, por tercera vez, absolvió al recurrente por Sentencia de 15 de marzo de 1999 y, por tercera vez, la acusación particular interpuso recurso de casación, alegando esta vez no sólo quebrantamiento de forma por falta de claridad de los hechos probados, sino también la vulneración del derecho a la tutela judicial efectiva (art. 24.1 CE). Por Sentencia de la Sala Segunda del Tribunal Supremo de 23 de noviembre de 2000 se anuló la tercera Sentencia absolutoria al estimarse vulnerado el derecho a la tutela judicial efectiva, acordando esta vez también la nulidad del enjuiciamiento y la retroacción de las actuaciones al momento anterior a la celebración del juicio oral para que un nuevo Tribunal, con una composición distinta, los enjuiciara.</w:t>
      </w:r>
    </w:p>
    <w:p w:rsidR="0052098F" w:rsidRDefault="0052098F" w:rsidP="0052098F">
      <w:pPr>
        <w:pStyle w:val="TextoNormal"/>
      </w:pPr>
      <w:r>
        <w:t xml:space="preserve">El razonamiento para justificar dicha decisión fue que, analizando el devenir procesal desde la celebración del primer juicio oral, se comprobaba no sólo sucesivas deficiencias en la redacción de hechos probados, constatando que se incorporaban relatos radicalmente distintos, sino que, además, la segunda Sentencia absolutoria había sido dictada por una Sala </w:t>
      </w:r>
      <w:r>
        <w:lastRenderedPageBreak/>
        <w:t>integrada por dos Magistrados que no habían intervenido en el enjuiciamiento ni, lógicamente en la redacción de la primera, y que la tercera Sentencia estaba nuevamente dictada por los tres Magistrados que redactaron la primera. Así, se pone de manifiesto, por un lado, que “[l]as sucesivas sentencias a la primera no se limitan a sanar la falta de claridad declarada por este Sala, sino que conforman un nuevo relato fáctico, sustancialmente distinto de los anteriores, sin un previo enjuiciamiento, lo que viene vedado por el ordenamiento procesal que previene la redacción de la sentencia conforme a la valoración de las pruebas practicadas en el juicio oral”, y , por otro, que “[l]a sentencia que se recurre desconoce que anulada una sentencia por quebrantamiento de forma de la misma, un vicio in procedendo, lo procedente es sanar el quebrantamiento declarado manteniendo los hechos que han sido declarados probados sin el defecto procesal y, en todo caso, el quebrantamiento de forma consistente en la falta de claridad debe ser remediado por los mismos magistrados que dictaron la sentencia anulada”. De todo ello se concluye que “[l]as irregularidades que se declaran tienen su causa en un preocupante desconocimiento de la regulación procesal sobre la forma de redactar las sentencias penales, irregularidad causante de indefensión a la parte que ha actuado los intereses de la perjudicada por lo que procede declarar la nulidad del enjuiciamiento desde la fecha inmediata anterior al enjuiciamiento de los hechos para que un nuevo tribunal, con una composición distinta a la que hasta ahora ha conocido de los hechos, los enjuicie, valore las pruebas practicadas y dicte sentencia con arreglo a derecho”.</w:t>
      </w:r>
    </w:p>
    <w:p w:rsidR="0052098F" w:rsidRDefault="0052098F" w:rsidP="0052098F">
      <w:pPr>
        <w:pStyle w:val="TextoNormal"/>
      </w:pPr>
    </w:p>
    <w:p w:rsidR="0052098F" w:rsidRDefault="0052098F" w:rsidP="0052098F">
      <w:pPr>
        <w:pStyle w:val="TextoNormal"/>
      </w:pPr>
      <w:r w:rsidRPr="0052098F">
        <w:rPr>
          <w:rStyle w:val="NumeroAFNegritaCaracter"/>
        </w:rPr>
        <w:t>5</w:t>
      </w:r>
      <w:r>
        <w:t>. En atención a lo expuesto, partiendo de la base de que el recurrente no hace cuestión en este amparo de las dos primeras anulaciones con orden de retroacción de actuaciones para dictar nueva sentencia y dirige su queja exclusivamente contra la decisión adoptada por la Sentencia de la Sala Segunda del Tribunal Supremo de 23 de noviembre de 2000 de anular la Sentencia de la Sección Octava de la Audiencia Provincial de Barcelona de 15 de marzo de 1999 y ordenar repetir el juicio oral, debe concluirse que no concurre la vulneración de la prohibición de doble enjuiciamiento penal alegada por el recurrente. En efecto, en primer lugar, la Sentencia absolutoria anulada no era firme, ya que había sido recurrida en casación por la acusación particular. En segundo lugar, la acusación particular había alegado la vulneración de su derecho a la tutela judicial efectiva e instado la anulación de dicha Sentencia. Y, por último, la decisión de anular tanto la Sentencia absolutoria como el juicio oral y ordenar la retroacción de actuaciones para la celebración de una nueva vista oral por un Tribunal con distinta composición es el resultado de una correcta ponderación entre los derechos del recurrente y la necesidad de reestablecer las garantías procesales esenciales de la acusación particular.</w:t>
      </w:r>
    </w:p>
    <w:p w:rsidR="0052098F" w:rsidRDefault="0052098F" w:rsidP="0052098F">
      <w:pPr>
        <w:pStyle w:val="TextoNormal"/>
      </w:pPr>
      <w:r>
        <w:t xml:space="preserve">Teniendo en cuenta que no se ha controvertido en este amparo la falta de firmeza de la Sentencia absolutoria anulada, tampoco cabe apreciar, como sostiene el recurrente, que la acusación particular hubiera alegado en el recurso de casación exclusivamente quebrantamiento de forma por falta de claridad y contradicciones en los hechos probados y que la estimación de dicho motivo no fuera base suficiente para una anulación que tampoco había sido solicitada. En contradicción con dicho presupuesto fáctico, lo que queda acreditado en las actuaciones, como se ha destacado más arriba y se deduce claramente de la Sentencia de 23 de noviembre de 2000, es que la acusación particular formalizó hasta seis motivos de casación distintos y, entre ellos, el tercero, consistente en la denuncia de la vulneración del derecho a la tutela judicial efectiva (art. 24.1 CE), motivo que fue el concretamente estimado. Así, en el apartado primero del fundamento jurídico único de la citada Sentencia de 23 de noviembre de 2000, tras hacer una enumeración de los motivos de casación, ya se </w:t>
      </w:r>
      <w:r>
        <w:lastRenderedPageBreak/>
        <w:t>pone de manifiesto que se adelanta el estudio de la vulneración del derecho a la tutela judicial efectiva dadas las peculiaridades del recurso y en el fallo se hace constar también que se declara haber lugar al recurso de casación “interpuesto por vulneración de derechos fundamentales”. Por tanto, hay que negar tanto que la acusación particular se hubiera limitado a alegar en este tercer recurso de casación quebrantamiento de forma por contradicción y falta de claridad de hechos probados, pues sí alzo un motivo por vulneración de derechos fundamentales, como que la estimación de aquel recurso de casación lo hubiera sido en virtud del quebrantamiento de forma, ya que lo fue por vulneración del derecho a la tutela judicial efectiva. Ello deja sin contenido la alegación del recurrente de que la decisión adoptada no tenía fundamento legal y respondía a una actuación de oficio del órgano judicial de casación.</w:t>
      </w:r>
    </w:p>
    <w:p w:rsidR="0052098F" w:rsidRDefault="0052098F" w:rsidP="0052098F">
      <w:pPr>
        <w:pStyle w:val="TextoNormal"/>
      </w:pPr>
      <w:r>
        <w:t>Por su parte, en cuanto a la corrección de la ponderación realizada en la Sentencia de 23 de noviembre de 2000 para acordar la anulación de la sentencia absolutoria y la retroacción de actuaciones, es de destacar, con carácter previo, que el recurrente no pone en duda las razones de fondo por las que se acordó anular la tercera Sentencia absolutoria y la procedencia de una retroacción de actuaciones, sino que dirige su queja al hecho de que tal anulación alcanzara al juicio oral y, por tanto, que la retroacción lo fuera no sólo para dictar nueva sentencia sino para la celebración de un nuevo juicio oral. En la medida en que lo único realmente impugnado es el alcance de la retroacción, pero no la anulación de una sentencia absolutoria ni la orden de retroacción, esta queja se aleja de los perfiles de la prohibición constitucional de incurrir en doble proceso penal trazados por la jurisprudencia constitucional. Y ello porque, es importante reseñarlo, que la retroacción lo sea para dictar nueva resolución, manteniendo el acto del juicio oral, o lo sea también para la celebración de un nuevo juicio oral, nada relevante aporta desde la perspectiva invocada de la interdicción del bis in idem procesal. Tal como ya se ha expuesto antes, el contenido esencial de esta garantía constitucional, en casos como el presente de recursos contra sentencias absolutorias, es impedir que se anulen con retroacción de actuaciones otorgando con ello la posibilidad de un nuevo pronunciamiento sobre la culpabilidad o inocencia del acusado, siempre que no concurra la vulneración de garantías procesales esenciales de la parte acusadora que, ponderadas con las garantías del acusado, resulte prioritario preservar.</w:t>
      </w:r>
    </w:p>
    <w:p w:rsidR="0052098F" w:rsidRDefault="0052098F" w:rsidP="0052098F">
      <w:pPr>
        <w:pStyle w:val="TextoNormal"/>
      </w:pPr>
      <w:r>
        <w:t xml:space="preserve">Sin perjuicio de lo anterior, en el presente caso se pone de manifiesto que la Sentencia de 23 de noviembre de 2000 acordó la anulación de la sentencia absolutoria y la retroacción de las actuaciones para la celebración de un nuevo juicio oral con fundamento en una correcta ponderación entre los derechos del recurrente, como parte acusada ya absuelta, y los de la acusación particular. A partir de los razonamientos vertidos en dicha Sentencia se constata que la necesidad de reestablecer las garantías procesales esenciales de la acusación particular, que habían sido vulneradas en el iter procesal seguido en el rollo de Sala, propiciaban no sólo la anulación de la Sentencia, aunque fuera absolutoria, para dictar otra nueva, sino también la celebración de un nuevo juicio oral ante un Tribunal con nueva composición. En efecto, la circunstancia de que en dos ocasiones se hubieran tenido que anular sendas Sentencias absolutorias por falta de claridad y contradicción de los hechos probados que, en vez de corregirse en los concretos aspectos fácticos señalados en las Sentencias anulatorias, daban lugar a nuevas versiones de los hechos probados sustancialmente distintos de los anteriores y, en especial, que la segunda Sentencia absolutoria hubiera sido dictada por un órgano judicial con distinta composición al que dictó la primera y la tercera, imposibilitaba que el restablecimiento de los derechos fundamentales de la acusación particular pudieran derivar de una simple retroacción para pronunciar nueva Sentencia. Y ello porque, </w:t>
      </w:r>
      <w:r>
        <w:lastRenderedPageBreak/>
        <w:t>constatado que esta tercera Sentencia la había dictado un órgano judicial de diferente composición que la segunda pero, a su vez, el que dictó la segunda no era ante el que se había celebrado el primer juicio oral, una simple anulación para que se dictada nueva sentencia hubiera supuesto, también en contradicción con garantías esenciales del proceso de ambas partes, que quien debía dictarla fuera un órgano judicial con una composición distinta a aquél ante quien se había desarrollado el juicio oral. De ese modo, la única vía de reestablecimiento completo de la acusación particular en sus garantías procesales esenciales era la celebración de un nuevo juicio oral ante un Tribunal de nueva composición, como finalmente se hizo.</w:t>
      </w:r>
    </w:p>
    <w:p w:rsidR="0052098F" w:rsidRDefault="0052098F" w:rsidP="0052098F">
      <w:pPr>
        <w:pStyle w:val="TextoNormal"/>
      </w:pPr>
      <w:r>
        <w:t>En conclusión, debe denegarse el amparo solicitado, ya que no cabe apreciar que se haya vulnerado al recurrente la prohibición constitucional de doble enjuiciamiento penal, pues la anulación y retroacción de actuaciones para la celebración de nuevo juicio oral acordada en la Sentencia de 23 de noviembre de 2000 trajo causa de un recurso interpuesto por la acusación particular en que se alegó la vulneración de sus derechos fundamentales y fue justificada merced a una correcta ponderación entre los derechos del recurrente y de la acusación particular para concluir la necesidad de dar a la retroacción dicho alcance con el fin de restablecer las garantías esenciales de la acusación que se habían visto lesionadas.</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Denegar el amparo solicitado por don Elías Aparici Rodríguez.</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once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7" w:name="SENTENCIA_2008_24"/>
      <w:r>
        <w:lastRenderedPageBreak/>
        <w:t>SENTENCIA 24/2008, de 11 de febrero de 2008</w:t>
      </w:r>
    </w:p>
    <w:bookmarkEnd w:id="27"/>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64, de 14 de marzo de 2008)</w:t>
      </w:r>
    </w:p>
    <w:p w:rsidR="0052098F" w:rsidRDefault="0052098F" w:rsidP="0052098F">
      <w:pPr>
        <w:pStyle w:val="TtuloBOE"/>
      </w:pPr>
    </w:p>
    <w:p w:rsidR="0052098F" w:rsidRDefault="0052098F" w:rsidP="0052098F">
      <w:pPr>
        <w:pStyle w:val="SntesisDescriptiva"/>
      </w:pPr>
      <w:r>
        <w:t>ECLI:ES:TC:2008:24</w:t>
      </w:r>
    </w:p>
    <w:p w:rsidR="0052098F" w:rsidRDefault="0052098F" w:rsidP="0052098F">
      <w:pPr>
        <w:pStyle w:val="SntesisDescriptiva"/>
      </w:pPr>
    </w:p>
    <w:p w:rsidR="0052098F" w:rsidRDefault="0052098F" w:rsidP="0052098F">
      <w:pPr>
        <w:pStyle w:val="SntesisDescriptiva"/>
      </w:pPr>
      <w:r>
        <w:t>Recurso de amparo 2477-2003. Promovido por don Jose María Gómez García frente a los Autos de la Sala de lo Contencioso-Administrativo del Tribunal Superior de Justicia de Murcia que declararon caducado su recurso contra la Consejería de Agricultura, Agua y Medioambiente de la Región de Murcia sobre reintegro parcial de subvención.</w:t>
      </w:r>
    </w:p>
    <w:p w:rsidR="0052098F" w:rsidRDefault="0052098F" w:rsidP="0052098F">
      <w:pPr>
        <w:pStyle w:val="SntesisDescriptiva"/>
      </w:pPr>
    </w:p>
    <w:p w:rsidR="0052098F" w:rsidRDefault="0052098F" w:rsidP="0052098F">
      <w:pPr>
        <w:pStyle w:val="SntesisAnaltica"/>
      </w:pPr>
      <w:r>
        <w:t>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p>
    <w:p w:rsidR="0052098F" w:rsidRDefault="0052098F" w:rsidP="0052098F">
      <w:pPr>
        <w:pStyle w:val="SntesisAnaltica"/>
      </w:pPr>
    </w:p>
    <w:p w:rsidR="0052098F" w:rsidRDefault="0052098F" w:rsidP="0052098F">
      <w:pPr>
        <w:pStyle w:val="Extracto"/>
      </w:pPr>
      <w:r>
        <w:t>1.</w:t>
      </w:r>
      <w:r>
        <w:tab/>
        <w:t>Constituye una interpretación rigorista y desproporcionada de las normas procesales, contraria al derecho a la tutela judicial efectiva, rechazar por extemporánea una demanda contencioso-administrativa que fue presentada al día siguiente de la notificación del Auto de caducidad del recurso, ya que cabía confiar que la presentación de la demanda era tempestiva, dado el tenor literal de la regla del art. 135.1 LEC, el carácter genéricamente supletorio de la misma (art. 4 LEC) y la regulación de la actividad de los Juzgados de guardia [FJ 4].</w:t>
      </w:r>
    </w:p>
    <w:p w:rsidR="0052098F" w:rsidRDefault="0052098F" w:rsidP="0052098F">
      <w:pPr>
        <w:pStyle w:val="Extracto"/>
      </w:pPr>
    </w:p>
    <w:p w:rsidR="0052098F" w:rsidRDefault="0052098F" w:rsidP="0052098F">
      <w:pPr>
        <w:pStyle w:val="Extracto"/>
      </w:pPr>
      <w:r>
        <w:t>2.</w:t>
      </w:r>
      <w:r>
        <w:tab/>
        <w:t>Se aplica la doctrina sobre el derecho a la tutela judicial efectiva en su vertiente del derecho de acceso a la justicia (SSTC 64/2005, 130/2007) [FJ 3].</w:t>
      </w:r>
    </w:p>
    <w:p w:rsidR="0052098F" w:rsidRDefault="0052098F" w:rsidP="0052098F">
      <w:pPr>
        <w:pStyle w:val="Extracto"/>
      </w:pPr>
    </w:p>
    <w:p w:rsidR="0052098F" w:rsidRDefault="0052098F" w:rsidP="0052098F">
      <w:pPr>
        <w:pStyle w:val="Extracto"/>
      </w:pPr>
      <w:r>
        <w:t>3.</w:t>
      </w:r>
      <w:r>
        <w:tab/>
        <w:t>Cuando se impugna en amparo una resolución judicial confirmatoria de otras que han sido lógica y cronológicamente su presupuesto, debe considerarse que la impugnación se extiende también a las precedentes resoluciones judiciales confirmadas (STC 239/2005) [FJ 1].</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2477-2003, promovido por don José María Gómez García, representado por el Procurador de los Tribunales don Pablo Oterino Menéndez y asistido </w:t>
      </w:r>
      <w:r>
        <w:lastRenderedPageBreak/>
        <w:t>por la Letrada doña María Cruz Baño Riquelme, contra el Auto de 24 de marzo de 2003 de la Sección Primera de la Sala de lo Contencioso-Administrativo del Tribunal Superior de Justicia de Murcia por el que, desestimado el recurso de súplica frente a otro Auto anterior, declara caducado el recurso contencioso-administrativo intentado por el recurrente. Han intervenido el Ministerio Fiscal y la Letrada de la Comunidad Autónoma de la Región de Murcia. Ha sido Ponente el Magistrado don Roberto García-Calvo y Montiel,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28 de abril de 2003, don José María Gómez García interpuso recurso de amparo frente a la resolución antes señalada.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se fundamenta la demanda son, sucintamente expuestos, los siguientes: </w:t>
      </w:r>
    </w:p>
    <w:p w:rsidR="0052098F" w:rsidRDefault="0052098F" w:rsidP="0052098F">
      <w:pPr>
        <w:pStyle w:val="TextoNormal"/>
      </w:pPr>
      <w:r>
        <w:t xml:space="preserve">a) El recurrente interpuso recurso contencioso-administrativo ante el Tribunal Superior de Justicia de Murcia frente a una Orden de la Consejería de Agricultura, Agua y Medioambiente de la Comunidad Autónoma de la Región de Murcia sobre el reintegro parcial de una subvención, concediéndosele un plazo de veinte días para la formalización del escrito de demanda. Mediante Auto de 29 de octubre de 2001, notificado el 7 de noviembre, se acordó declarar caducado el recurso al no haberse formalizado la demanda en el plazo ofrecido. El recurrente, en aplicación del art. 52.2 de la Ley reguladora de la jurisdicción contenciosa-administrativa (en adelante LJCA) y entendiendo aplicable supletoriamente el art. 135 de la Ley de enjuiciamiento civil (en adelante LEC), con fecha 8 de noviembre, es decir el día hábil siguiente a la notificación del Auto de caducidad, presentó escrito de demanda. </w:t>
      </w:r>
    </w:p>
    <w:p w:rsidR="0052098F" w:rsidRDefault="0052098F" w:rsidP="0052098F">
      <w:pPr>
        <w:pStyle w:val="TextoNormal"/>
      </w:pPr>
      <w:r>
        <w:t xml:space="preserve">b) El Tribunal Superior de Justicia de Murcia por Auto de 12 de noviembre de 2001, en aplicación del art. 128 LJCA, acordó dejar sin efecto su anterior Auto de caducidad y tener por presentado en tiempo y forma el escrito de demanda, dando traslado a la parte demandada para la contestación de la misma. La Comunidad Autónoma de la Región de Murcia cumplimentando el trámite ofrecido solicitó la desestimación de la demanda, entre otros argumentos, porque se había interpuesto fuera del plazo que establece la LJCA, sin que, a su juicio, fuera aplicable supletoriamente el art. 135 LEC. </w:t>
      </w:r>
    </w:p>
    <w:p w:rsidR="0052098F" w:rsidRDefault="0052098F" w:rsidP="0052098F">
      <w:pPr>
        <w:pStyle w:val="TextoNormal"/>
      </w:pPr>
      <w:r>
        <w:t xml:space="preserve">c) El órgano judicial dictó Auto de 11 de febrero de 2003 por el que, estimando la petición de la parte demandada, declaró presentada fuera de plazo la demanda. El Tribunal Superior de Justicia de Murcia, reconsiderando su Auto de 12 de noviembre de 2001 que dejaba sin efecto, argumentó que, el art. 52.2 LJCA, cuando dispone que, no obstante haber sido declarada la caducidad se admitirá escrito de demanda y producirá sus efectos legales si se presentare dentro del día en que se notifica el Auto de caducidad, debe ser interpretado restrictivamente al configurarse como una excepción, por ello, habiendo sido notificado dicho Auto el 7 de noviembre, el plazo finalizaba a las 24 horas de ese día, no siendo aplicable la posibilidad que ofrece el art. 135 LEC. </w:t>
      </w:r>
    </w:p>
    <w:p w:rsidR="0052098F" w:rsidRDefault="0052098F" w:rsidP="0052098F">
      <w:pPr>
        <w:pStyle w:val="TextoNormal"/>
      </w:pPr>
      <w:r>
        <w:t xml:space="preserve">d) El recurrente interpuso recurso de súplica desestimado por el Auto de 24 de marzo de 2003 ahora recurrido en amparo, en el que el Tribunal argumenta que la pretendida aplicación supletoria del art. 135 LEC, es errónea ya que, en todo caso, dicho artículo se refiere a los escritos sujetos a plazo, y respecto al establecido para formalizar demanda, de veinte días, argumenta que podía entenderse “a efectos dialécticos que hasta las quince horas del </w:t>
      </w:r>
      <w:r>
        <w:lastRenderedPageBreak/>
        <w:t>día hábil siguiente al del vencimiento de dicho plazo de veinte días, hubiera podido presentarse el escrito de demanda, pero lo que resulta evidente es que, una vez notificado el auto declaratorio de caducidad el 7-11-2001, el actor únicamente podía ampararse en el apartado 2 del art. 52 de la LJCA … esto es, solamente podía admitirse el escrito de demanda si éste se hubiera presentado el 7- 11-2001”.</w:t>
      </w:r>
    </w:p>
    <w:p w:rsidR="0052098F" w:rsidRDefault="0052098F" w:rsidP="0052098F">
      <w:pPr>
        <w:pStyle w:val="TextoNormal"/>
      </w:pPr>
    </w:p>
    <w:p w:rsidR="0052098F" w:rsidRDefault="0052098F" w:rsidP="0052098F">
      <w:pPr>
        <w:pStyle w:val="TextoNormal"/>
      </w:pPr>
      <w:r w:rsidRPr="0052098F">
        <w:rPr>
          <w:rStyle w:val="NumeroAFNegritaCaracter"/>
        </w:rPr>
        <w:t>3</w:t>
      </w:r>
      <w:r>
        <w:t>. Considera el recurrente que se ha vulnerado su derecho a la tutela judicial efectiva, art. 24 CE, en su vertiente de acceso a la jurisdicción al habérsele impedido obtener una respuesta de fondo por parte del órgano judicial. Con base en su derecho a la integridad de los plazos y en la aplicación supletoria del art. 135 LEC por la imposibilidad material de presentar la demanda dentro del día en el que se notificó el Auto de caducidad, considera que la argumentación ofrecida en la resolución impugnada es errónea, irrazonable y arbitraria, ya que no existe la posibilidad de presentar escrito alguno dirigido al órgano judicial después de las quince horas; esta circunstancia, que infringiría el derecho disfrutar de la integridad de los plazos procesales, ha sido corregida, a su juicio, por el art. 135 LEC que considera aplicable con carácter supletorio al orden contencioso-administrativo.</w:t>
      </w:r>
    </w:p>
    <w:p w:rsidR="0052098F" w:rsidRDefault="0052098F" w:rsidP="0052098F">
      <w:pPr>
        <w:pStyle w:val="TextoNormal"/>
      </w:pPr>
    </w:p>
    <w:p w:rsidR="0052098F" w:rsidRDefault="0052098F" w:rsidP="0052098F">
      <w:pPr>
        <w:pStyle w:val="TextoNormal"/>
      </w:pPr>
      <w:r w:rsidRPr="0052098F">
        <w:rPr>
          <w:rStyle w:val="NumeroAFNegritaCaracter"/>
        </w:rPr>
        <w:t>4</w:t>
      </w:r>
      <w:r>
        <w:t>. Mediante providencia de la Sección Segunda de este Tribunal de 22 de diciembre de 2004, a tenor de lo dispuesto en el art. 50.3 LOTC se acordó conceder un plazo de diez días al Ministerio Fiscal y al solicitante de amparo, al objeto de que manifestaran su opinión sobre la posible falta de contenido de la demanda de amparo. El Ministerio Fiscal por escrito de 18 de enero de 2005, consideró que el recurso de amparo carecía de forma manifiesta de contenido constitucional. El recurrente, mediante escrito que tuvo entrada en este Tribunal el 21 de enero de 2005, reiteró su petición de amparo.</w:t>
      </w:r>
    </w:p>
    <w:p w:rsidR="0052098F" w:rsidRDefault="0052098F" w:rsidP="0052098F">
      <w:pPr>
        <w:pStyle w:val="TextoNormal"/>
      </w:pPr>
    </w:p>
    <w:p w:rsidR="0052098F" w:rsidRDefault="0052098F" w:rsidP="0052098F">
      <w:pPr>
        <w:pStyle w:val="TextoNormal"/>
      </w:pPr>
      <w:r w:rsidRPr="0052098F">
        <w:rPr>
          <w:rStyle w:val="NumeroAFNegritaCaracter"/>
        </w:rPr>
        <w:t>5</w:t>
      </w:r>
      <w:r>
        <w:t>. Por providencia de 22 de mayo de 2007, se acordó la admisión a trámite del presente recurso, requiriéndose al órgano judicial la remisión de las actuaciones judiciales; asimismo, se interesó para que se emplazara a quienes hubieran sido parte en el procedimiento judicial del que trae causa el presente procedimiento de amparo.</w:t>
      </w:r>
    </w:p>
    <w:p w:rsidR="0052098F" w:rsidRDefault="0052098F" w:rsidP="0052098F">
      <w:pPr>
        <w:pStyle w:val="TextoNormal"/>
      </w:pPr>
    </w:p>
    <w:p w:rsidR="0052098F" w:rsidRDefault="0052098F" w:rsidP="0052098F">
      <w:pPr>
        <w:pStyle w:val="TextoNormal"/>
      </w:pPr>
      <w:r w:rsidRPr="0052098F">
        <w:rPr>
          <w:rStyle w:val="NumeroAFNegritaCaracter"/>
        </w:rPr>
        <w:t>6</w:t>
      </w:r>
      <w:r>
        <w:t>. El Letrado de la Comunidad Autónoma de la Región de Murcia se personó mediante escrito de 21 de junio de 2007. Mediante diligencia de ordenación de 18 de julio de 2007 se acordó otorgar un plazo de veinte días a las partes personadas a la presentación de las correspondientes alegaciones.</w:t>
      </w:r>
    </w:p>
    <w:p w:rsidR="0052098F" w:rsidRDefault="0052098F" w:rsidP="0052098F">
      <w:pPr>
        <w:pStyle w:val="TextoNormal"/>
      </w:pPr>
    </w:p>
    <w:p w:rsidR="0052098F" w:rsidRDefault="0052098F" w:rsidP="0052098F">
      <w:pPr>
        <w:pStyle w:val="TextoNormal"/>
      </w:pPr>
      <w:r w:rsidRPr="0052098F">
        <w:rPr>
          <w:rStyle w:val="NumeroAFNegritaCaracter"/>
        </w:rPr>
        <w:t>7</w:t>
      </w:r>
      <w:r>
        <w:t>. El Ministerio Fiscal mediante escrito que tuvo entrada en el Registro de este Tribunal el 5 de octubre de 2005, solicitó la estimación del presente recurso de amparo. Consideró el Ministerio público que, conforme a la doctrina de este Tribunal en casos similares recogida, entre otras, en las SSTC 162/2005, 25/2007 y 159/2007, la interpretación efectuada por el Tribunal Superior de Justicia de Murcia, parte de una exégesis rigorista de los arts 52 y 128 LJCA, por lo que procede otorgar el amparo solicitado.</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La Letrada de la Comunidad Autónoma de la Región de Murcia mediante escrito de 10 de septiembre de 2007 formuló sus alegaciones solicitando la desestimación del recurso. En síntesis, argumenta que la demanda fue presentada fuera de plazo, que la LEC no es aplicable supletoriamente en esta aspecto a la regulación de la LJCA y, conforme con la </w:t>
      </w:r>
      <w:r>
        <w:lastRenderedPageBreak/>
        <w:t>argumentación ofrecida por el órgano judicial en la resolución impugnada, considera que debe aplicarse en sus propios términos el art. 52.2 LJCA y que el plazo debe darse por finalizado a las 24:00 horas del día en el que se notificó el Auto de caducidad.</w:t>
      </w:r>
    </w:p>
    <w:p w:rsidR="0052098F" w:rsidRDefault="0052098F" w:rsidP="0052098F">
      <w:pPr>
        <w:pStyle w:val="TextoNormal"/>
      </w:pPr>
    </w:p>
    <w:p w:rsidR="0052098F" w:rsidRDefault="0052098F" w:rsidP="0052098F">
      <w:pPr>
        <w:pStyle w:val="TextoNormal"/>
      </w:pPr>
      <w:r w:rsidRPr="0052098F">
        <w:rPr>
          <w:rStyle w:val="NumeroAFNegritaCaracter"/>
        </w:rPr>
        <w:t>9</w:t>
      </w:r>
      <w:r>
        <w:t>. La parte recurrente no presentó alegaciones.</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7 de febrero de 2008 se señaló para deliberación y votación de la presente Sentencia el día 11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demanda de amparo se dirige formalmente, tanto en el encabezamiento como en el suplico, contra el Auto dictado por la Sección Primera de la Sala de lo Contencioso- Administrativo del Tribunal Superior de Justicia de Murcia el 24 de marzo de 2003 que confirma en súplica su Auto anterior, de 11 de febrero, que declaró formalizada fuera de plazo la demanda del proceso contencioso-administrativo presentada al día siguiente de aquél en que se fue notificado el Auto de caducidad del recurso (art. 52.2 de la Ley de la jurisdicción contencioso-administrativa: LJCA). Ahora bien, la lesión constitucional que se denuncia en la demanda de amparo sería imputable en su origen al Auto de 11 de febrero de 2003, confirmado en súplica por el Auto de 24 de marzo, de modo que resulta obligado entender, pese a la determinación formal del objeto del recurso, que la demanda de amparo se dirige contra ambas resoluciones judiciales, de acuerdo con una reiterada doctrina constitucional según la cual, cuando se impugna en amparo una resolución judicial confirmatoria de otras que han sido lógica y cronológicamente su presupuesto, debe considerarse que la impugnación se extiende también a las precedentes resoluciones judiciales confirmadas (por todas, en un asunto sustancialmente idéntico, STC 239/2005, de 26 de septiembre, FJ 1).</w:t>
      </w:r>
    </w:p>
    <w:p w:rsidR="0052098F" w:rsidRDefault="0052098F" w:rsidP="0052098F">
      <w:pPr>
        <w:pStyle w:val="TextoNormal"/>
      </w:pPr>
    </w:p>
    <w:p w:rsidR="0052098F" w:rsidRDefault="0052098F" w:rsidP="0052098F">
      <w:pPr>
        <w:pStyle w:val="TextoNormal"/>
      </w:pPr>
      <w:r w:rsidRPr="0052098F">
        <w:rPr>
          <w:rStyle w:val="NumeroAFNegritaCaracter"/>
        </w:rPr>
        <w:t>2</w:t>
      </w:r>
      <w:r>
        <w:t>. El recurrente en amparo denuncia que la decisión judicial que declaró caducada su demanda por haberlo presentado el día siguiente a aquél en el cual se le notificó el Auto de caducidad, ha vulnerado su derecho a la tutela judicial efectiva en su vertiente de derecho de acceso a la jurisdicción. Alega al respecto que esa decisión judicial, que rechaza la aplicación supletoria de la previsión del art. 135.1 de la Ley de enjuiciamiento civil (LEC), se funda en una interpretación irrazonable y arbitraria de las normas procesales que ignora las exigencias del principio pro actione y le ha privado del derecho a disponer íntegramente del plazo legalmente establecido para formalizar la demanda (art. 24.1 CE).</w:t>
      </w:r>
    </w:p>
    <w:p w:rsidR="0052098F" w:rsidRDefault="0052098F" w:rsidP="0052098F">
      <w:pPr>
        <w:pStyle w:val="TextoNormal"/>
      </w:pPr>
      <w:r>
        <w:t>El Ministerio público se manifiesta a favor del otorgamiento del amparo interesado. En su criterio, aun cuando ciertamente las resoluciones judiciales impugnadas no pueden tacharse de arbitrarias, no superan sin embargo el canon constitucional que es exigible en la interpretación, conforme al principio pro actione, de los requisitos procesales, puesto que priva al demandante, sin la debida y razonable justificación, de su derecho a disfrutar en su integridad del correspondiente plazo legal que garantiza el derecho a la tutela judicial efectiva (art. 24.1 CE), según este Tribunal ha tenido ocasión de advertir últimamente (SSTC 64/2005, de 14 de marzo, y 335/2006, de 20 de noviembre).</w:t>
      </w:r>
    </w:p>
    <w:p w:rsidR="0052098F" w:rsidRDefault="0052098F" w:rsidP="0052098F">
      <w:pPr>
        <w:pStyle w:val="TextoNormal"/>
      </w:pPr>
      <w:r>
        <w:t xml:space="preserve">Por su parte, la Letrada de la Comunidad Autónoma de la Región de Murcia, considera que las resoluciones impugnadas no han vulnerado el derecho a la tutela judicial efectiva del recurrente. En línea con lo razonado por el órgano judicial, opina que el art. 135.1 LEC </w:t>
      </w:r>
      <w:r>
        <w:lastRenderedPageBreak/>
        <w:t>se aplica exclusivamente a la interposición de escritos sujetos a plazo y no rige, por tanto, en los supuestos de escritos sujetos a término, como entiende que es el caso del art. 52.2 LJCA, que permite, como excepción a la regla general y manifestación del principio pro actione, la admisión de la demanda formulada fuera de plazo.</w:t>
      </w:r>
    </w:p>
    <w:p w:rsidR="0052098F" w:rsidRDefault="0052098F" w:rsidP="0052098F">
      <w:pPr>
        <w:pStyle w:val="TextoNormal"/>
      </w:pPr>
    </w:p>
    <w:p w:rsidR="0052098F" w:rsidRDefault="0052098F" w:rsidP="0052098F">
      <w:pPr>
        <w:pStyle w:val="TextoNormal"/>
      </w:pPr>
      <w:r w:rsidRPr="0052098F">
        <w:rPr>
          <w:rStyle w:val="NumeroAFNegritaCaracter"/>
        </w:rPr>
        <w:t>3</w:t>
      </w:r>
      <w:r>
        <w:t>. La principal cuestión que plantea la presente demanda de amparo consiste en determinar si las resoluciones judiciales impugnadas han vulnerado o no, el derecho a la tutela judicial efectiva (art. 24.1 CE) del demandante de amparo al declarar que su escrito de demanda en el proceso contencioso-administrativo fue presentado fuera de plazo por no considerar de aplicación supletoria en el proceso contencioso-administrativo la regla establecida en el art. 135 LEC.</w:t>
      </w:r>
    </w:p>
    <w:p w:rsidR="0052098F" w:rsidRDefault="0052098F" w:rsidP="0052098F">
      <w:pPr>
        <w:pStyle w:val="TextoNormal"/>
      </w:pPr>
      <w:r>
        <w:t>No es ésta ciertamente, como bien apunta el Fiscal, la primera vez que este Tribunal resuelve demandas de amparo de contenido semejante y examina, desde la perspectiva del art. 24.1 CE, la cuestión de si interpretación judicial que niega la aplicación supletoria en el ámbito de la jurisdicción contenciosa-administrativa de la regla que previene el art. 135 LEC, con el doble argumento de que el art. 52.2 LJCA no fija en rigor un plazo para la presentación de escritos y de que la citada Ley jurisdiccional contiene una regulación específica y completa sobre la materia, es o no una respuesta judicial que respeta las exigencias del derecho a la tutela judicial efectiva en su vertiente de derecho de acceso a la jurisdicción.</w:t>
      </w:r>
    </w:p>
    <w:p w:rsidR="0052098F" w:rsidRDefault="0052098F" w:rsidP="0052098F">
      <w:pPr>
        <w:pStyle w:val="TextoNormal"/>
      </w:pPr>
      <w:r>
        <w:t>Dicha cuestión ha sido examinada por este Tribunal en repetidas ocasiones. Desde la primera STC 222/2003, de 15 de diciembre, hasta la más recientes, por todas, STC 130/2007, de 4 de junio, se ha consolidado la doctrina de este Tribunal que debe traerse a colación ahora para la resolución del presente recurso de amparo. Advertíamos entonces que “no corresponde a este Tribunal, sino a la jurisdicción ordinaria ... efectuar un pronunciamiento general acerca de si el art. 135.1 LEC es o no aplicable con carácter supletorio en el ámbito de la jurisdicción contencioso-administrativa, y mucho menos establecer un catálogo de los distintos supuestos de escritos sujetos a plazo contemplados en la Ley de la jurisdicción contencioso-administrativa cuya presentación puede ampararse en el indicado precepto” (STC 130/2007, de 4 de junio, FJ 4).  Como tampoco nos corresponde ahora definir si el art. 52.2 LJCA contempla un término o un plazo, ni determinar, en fin, qué consecuencias se siguen de asumir una u otra concepción. Debe insistirse, al respecto, que sólo nos corresponde dilucidar si la interpretación y la aplicación de las normas efectuadas por los órganos judiciales han sido o no respetuosas con el derecho a la tutela judicial efectiva del demandante de amparo y, en particular (como también está subrayado en la doctrina constitucional), si están fundadas en Derecho y, además, no revelan un rigor desproporcionado en relación con los fines que se tratan de proteger y el sacrificio que comportan.</w:t>
      </w:r>
    </w:p>
    <w:p w:rsidR="0052098F" w:rsidRDefault="0052098F" w:rsidP="0052098F">
      <w:pPr>
        <w:pStyle w:val="TextoNormal"/>
      </w:pPr>
      <w:r>
        <w:t>Con arreglo a este planteamiento debemos afirmar que la resolución judicial impugnada al argumentar que no cabe la aplicación supletoria del art. 135 LEC, y que una vez notificado el Auto de caducidad el actor únicamente podía presentar la demanda hasta las 24 horas del día en el que dicho Auto se notifica, no ofrece sin embargo respuesta a la cuestión capital de “cómo y dónde el demandante, en aplicación de esa pretendidamente completa regulación de la materia, debería haber presentado la demanda fuera del horario ordinario en el que permanece abierto el Registro para preservar su derecho a disponer del plazo en su integridad” (STC 343/2006, de 11 de diciembre, FJ 4, en la que se reproduce la doctrina de las SSTC 64/2005, de 14 de marzo, FJ 4; STC 239/2005, de 26 de septiembre, FJ 2; y 335/2006, de 20 de noviembre, FJ 4).  4. De conformidad con esta doctrina constitucional, forzoso es declarar que los Autos impugnados, que rechazaron por extemporánea la de</w:t>
      </w:r>
      <w:r>
        <w:lastRenderedPageBreak/>
        <w:t>manda contencioso-administrativa formulada por el recurrente, se fundan, desde la perspectiva del derecho de acceso a la jurisdicción (art.  24.1 CE), en una interpretación rigorista y desproporcionada de las normas procesales y, por tanto, en una interpretación contraria al derecho a la tutela judicial efectiva del recurrente, quien pudo razonablemente confiar en que la presentación de su demanda era tempestiva, dado el tenor literal de la regla del art. 135.1 LEC, el carácter genéricamente supletorio de la misma (art. 4 LEC) y la regulación de la actividad de los Juzgados de guardia. De modo que, como en los casos precedentes resueltos en fallos anteriores, procede también ahora el otorgamiento del amparo solicitado.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José María Gómez García y en consecuencia:</w:t>
      </w:r>
    </w:p>
    <w:p w:rsidR="0052098F" w:rsidRDefault="0052098F" w:rsidP="0052098F">
      <w:pPr>
        <w:pStyle w:val="TextoNormal"/>
      </w:pPr>
      <w:r>
        <w:t>1º Reconocer el derecho fundamental del recurrente a la tutela judicial efectiva (art. 24.1 CE).</w:t>
      </w:r>
    </w:p>
    <w:p w:rsidR="0052098F" w:rsidRDefault="0052098F" w:rsidP="0052098F">
      <w:pPr>
        <w:pStyle w:val="TextoNormal"/>
      </w:pPr>
      <w:r>
        <w:t>2º Anular los Autos de 11 de febrero y 24 de marzo de 2003 de la Sección Primera de la Sala de lo Contencioso-Administrativo del Tribunal Superior de Justicia de Murcia.</w:t>
      </w:r>
    </w:p>
    <w:p w:rsidR="0052098F" w:rsidRDefault="0052098F" w:rsidP="0052098F">
      <w:pPr>
        <w:pStyle w:val="TextoNormal"/>
      </w:pPr>
      <w:r>
        <w:t>3º Retrotraer las actuaciones al momento procesal oportuno para que se dicte la resolución que proceda con respeto al derecho fundamental reconocido.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once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8" w:name="SENTENCIA_2008_25"/>
      <w:r>
        <w:lastRenderedPageBreak/>
        <w:t>SENTENCIA 25/2008, de 11 de febrero de 2008</w:t>
      </w:r>
    </w:p>
    <w:bookmarkEnd w:id="28"/>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64, de 14 de febrero de 2008)</w:t>
      </w:r>
    </w:p>
    <w:p w:rsidR="0052098F" w:rsidRDefault="0052098F" w:rsidP="0052098F">
      <w:pPr>
        <w:pStyle w:val="TtuloBOE"/>
      </w:pPr>
    </w:p>
    <w:p w:rsidR="0052098F" w:rsidRDefault="0052098F" w:rsidP="0052098F">
      <w:pPr>
        <w:pStyle w:val="SntesisDescriptiva"/>
      </w:pPr>
      <w:r>
        <w:t>ECLI:ES:TC:2008:25</w:t>
      </w:r>
    </w:p>
    <w:p w:rsidR="0052098F" w:rsidRDefault="0052098F" w:rsidP="0052098F">
      <w:pPr>
        <w:pStyle w:val="SntesisDescriptiva"/>
      </w:pPr>
    </w:p>
    <w:p w:rsidR="0052098F" w:rsidRDefault="0052098F" w:rsidP="0052098F">
      <w:pPr>
        <w:pStyle w:val="SntesisDescriptiva"/>
      </w:pPr>
      <w:r>
        <w:t>Recurso de amparo 6540-2004. Promovido por don Agustín Iranzo Reig y otros frente a las Sentencias de la Sala de lo Contencioso-Administrativo del Tribunal Supremo y del Tribunal Superior de Justicia de la Comunidad Valenciana que estimaron la demanda de la comunidad de propietarios pero inadmitieron el de la familia Iranzo Tatay, en litigio por inactividad del Ayuntamiento de Valencia sobre ruidos de una discoteca en la plaza de la Legión Española.</w:t>
      </w:r>
    </w:p>
    <w:p w:rsidR="0052098F" w:rsidRDefault="0052098F" w:rsidP="0052098F">
      <w:pPr>
        <w:pStyle w:val="SntesisDescriptiva"/>
      </w:pPr>
    </w:p>
    <w:p w:rsidR="0052098F" w:rsidRDefault="0052098F" w:rsidP="0052098F">
      <w:pPr>
        <w:pStyle w:val="SntesisAnaltica"/>
      </w:pPr>
      <w:r>
        <w:t>Vulneración del derecho a la tutela judicial efectiva (acceso a la justicia): inadmisión de demanda contencioso-administrativa por falta de acreditación del domicilio, distinto al consignado en el poder para pleitos, tras inadmitir la documentación aportada para replicar a la contestación a la demanda en proceso de la Ley 62/1978.</w:t>
      </w:r>
    </w:p>
    <w:p w:rsidR="0052098F" w:rsidRDefault="0052098F" w:rsidP="0052098F">
      <w:pPr>
        <w:pStyle w:val="SntesisAnaltica"/>
      </w:pPr>
    </w:p>
    <w:p w:rsidR="0052098F" w:rsidRDefault="0052098F" w:rsidP="0052098F">
      <w:pPr>
        <w:pStyle w:val="Extracto"/>
      </w:pPr>
      <w:r>
        <w:t>1.</w:t>
      </w:r>
      <w:r>
        <w:tab/>
        <w:t>El órgano judicial realizó una interpretación rigorista y formalista de las reglas que regulan el procedimiento al declarar la falta de legitimación de los recurrentes por no considerar justificada su residencia en el domicilio, ya que previamente inadmitió un certificado de empadronamiento del cabeza de familia por presentarse fuera del trámite procesal oportuno [FJ 6].</w:t>
      </w:r>
    </w:p>
    <w:p w:rsidR="0052098F" w:rsidRDefault="0052098F" w:rsidP="0052098F">
      <w:pPr>
        <w:pStyle w:val="Extracto"/>
      </w:pPr>
    </w:p>
    <w:p w:rsidR="0052098F" w:rsidRDefault="0052098F" w:rsidP="0052098F">
      <w:pPr>
        <w:pStyle w:val="Extracto"/>
      </w:pPr>
      <w:r>
        <w:t>2.</w:t>
      </w:r>
      <w:r>
        <w:tab/>
        <w:t>El que se haya considerado que los recurrentes no residían en el domicilio de Valencia no constituye error patente, ya que la aportación del poder notarial con el domicilio del cabeza de familia en Barcelona es un error de los recurrentes no atribuible al órgano judicial [FJ 5].</w:t>
      </w:r>
    </w:p>
    <w:p w:rsidR="0052098F" w:rsidRDefault="0052098F" w:rsidP="0052098F">
      <w:pPr>
        <w:pStyle w:val="Extracto"/>
      </w:pPr>
    </w:p>
    <w:p w:rsidR="0052098F" w:rsidRDefault="0052098F" w:rsidP="0052098F">
      <w:pPr>
        <w:pStyle w:val="Extracto"/>
      </w:pPr>
      <w:r>
        <w:t>3.</w:t>
      </w:r>
      <w:r>
        <w:tab/>
        <w:t>Doctrina sobre el concepto de recurso manifiestamente improcedente (SSTC 53/2003, 6/2007) [FJ 3].</w:t>
      </w:r>
    </w:p>
    <w:p w:rsidR="0052098F" w:rsidRDefault="0052098F" w:rsidP="0052098F">
      <w:pPr>
        <w:pStyle w:val="Extracto"/>
      </w:pPr>
    </w:p>
    <w:p w:rsidR="0052098F" w:rsidRDefault="0052098F" w:rsidP="0052098F">
      <w:pPr>
        <w:pStyle w:val="Extracto"/>
      </w:pPr>
      <w:r>
        <w:t>4.</w:t>
      </w:r>
      <w:r>
        <w:tab/>
        <w:t>Doctrina sobre el error patente con relevancia constitucional (SSTC 37/2006, 117/2006) [FJ 5].</w:t>
      </w:r>
    </w:p>
    <w:p w:rsidR="0052098F" w:rsidRDefault="0052098F" w:rsidP="0052098F">
      <w:pPr>
        <w:pStyle w:val="Extracto"/>
      </w:pPr>
    </w:p>
    <w:p w:rsidR="0052098F" w:rsidRDefault="0052098F" w:rsidP="0052098F">
      <w:pPr>
        <w:pStyle w:val="Extracto"/>
      </w:pPr>
      <w:r>
        <w:t>5.</w:t>
      </w:r>
      <w:r>
        <w:tab/>
        <w:t>El rasgo esencial que define el domicilio a los efectos de la protección dispensada por el art. 18.2 CE reside en la aptitud para desarrollar en él vida privada y en su destino específico a tal desarrollo, aunque sea eventual (STC 10/2002) [FJ 6].</w:t>
      </w:r>
    </w:p>
    <w:p w:rsidR="0052098F" w:rsidRDefault="0052098F" w:rsidP="0052098F">
      <w:pPr>
        <w:pStyle w:val="Extracto"/>
      </w:pPr>
    </w:p>
    <w:p w:rsidR="0052098F" w:rsidRDefault="0052098F" w:rsidP="0052098F">
      <w:pPr>
        <w:pStyle w:val="Extracto"/>
      </w:pPr>
      <w:r>
        <w:t>6.</w:t>
      </w:r>
      <w:r>
        <w:tab/>
        <w:t>En los recursos de amparo mixtos el orden de enjuiciamiento de las quejas debe dar preferencia a aquella que de estimarse supondría la retroacción de actuaciones (SSTC 116/2006, 57/2006) [FJ 2].</w:t>
      </w:r>
    </w:p>
    <w:p w:rsidR="0052098F" w:rsidRDefault="0052098F" w:rsidP="0052098F">
      <w:pPr>
        <w:pStyle w:val="Extracto"/>
      </w:pPr>
    </w:p>
    <w:p w:rsidR="0052098F" w:rsidRDefault="0052098F" w:rsidP="0052098F">
      <w:pPr>
        <w:pStyle w:val="Extracto"/>
      </w:pPr>
      <w:r>
        <w:t>7.</w:t>
      </w:r>
      <w:r>
        <w:tab/>
        <w:t>No son admisibles los recursos de amparo formulados simultáneamente con algún recurso en los Tribunales ordinarios (SSTC 178/2002, 156/2006) [FJ 3].</w:t>
      </w:r>
    </w:p>
    <w:p w:rsidR="0052098F" w:rsidRDefault="0052098F" w:rsidP="0052098F">
      <w:pPr>
        <w:pStyle w:val="Extracto"/>
      </w:pPr>
    </w:p>
    <w:p w:rsidR="0052098F" w:rsidRDefault="0052098F" w:rsidP="0052098F">
      <w:pPr>
        <w:pStyle w:val="Extracto"/>
      </w:pPr>
      <w:r>
        <w:lastRenderedPageBreak/>
        <w:t>8.</w:t>
      </w:r>
      <w:r>
        <w:tab/>
        <w:t>El canon del derecho a la tutela judicial efectiva se refuerza cuando se impugna un acto o una omisión de la Administración por lesión de derechos fundamentales sustantivos (SSTC 112/1996, 10/2001) [FJ 6].</w:t>
      </w:r>
    </w:p>
    <w:p w:rsidR="0052098F" w:rsidRDefault="0052098F" w:rsidP="0052098F">
      <w:pPr>
        <w:pStyle w:val="Extracto"/>
      </w:pPr>
    </w:p>
    <w:p w:rsidR="0052098F" w:rsidRDefault="0052098F" w:rsidP="0052098F">
      <w:pPr>
        <w:pStyle w:val="Extracto"/>
      </w:pPr>
      <w:r>
        <w:t>9.</w:t>
      </w:r>
      <w:r>
        <w:tab/>
        <w:t>La lesión del derecho fundamental determina la retroacción de las actuaciones para que los recurrentes obtengan una resolución sobre el fondo de su pretensión, por lo que no se analizan el resto de las quejas planteadas [FJ 7].</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6540-2004, promovido por don Agustín Iranzo Reig y otros, representados por el Procurador de los Tribunales don Álvaro García San Miguel Hoover y asistidos por el Abogado don Andrés Morey Navarro, contra las Sentencias de 1 de junio de 1999 de la Sección Tercera de la Sala de lo Contencioso-Administrativo del Tribunal Superior de Justicia de la Comunidad Valenciana y 14 de septiembre de 2004 de la Sala de lo Contencioso- Administrativo del Tribunal Supremo. Ha sido parte el Ayuntamiento de Valencia y doña Estefanía Pitarch Guillard, que fue coadyuvante del Ayuntamiento de Valencia en el proceso de instancia. Ha intervenido el Ministerio Fiscal. Ha sido Ponente el Magistrado don Ramón Rodríguez Arribas,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3 de noviembre de 2004, el Procurador de los Tribunales don Álvaro García San Miguel Hoover, en nombre y representación de don Agustín Iranzo Reig y otros, interpuso recurso de amparo contra las resoluciones judiciales que se citan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tiene su origen el presente recurso y relevantes para su resolución son, sucintamente expuestos, los siguientes: </w:t>
      </w:r>
    </w:p>
    <w:p w:rsidR="0052098F" w:rsidRDefault="0052098F" w:rsidP="0052098F">
      <w:pPr>
        <w:pStyle w:val="TextoNormal"/>
      </w:pPr>
      <w:r>
        <w:t xml:space="preserve">a) Los recurrentes en amparo (familia Iranzo Tatay) formularon recurso contencioso- administrativo para la protección de sus derechos fundamentales, previsto en la hoy derogada Ley 62/1978, de 26 de diciembre, de protección jurisdiccional de los derechos fundamentales de la persona, junto con otros miembros de la Comunidad de propietarios de la finca sita en la Plaza La Legión Española núm. 13 de Valencia, contra la inactividad del </w:t>
      </w:r>
      <w:r>
        <w:lastRenderedPageBreak/>
        <w:t xml:space="preserve">Ayuntamiento de Valencia frente a los continuos ruidos y perturbaciones causados por una discoteca situada en los bajos del edificio. </w:t>
      </w:r>
    </w:p>
    <w:p w:rsidR="0052098F" w:rsidRDefault="0052098F" w:rsidP="0052098F">
      <w:pPr>
        <w:pStyle w:val="TextoNormal"/>
      </w:pPr>
      <w:r>
        <w:t xml:space="preserve">b) La Sentencia de 1 de junio de 1999 del Tribunal Superior de Justicia de Valencia, Sala de lo Contencioso-Administrativo, estimó el recurso para los miembros de la Comunidad de propietarios pero lo inadmitió respecto de la familia Iranzo Tatay por falta de legitimación activa. La Sentencia consideró que la citada familia tenía su domicilio en la C/Diputació de Barcelona núm. 256, donde además trabajaba el cabeza de familia. </w:t>
      </w:r>
    </w:p>
    <w:p w:rsidR="0052098F" w:rsidRDefault="0052098F" w:rsidP="0052098F">
      <w:pPr>
        <w:pStyle w:val="TextoNormal"/>
      </w:pPr>
      <w:r>
        <w:t xml:space="preserve">La objeción de inadmisibilidad había sido puesta de manifiesto por el Ayuntamiento de Valencia. Los recurrentes alegan que en la instancia se vieron sorprendidos por el señalamiento de fecha para dictar Sentencia en diciembre de 1998, sin que se les hubiera dado traslado de la contestación de la demanda, por lo que presentaron un escrito de 23 de diciembre de 1998 solicitando el trámite de contradicción respecto de las excepciones introducidas por el Ayuntamiento en su contestación a la demanda, documento del que sí tenían copia. Por providencia de 29 de diciembre de 1998 la Sala de lo Contencioso-Administrativo del Tribunal Superior de Justicia indicó que no estaba previsto un trámite de conclusiones en la Ley 62/1978, de 26 de diciembre. Los recurrentes presentaron recurso de súplica el 7 de enero de 1999 contra la anterior providencia insistiendo en la necesidad del trámite de alegaciones para combatir las excepciones introducidas por el Ayuntamiento en su contestación a la demanda. Por Auto de 12 de marzo de 1999 la Sala estimó el recurso de súplica y los recurrentes pudieron alegar en contra de la excepción planteada por el Ayuntamiento sobre el domicilio que constaba en el poder notarial utilizado por el matrimonio Iranzo, aportando el certificado de 30 de abril de 1997 de empadronamiento del cabeza de familia en Valencia desde el 17 de octubre de 1994. Documento que, aunque inicialmente admitido, fue inadmitido posteriormente por Auto de 10 de mayo de 1999, tras la impugnación del Ayuntamiento de Valencia. </w:t>
      </w:r>
    </w:p>
    <w:p w:rsidR="0052098F" w:rsidRDefault="0052098F" w:rsidP="0052098F">
      <w:pPr>
        <w:pStyle w:val="TextoNormal"/>
      </w:pPr>
      <w:r>
        <w:t xml:space="preserve">La Sentencia del Tribunal Superior de Justicia de 1 de junio de 1999 declaró la falta de legitimación activa de los recurrentes inadmitiendo su recurso contencioso-administrativo. La Sala consideró que la familia Iranzo Tatay no había justificado con certeza la residencia en el inmueble, que tampoco estaban empadronados en Valencia y que constaba en la escritura pública de poder para pleitos que acompañaron al escrito de interposición del recurso que su domicilio estaba en Barcelona. La Sentencia tuvo en cuenta, además, que la familia Iranzo Tatay, salvo en una ocasión, no había presentado escrito de denuncia o queja por las molestias provocadas por la discoteca. </w:t>
      </w:r>
    </w:p>
    <w:p w:rsidR="0052098F" w:rsidRDefault="0052098F" w:rsidP="0052098F">
      <w:pPr>
        <w:pStyle w:val="TextoNormal"/>
      </w:pPr>
      <w:r>
        <w:t xml:space="preserve">c) Frente a la Sentencia de 1 de junio de 1999 los recurrentes formularon recurso de casación ante la Sala de lo Contencioso-Administrativo del Tribunal Supremo. En el escrito de interposición se dijo, entre los motivos que servían de base al recurso de casación, que se interponía por infracción de las normas reguladoras de la Sentencia y de las que rigen los actos y garantías procesales (art. 88.1.3 LJCA), produciendo indefensión para la parte y habiéndose solicitado la subsanación en la instancia cuando se tuvo ocasión, tal como consta en el apartado anterior. </w:t>
      </w:r>
    </w:p>
    <w:p w:rsidR="0052098F" w:rsidRDefault="0052098F" w:rsidP="0052098F">
      <w:pPr>
        <w:pStyle w:val="TextoNormal"/>
      </w:pPr>
      <w:r>
        <w:t xml:space="preserve">La Sentencia de 14 de septiembre de 2004 del Tribunal Supremo desestimó el recurso de casación declarando que la inadmisión del recurso contencioso-administrativo se había fundado en hechos, como los relativos a que la familia no había justificado con certeza su residencia en la finca afectada por los ruidos, que son intangibles en casación, ya que ese recurso no permitía una nueva valoración de la prueba (fundamento de derecho 9). Tampoco admitió la Sala las alegaciones sobre la legitimación de los hijos del matrimonio, puesto que a ellos se extendió la oposición invocada por el Ayuntamiento por falta de legitimación activa, al no considerárseles perjudicados al igual a que a sus padres. Al respecto, la Sala señaló que </w:t>
      </w:r>
      <w:r>
        <w:lastRenderedPageBreak/>
        <w:t>la Sentencia impugnada no había producido indefensión a los demandantes de amparo, puesto que la inadmisión del recurso era una respuesta jurisdiccional tan válida como cualquier otra cuando se concreta en la ausencia de un presupuesto procesal como es la falta de legitimación activa de los recurrentes.</w:t>
      </w:r>
    </w:p>
    <w:p w:rsidR="0052098F" w:rsidRDefault="0052098F" w:rsidP="0052098F">
      <w:pPr>
        <w:pStyle w:val="TextoNormal"/>
      </w:pPr>
    </w:p>
    <w:p w:rsidR="0052098F" w:rsidRDefault="0052098F" w:rsidP="0052098F">
      <w:pPr>
        <w:pStyle w:val="TextoNormal"/>
      </w:pPr>
      <w:r w:rsidRPr="0052098F">
        <w:rPr>
          <w:rStyle w:val="NumeroAFNegritaCaracter"/>
        </w:rPr>
        <w:t>3</w:t>
      </w:r>
      <w:r>
        <w:t>. Los recurrentes fundamentan su demanda de amparo en la vulneración de sus derechos fundamentales a la integridad física (art. 15 CE) y a la inviolabilidad del domicilio (art. 18 CE), producida por la inactividad de la Administración frente a las denuncias constantes de ruidos en su domicilio y, además, aducen la lesión de su derecho fundamental a la tutela judicial efectiva sin indefensión (art. 24.1 CE), producida por la Sentencia de 1 de junio de 1999 del Tribunal Superior de Justicia de Valencia, con la inadmisión de su recurso contencioso-administrativo por falta de legitimación activa. Según la demanda de amparo, la Sentencia del Tribunal Superior de Justicia de Valencia incurrió en error patente al considerar que los recurrentes no residían en la finca donde se producían los ruidos, todo porque en el poder notarial otorgado por los recurrentes figuraba por error un domicilio en Barcelona y porque el certificado de empadronamiento del cabeza de familia fue inadmitido por extemporáneo por Auto de 10 de mayo de 1999. La lesión de sus derechos fundamentales habría sido confirmada por la Sentencia de 14 de septiembre de 2004 del Tribunal Supremo, que desestimó el recurso de casación formulado contra la Sentencia del Tribunal Superior de Justicia de Valencia, por ser los hechos controvertidos una cuestión intangible en casación.</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17 de octubre de 2006, la Sala Segunda de este Tribunal acordó la admisión a trámite de la demanda y, a tenor de lo dispuesto en el art. 51 LOTC, requerir atentamente a la Sala Tercera del Tribunal Supremo para que en el plazo de diez días remitiese certificación o fotocopia adverada de las actuaciones correspondientes al recurso de casación núm. 7250-1999. Asimismo, como obraban ya en esta Sala las actuaciones correspondientes al procedimiento núm. 728-1998, se ordenaba dirigir atenta comunicación a la Sección Tercera de la Sala de lo Contencioso-Administrativo del Tribunal Superior de Justicia de la Comunidad Valenciana para que emplazara a quienes fueron parte en el procedimiento, a excepción de los recurrentes en amparo, para que en el plazo de diez días pudieran comparecer en este proceso constitucional.</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23 de enero de 2007, la Sala Segunda de este Tribunal tuvo por personados y partes a los Procuradores doña Raquel Rujas Martín y Don Carmelo Olmos Gómez, en nombre y representación, respectivamente, de doña Estefanía Pitarch Guillard y del Ayuntamiento de Valencia, concediéndoles asimismo, junto con el Ministerio Fiscal, el plazo de veinte días, dentro de los cuales podrían presentar las alegaciones que estimasen pertinentes, conforme a lo establecido en el art. 52.1 LOTC.</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Mediante escrito que tuvo entrada en el Registro General de este Tribunal el día 16 de febrero de 2002 presentó alegaciones don Carmelo Olmos Gómez, Procurador de los Tribunales y del Ayuntamiento de Valencia, interesando la denegación del amparo solicitado. Alega el representante procesal del Ayuntamiento de Valencia que los recurrentes en amparo obtuvieron un pronunciamiento de fondo con la Sentencia del Tribunal Superior de Justicia de la Comunidad Valencia, así como por la Sentencia del Tribunal Supremo, porque la falta de legitimación apreciada por la primera resolución judicial no es una falta de legitimación ad processum, sino ad causam. Según el representante procesal del Ayuntamiento </w:t>
      </w:r>
      <w:r>
        <w:lastRenderedPageBreak/>
        <w:t>de Valencia, en las Sentencias impugnadas la falta de legitimación de los demandantes de amparo no se deduce únicamente del hecho de que los mismos no hubieran acreditado su residencia en el edificio, como pretenden los recurrentes de amparo, sino del hecho de que los demandantes de amparo no hubiesen acreditado con suficiente certeza que habían sido perjudicados por los ruidos y molestias de la discoteca, que es, en definitiva, lo que constituye el fundamento de la indemnización que se concede a favor del resto de los demandantes. Además, este pronunciamiento no deriva únicamente de la inadmisión del certificado de empadronamiento del Sr. Iranzo, sino también de la ausencia en el expediente administrativo de reclamaciones y denuncias por parte de los demandantes de amparo. La Sala valoró todas las alegaciones realizadas en el curso del proceso teniendo en cuenta esa falta de denuncias en el expediente administrativo.</w:t>
      </w:r>
    </w:p>
    <w:p w:rsidR="0052098F" w:rsidRDefault="0052098F" w:rsidP="0052098F">
      <w:pPr>
        <w:pStyle w:val="TextoNormal"/>
      </w:pPr>
    </w:p>
    <w:p w:rsidR="0052098F" w:rsidRDefault="0052098F" w:rsidP="0052098F">
      <w:pPr>
        <w:pStyle w:val="TextoNormal"/>
      </w:pPr>
      <w:r w:rsidRPr="0052098F">
        <w:rPr>
          <w:rStyle w:val="NumeroAFNegritaCaracter"/>
        </w:rPr>
        <w:t>7</w:t>
      </w:r>
      <w:r>
        <w:t>. Mediante escrito registrado en este Tribunal el 22 de febrero de 2007 presentó alegaciones la representante procesal de doña Estefanía Pitarch Guillard, coadyuvante del Ayuntamiento de Valencia en el procedimiento contencioso-administrativo, interesando la denegación del amparo solicitado. Alega esta parte, en primer lugar, que el recurso de amparo es extemporáneo porque debió interponerse en el plazo de veinte días desde que se notificó la Sentencia del Tribunal Superior de Justicia de Valencia y no esperar hasta que se resolvió el recurso de casación, recurso que era manifiestamente improcedente ya que carecía de fundamentación porque pretendía la revisión de los hechos, lo que excede del objeto del recurso de casación. Pero, además, en segundo lugar, alega esta parte que el error patente aducido se debió, no a la actuación del órgano judicial, sino a la de los demandantes de amparo, que dejaron consignar el domicilio de Barcelona en el poder notarial otorgado sin presentar su empadronamiento en el domicilio de Valencia junto con la demanda contencioso-administrativa.</w:t>
      </w:r>
    </w:p>
    <w:p w:rsidR="0052098F" w:rsidRDefault="0052098F" w:rsidP="0052098F">
      <w:pPr>
        <w:pStyle w:val="TextoNormal"/>
      </w:pPr>
    </w:p>
    <w:p w:rsidR="0052098F" w:rsidRDefault="0052098F" w:rsidP="0052098F">
      <w:pPr>
        <w:pStyle w:val="TextoNormal"/>
      </w:pPr>
      <w:r w:rsidRPr="0052098F">
        <w:rPr>
          <w:rStyle w:val="NumeroAFNegritaCaracter"/>
        </w:rPr>
        <w:t>8</w:t>
      </w:r>
      <w:r>
        <w:t>. La representación procesal de los demandantes de amparo formuló sus alegaciones mediante escrito que tuvo su entrada en el Registro de este Tribunal el día 22 de febrero de 2007, en el que sustancialmente se reproducen los argumentos ya expuestos en la demanda.</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día 28 de febrero de 2007 presentó sus alegaciones el Ministerio Fiscal, interesando el otorgamiento del amparo solicitado. En síntesis alega el Ministerio público que las resoluciones judiciales impugnadas, incluido el Auto de 10 de mayo de 1999 del Tribunal Superior de Justicia de la Comunidad Valenciana, realizaron una interpretación formalista y rigorista de los preceptos legales que regulan el procedimiento contencioso-administrativo. A pesar de que, formalmente, se abrió el trámite de audiencia y alegaciones frente a la contestación de la demanda del Ayuntamiento de Valencia, finalmente se impidió que los demandantes de amparo aportasen el certificado de empadronamiento donde constaba su domicilio en la finca de Valencia. Una vez inadmitido el certificado de empadronamiento por Auto de 10 de mayo de 1999, la Sentencia de 1 de junio de 1999 del Tribunal Superior de Justicia de la Comunidad Valenciana declaró la inadmisión del recurso contencioso-administrativo para los demandantes de amparo por falta de certeza sobre su residencia en el domicilio de Valencia. </w:t>
      </w:r>
    </w:p>
    <w:p w:rsidR="0052098F" w:rsidRDefault="0052098F" w:rsidP="0052098F">
      <w:pPr>
        <w:pStyle w:val="TextoNormal"/>
      </w:pPr>
      <w:r>
        <w:t xml:space="preserve">A pesar de que en la Sentencia se declara que los recurrentes no habían realizado denuncia a título privativo, salvo la que constaba en el folio 213 del expediente, a juicio del Ministerio Fiscal la revisión del expediente administrativo pone de manifiesto que los recurrentes en amparo estuvieron apoyando todas la iniciativas de la Comunidad para denunciar </w:t>
      </w:r>
      <w:r>
        <w:lastRenderedPageBreak/>
        <w:t>los ruidos de la discoteca, al igual que el resto de los vecinos. De ahí que, según alega el Ministerio público, la interpretación que realizó el órgano judicial no resultase conforme, ni con el concepto de domicilio de la doctrina constitucional, que no exige habitualidad porque puede ser un domicilio de fines de semana, que además es cuando las molestias por ruidos de la discoteca eran más intensas, ni con el canon reforzado que debe aplicarse para enjuiciar el respeto al derecho fundamental a la tutela judicial efectiva sin indefensión (art. 24.1 CE) cuando se impetra para la defensa de derechos sustantivos fundamentales, como ocurre en el caso de autos, que tiene su origen en el procedimiento para la protección de los derechos fundamentales de la Ley 62/1978, de 26 de diciembre, en defensa de los derechos fundamentales de los recurrentes a la integridad física (art. 15 CE) y a la inviolabilidad del domicilio (18.2 CE; SSTC 159/2006, de 22 de mayo, FJ 2; 108/2006, de 3 de abril, FJ 2, entre otras).</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7 de febrero de 2008 se señaló para deliberación y votación de la presente Sentencia, el día 11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presente recurso de amparo tiene por objeto determinar si se han lesionado los derechos fundamentales de los recurrentes en amparo a la integridad física (art. 15 CE) y a la inviolabilidad del domicilio (art. 18. 2 CE) por la inactividad de la Administración frente a las denuncias constantes de ruidos en su domicilio y, además, su derecho fundamental a la tutela judicial efectiva sin indefensión (art. 24.1 CE), supuestamente producida por la Sentencia de 1 de junio de 1999 del Tribunal Superior de Justicia de la Comunidad Valenciana, que, según se aduce en la demanda de amparo por error patente inadmitió el recurso contencioso-administrativo por falta de legitimación activa de los recurrentes en amparo, debido a ausencia de certeza sobre su residencia en la finca donde se producían los ruidos por la discoteca. Lesión que la demanda de amparo imputa implícitamente además al Auto de 10 de mayo de 1999 del mismo órgano judicial, que inadmitió el certificado de empadronamiento del cabeza de familia por extemporáneo. La Sentencia de 14 de septiembre de 2004 del Tribunal Supremo, que desestimó el recurso de casación, se impugna en cuanto confirmatoria de las lesiones producidas anteriormente.</w:t>
      </w:r>
    </w:p>
    <w:p w:rsidR="0052098F" w:rsidRDefault="0052098F" w:rsidP="0052098F">
      <w:pPr>
        <w:pStyle w:val="TextoNormal"/>
      </w:pPr>
      <w:r>
        <w:t>El representante legal del Ayuntamiento de Valencia interesa la denegación del amparo solicitado porque en las Sentencias impugnadas la falta de legitimación de los demandantes de amparo no se deduce, únicamente, del hecho de que los mismos no hubieran acreditado su residencia en el edificio, sino del hecho de que los demandantes de amparo no hubiesen acreditado con suficiente certeza los perjuicios sufridos por los ruidos y molestias de la discoteca, que es la base de la indemnización otorgada al resto de vecinos del inmueble. Esta falta de acreditación deriva no sólo de que no se les hubiese permitido aportar el certificado de empadronamiento en el inmueble, sino de la ausencia de reclamaciones y denuncias de los recurrentes en el propio expediente administrativo.</w:t>
      </w:r>
    </w:p>
    <w:p w:rsidR="0052098F" w:rsidRDefault="0052098F" w:rsidP="0052098F">
      <w:pPr>
        <w:pStyle w:val="TextoNormal"/>
      </w:pPr>
      <w:r>
        <w:t>La representante procesal de doña Estefanía Pitarch Guillard, coadyuvante del Ayuntamiento de Valencia en el procedimiento contencioso-administrativo, interesa la denegación del amparo solicitado. En primer lugar por ser extemporáneo el recurso de amparo, ya que debió formularse una vez recaída la Sentencia del Tribunal Superior de Justicia de la Co</w:t>
      </w:r>
      <w:r>
        <w:lastRenderedPageBreak/>
        <w:t>munidad Valenciana y, en segundo lugar, porque la indefensión aducida se debe a la actuación de los demandantes de amparo, que no aportaron el certificado de empadronamiento en el momento procesal oportuno.</w:t>
      </w:r>
    </w:p>
    <w:p w:rsidR="0052098F" w:rsidRDefault="0052098F" w:rsidP="0052098F">
      <w:pPr>
        <w:pStyle w:val="TextoNormal"/>
      </w:pPr>
      <w:r>
        <w:t>El Ministerio Fiscal interesa el otorgamiento del amparo solicitado porque la interpretación del órgano judicial sobre el momento procesal para aportar documentos decisivos, como el certificado de empadronamiento, resulta contraria a la efectividad del principio pro actione y lesiona el derecho de los recurrentes a la tutela judicial efectiva sin indefensión (art. 24.1 CE). Esa interpretación no tuvo en cuenta, ni el concepto constitucional de domicilio, ni el canon reforzado aplicable al derecho fundamental a la tutela judicial efectiva sin indefensión cuando éste se impetra para la defensa de derechos fundamentales sustantivos, como en el caso de autos respecto de los derechos fundamentales a la integridad física (art. 15 CE) y a la inviolabilidad del domicilio (art. 18.2 CE).</w:t>
      </w:r>
    </w:p>
    <w:p w:rsidR="0052098F" w:rsidRDefault="0052098F" w:rsidP="0052098F">
      <w:pPr>
        <w:pStyle w:val="TextoNormal"/>
      </w:pPr>
    </w:p>
    <w:p w:rsidR="0052098F" w:rsidRDefault="0052098F" w:rsidP="0052098F">
      <w:pPr>
        <w:pStyle w:val="TextoNormal"/>
      </w:pPr>
      <w:r w:rsidRPr="0052098F">
        <w:rPr>
          <w:rStyle w:val="NumeroAFNegritaCaracter"/>
        </w:rPr>
        <w:t>2</w:t>
      </w:r>
      <w:r>
        <w:t>. En la demanda de amparo se aduce la lesión de derechos fundamentales de los recurrentes a la integridad física (art. 15 CE) y a la inviolabilidad del domicilio (art. 18.2 CE) imputada a la inactividad de la Administración, pero, además, se aduce, asimismo, la lesión del derecho fundamental a la tutela judicial efectiva sin indefensión (art. 24.1 CE) producida por las resoluciones judiciales impugnadas. Nos encontramos ante un recurso de amparo de los denominados mixtos (arts. 43 y 44 LOTC), en el que el orden de enjuiciamiento de las quejas debe, de acuerdo con la doctrina constitucional, dar preferencia a aquella que de estimarse supondría la retroacción de las actuaciones. En el caso de autos corresponde, por tanto, iniciar nuestro enjuiciamiento examinando la queja sobre la supuesta lesión del derecho fundamental de los recurrentes a la tutela judicial efectiva sin indefensión (art. 24.1 CE), que de estimarse haría innecesario continuar el enjuiciamiento sobre la supuesta vulneración de los derechos fundamentales sustantivos porque comportaría la nulidad de las resoluciones judiciales y la retroacción de actuaciones (SSTC 116/2006, de 24 de abril, FJ 2; 73/2006, de 13 de marzo, FJ 2; 57/2006, de 27 de febrero, FJ 2).</w:t>
      </w:r>
    </w:p>
    <w:p w:rsidR="0052098F" w:rsidRDefault="0052098F" w:rsidP="0052098F">
      <w:pPr>
        <w:pStyle w:val="TextoNormal"/>
      </w:pPr>
      <w:r>
        <w:t>Ahora bien, con carácter previo al enjuiciamiento de fondo de las quejas debemos examinar el óbice procesal formulado por la representante procesal de doña Estefanía Pitarch Guillard sobre la extemporaneidad del recurso de amparo, para continuar, en su caso, con el análisis de fondo de las quejas por el orden referido.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La representante procesal de doña Estefanía Pitarch Guillard, coadyuvante del Ayuntamiento de Valencia en el procedimiento contencioso-administrativo, interesa la inadmisión del recurso de amparo por extemporáneo, ya que se interpuso el 3 de noviembre de 2004, después de recaída la Sentencia de 14 de septiembre de 2004 del Tribunal Supremo que, según consta en las actuaciones, fue notificada a los recurrentes el 4 de octubre de 2004. Según alega esta parte, los recurrentes debían haber formulado el recurso de amparo una vez notificada la Sentencia de 1 de junio de 1999 del Tribunal Superior de Justicia de la Comunidad Valenciana, o bien haber simultaneado el recuso de amparo con el recurso de casación, aduciendo ante este Tribunal la indefensión que les causaba la valoración de la prueba realizada por la Sentencia del Tribunal Superior de Justicia de la Comunidad Valenciana y formulando el recurso de casación para depurar cuestiones que el Tribunal Supremo sí podía analizar y resolver. Lo que pretendían los demandantes de amparo al formular el recurso de casación, según alega esta parte, era una nueva valoración de la prueba practicada en la instancia que subsanase el error cometido cuando el cabeza de familia presentó un </w:t>
      </w:r>
      <w:r>
        <w:lastRenderedPageBreak/>
        <w:t>poder notarial donde figuraba su domicilio de Barcelona, lo que excede del objeto del recurso de casación, como demuestra el hecho de que la Sentencia de 14 de octubre de 2004 del Tribunal Supremo lo desestimase.</w:t>
      </w:r>
    </w:p>
    <w:p w:rsidR="0052098F" w:rsidRDefault="0052098F" w:rsidP="0052098F">
      <w:pPr>
        <w:pStyle w:val="TextoNormal"/>
      </w:pPr>
      <w:r>
        <w:t>Pues bien, contrariamente a lo que alega la representante legal de doña Estefanía Pitarch Guillard, el recurso de amparo debe formularse una vez agotada la vía judicial previa (arts. 43.1 y 44.1.a LOTC), requisito insubsanable que, de incumplirse, daría lugar a la inadmisión del recurso de amparo (art. 50.1.a LOTC) y que tiene por finalidad preservar el carácter subsidiario del recurso de amparo respecto de los recursos ordinarios legalmente previstos para garantizar la correcta articulación entre las competencias de este Tribunal y de los órganos integrantes del Poder Judicial, a quienes primeramente corresponde la reparación de las posibles lesiones de derechos invocadas por los ciudadanos (SSTC 178/2002, de 14 de octubre, FJ 4; 156/2006, de 22 de mayo, FJ 1). No son admisibles, por tanto, los recursos de amparo formulados simultáneamente con algún recurso en los Tribunales ordinarios.</w:t>
      </w:r>
    </w:p>
    <w:p w:rsidR="0052098F" w:rsidRDefault="0052098F" w:rsidP="0052098F">
      <w:pPr>
        <w:pStyle w:val="TextoNormal"/>
      </w:pPr>
      <w:r>
        <w:t>Cuestión distinta es que pueda considerarse el recurso de casación como remedio manifiestamente improcedente a los efectos de considerar, como hace esta parte, el recurso de amparo extemporáneo. Para contextualizar esta alegación debemos remitirnos a lo expuesto en los antecedentes de hecho, recordando lo que este Tribunal tiene declarado, sobre el carácter manifiestamente improcedente de un recurso, esto es que la armonización de las exigencias del principio de seguridad jurídica (art.  9.3 CE) y el derecho a la tutela judicial efectiva (art. 24.1 CE) conducen a una aplicación restrictiva del concepto de recurso improcedente, limitándolo a los casos en que tal improcedencia derive de manera terminante, clara e inequívoca del propio texto legal (STC 53/2003, de 24 de marzo, FJ 2 y, más recientemente, 325/2006, de 20 de noviembre, FJ 2, y 6/2007, de 15 de enero, FJ 2). En el caso de autos no es posible afirmar que la improcedencia del recurso de casación era manifiesta. En primer lugar, porque los recurrentes lo formularon al amparo de lo dispuesto en la letra b) del apartado segundo del art. 86 de la Ley 29/1998, de 13 de julio, de la jurisdicción contencioso-administrativa, que establece que las Sentencias dictadas en única instancia por las Salas de lo Contencioso-Administrativo de los Tribunales Superiores de Justicia serán susceptibles de recurso de casación “cuando se trate del procedimiento especial para la defensa de los derechos fundamentales”, como era en el caso de autos. Pero, además, en segundo lugar, porque el recurso de casación fue, en principio, admitido aunque fuese posteriormente desestimado. Estos datos nos permiten concluir que, de acuerdo con la doctrina constitucional expuesta, no nos encontramos ante un recurso manifiestamente improcedente. En consecuencia, no es posible considerar el recurso de amparo extemporáneo, en contra de lo alegado por la representante procesal de doña Estefanía Pitarch Guillard, por lo que procede enjuiciar las quejas aducidas por los recurrentes en amparo.</w:t>
      </w:r>
    </w:p>
    <w:p w:rsidR="0052098F" w:rsidRDefault="0052098F" w:rsidP="0052098F">
      <w:pPr>
        <w:pStyle w:val="TextoNormal"/>
      </w:pPr>
    </w:p>
    <w:p w:rsidR="0052098F" w:rsidRDefault="0052098F" w:rsidP="0052098F">
      <w:pPr>
        <w:pStyle w:val="TextoNormal"/>
      </w:pPr>
      <w:r w:rsidRPr="0052098F">
        <w:rPr>
          <w:rStyle w:val="NumeroAFNegritaCaracter"/>
        </w:rPr>
        <w:t>4</w:t>
      </w:r>
      <w:r>
        <w:t>. Una vez rechazado el óbice procesal debemos comenzar el enjuiciamiento de la queja sobre la lesión del derecho fundamental de los recurrentes a la tutela judicial efectiva sin indefensión (art. 24.1 CE), que supuestamente habría provocado la Sentencia de 1 de junio de 1999 del Tribunal Superior de Justicia de la Comunidad Valenciana al inadmitir el recurso contencioso-administrativo de los recurrentes por carecer de legitimación activa.</w:t>
      </w:r>
    </w:p>
    <w:p w:rsidR="0052098F" w:rsidRDefault="0052098F" w:rsidP="0052098F">
      <w:pPr>
        <w:pStyle w:val="TextoNormal"/>
      </w:pPr>
      <w:r>
        <w:t xml:space="preserve">Se aduce en la demanda de amparo que el Auto de 10 de mayo de 1999 del Tribunal Superior de Justicia de la Comunidad Valenciana privó a los recurrentes de la posibilidad de desvirtuar la excepción opuesta por el Ayuntamiento de Valencia sobre su falta de legitimación activa al rechazar la aportación del certificado de empadronamiento del Sr. Iranzo en el domicilio de Valencia, limitando el debate a rebatir la extemporaneidad del recurso contencioso-administrativo alegada por el Ayuntamiento.  Según lo aducido en la demanda </w:t>
      </w:r>
      <w:r>
        <w:lastRenderedPageBreak/>
        <w:t>de amparo, la impugnada Sentencia del Tribunal Superior de Justicia habría causado indefensión a los recurrentes porque la Sala, sin respetar el principio pro actione, interpretó de forma rigorista y formalista las disposiciones que regulaban la aportación de documentos en el procedimiento especial para la defensa de los derechos fundamentales de la persona establecido por la Ley 62/1978, de 26 de diciembre, impidiendo con el Auto de 10 de mayo de 1999 la aportación del certificado de empadronamiento porque no era el momento procesal oportuno para, posteriormente, dictar Sentencia declarando la falta de legitimación activa de los recurrentes en amparo porque no habían acreditado, con certeza, su residencia en el domicilio de Valencia. El error cometido al consignar el domicilio de trabajo del cabeza de familia en Barcelona en el poder notarial no pudo ser reparado por los recurrentes debido a la actitud del órgano judicial que les causó indefensión, según sostienen en la demanda de amparo.</w:t>
      </w:r>
    </w:p>
    <w:p w:rsidR="0052098F" w:rsidRDefault="0052098F" w:rsidP="0052098F">
      <w:pPr>
        <w:pStyle w:val="TextoNormal"/>
      </w:pPr>
      <w:r>
        <w:t>Respecto al derecho fundamental a la tutela judicial efectiva sin indefensión (art. 24.1 CE) este Tribunal tiene declarado que garantiza el derecho a obtener una resolución de fondo “razonada, motivada, fundada en Derecho y congruente con las pretensiones oportunamente deducidas por las partes” (SSTC 86/2000, de 27 de marzo, FJ 4; 243/2005, de 10 de octubre, FJ 3; 117/2006, de 24 de abril, FJ 3; 1/2007, de 15 de enero, FJ 2), con independencia de que ésta sea favorable o desfavorable a los intereses de la parte recurrente, pero que este derecho también se satisface con la obtención de una resolución de inadmisión fundada en la existencia de una causa legal que lo justifique, siempre que esa causa sea aplicada razonablemente por el órgano judicial (STC 132/2005, de 23 de mayo, FJ 4). Tenemos declarado que el primer contenido del derecho a la tutela judicial efectiva de los Jueces y Tribunales es el derecho de acceso a la jurisdicción (STC 124/2002, de 20 de mayo, FJ 3), “con respecto al cual el principio pro actione actúa con toda su intensidad, por lo que las decisiones de inadmisión sólo serán conformes con el art. 24.1 CE cuando no eliminen u obstaculicen injustificadamente el derecho a que un órgano judicial conozca y resuelva la pretensión formulada” (STC 132/2005, de 23 de mayo, FJ 4). En general, el control sobre la concurrencia de los requisitos procesales y materiales para la válida constitución del proceso constituye una cuestión de legalidad ordinaria que corresponde realizar a los Jueces y Tribunales en ejercicio de la potestad jurisdiccional conferida por el art. 117.3 CE. Este Tribunal es competente, a su vez, para controlar aquellas decisiones judiciales en las que la interpretación efectuada por el órgano judicial sea arbitraria, manifiestamente irrazonable o fruto de un error patente y, cuando del acceso a la jurisdicción se trata, en los casos en que dicha normativa se interprete de forma rigorista, excesivamente formalista o desproporcionada en relación con los fines que preserva y los intereses que se sacrifican (SSTC 231/2001, de 26 de noviembre, FJ 2; 132/2005, de 23 de mayo, FJ 4; 243/2005, de 10 de octubre, FJ 3).</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Para determinar si en el caso enjuiciado se ha producido una vulneración del derecho de acceso a la jurisdicción es necesario recordar brevemente los términos en los que las Sentencias impugnadas resuelven el asunto litigioso. Los recurrentes presentaron un escrito el 24 de marzo de 1999 al que acompañaban diversa documentación, entre ella el certificado de empadronamiento de la familia en el domicilio de Valencia, con el fin de combatir la excepción de falta de legitimación activa planteada por el Ayuntamiento de Valencia. Por providencia de 25 de marzo de 1999 la Sala accedió a la incorporación de esos documentos pero la representación procesal del Ayuntamiento de Valencia interpuso recurso de súplica contra la citada providencia. El Auto de 10 de mayo de 1999 anuló la providencia rehusando </w:t>
      </w:r>
      <w:r>
        <w:lastRenderedPageBreak/>
        <w:t>incorporar el certificado de empadronamiento del Sr. Iranzo porque no lo aportó en el momento procesal oportuno a pesar de que el certificado estaba en su poder desde el 30 de abril de 1997.  Posteriormente la Sentencia de 1 de junio de 1999 del Tribunal Superior de Justicia de la Comunidad Valenciana inadmitió el recurso contencioso-administrativo respecto de la familia Iranzo Tatay por falta de legitimación activa, al no haber justificado con certeza su residencia en el inmueble de Valencia donde se producían los ruidos de la discoteca, todo ello a la vista de que en el poder notarial aportado se consignó un domicilio en Barcelona y de la ausencia de escritos de queja o denuncias por parte de esta familia en el expediente administrativo. La Sentencia de 14 de septiembre de 2004 del Tribunal Supremo desestimó el recurso de casación formulado por los recurrentes, declarando que el Auto de 12 de marzo de 1999 del Tribunal Superior de Justicia de la Comunidad Valenciana subsanó toda omisión procesal sin que los recurrentes hubiesen sufrido indefensión en ningún momento, y que, además, la apreciación de la no certeza de la residencia es intangible en casación.</w:t>
      </w:r>
    </w:p>
    <w:p w:rsidR="0052098F" w:rsidRDefault="0052098F" w:rsidP="0052098F">
      <w:pPr>
        <w:pStyle w:val="TextoNormal"/>
      </w:pPr>
      <w:r>
        <w:t>Resulta claro ya en este punto que la Sentencia de 1 de junio de 1999 del Tribunal Superior de Justicia de la Comunidad Valenciana no incurrió en error patente al considerar que los recurrentes no residían en el domicilio de Valencia, tal como se aduce en la demanda de amparo. Y ello porque, de acuerdo con la doctrina constitucional, para que el error tenga relevancia constitucional este Tribunal exige que el error sea determinante de la decisión adoptada; esto es, que constituya el soporte único o básico de la resolución (ratio decidendi); que sea atribuible al órgano judicial, así como que no sea imputable a la negligencia de la parte, ya que, en caso contrario, no existirá en sentido estricto una vulneración del derecho fundamental; ha de ser de carácter eminentemente fáctico, además de patente, es decir, inmediatamente verificable de forma incontrovertible a partir de las actuaciones judiciales y, por último, ha de producir efectos negativos en la esfera del ciudadano, de modo que las meras inexactitudes que no produzcan efectos para las partes carecen de relevancia constitucional (SSTC 37/2006, de 13 de febrero, FJ 3; 117/2006, de 24 de abril, FJ 4).</w:t>
      </w:r>
    </w:p>
    <w:p w:rsidR="0052098F" w:rsidRDefault="0052098F" w:rsidP="0052098F">
      <w:pPr>
        <w:pStyle w:val="TextoNormal"/>
      </w:pPr>
      <w:r>
        <w:t>En el caso de autos la aportación del poder notarial con el domicilio del cabeza de familia en Barcelona fue, en su caso, un error de los recurrentes que no es atribuible al órgano judicial. Además, como alega el Ministerio Fiscal, del expediente administrativo no se deduzca la ausencia de escritos de quejas y reclamaciones formuladas por la familia Iranzo Tatay que, además de soportar los ruidos de la discoteca y la pasividad de la Administración al respecto, como reconoció la Sentencia de 1 de junio de 1999 del Tribunal Superior de Justicia de la Comunidad de Valencia respecto de los otros vecinos del inmueble, tuvo que soportar un exceso de rigor y formalismo en la interpretación que realizó la Sala sobre el momento procesal oportuno para aportar el certificado de empadronamiento que, cuando se produce el Auto de 10 de mayo de 1999 que lo inadmite, resultaba un documento clave para apoyar la legitimación activa de los recurrentes en amparo. Legitimación activa que, en todo caso, se deriva del interés legítimo que ostentaban los demandantes de amparo en la cesación de los ruidos de la discoteca que se estaban produciendo en su domicilio y no del certificado de empadronamiento en el mismo.</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Ahora bien, lo que sí se deduce de las actuaciones es que el órgano judicial realizó una interpretación rigorista y formalista de las reglas que regulaban el procedimiento especial para la defensa de los derechos fundamentales de la persona establecido en la Ley 62/1978, de 26 de diciembre, que no fue respetuosa con el derecho fundamental de los recurrentes a la tutela judicial efectiva sin indefensión (art. 24.1 CE). Y ello porque, si un contenido de este derecho es el principio pro actione, la Sala debió tener en cuenta que la </w:t>
      </w:r>
      <w:r>
        <w:lastRenderedPageBreak/>
        <w:t>inadmisión del certificado de empadronamiento del Sr. Iranzo por ser aportado en un momento procesal posterior al oportuno, esto es, cuando se puso de manifiesto la excepción de falta de legitimación activa por parte del Ayuntamiento de Valencia en la contestación a la demanda, podía derivar en la inadmisión del recurso contencioso-administrativo que se había formulado por el procedimiento especial para la protección de los derechos fundamentales reconocidos en los arts.  15 y 18.2 CE y, en definitiva, podía suponer, como así fue, la lesión del derecho fundamental de los recurrentes a la tutela judicial efectiva sin indefensión (art. 24. 1 CE).</w:t>
      </w:r>
    </w:p>
    <w:p w:rsidR="0052098F" w:rsidRDefault="0052098F" w:rsidP="0052098F">
      <w:pPr>
        <w:pStyle w:val="TextoNormal"/>
      </w:pPr>
      <w:r>
        <w:t>Las Sentencias impugnadas no tuvieron en cuenta que el canon del derecho fundamental a la tutela judicial efectiva sin indefensión (art. 24.1 CE) se refuerza cuando se impugna un acto o, como en este caso, una omisión de la Administración por lesión de derechos fundamentales sustantivos, como los derechos fundamentales a la integridad física (art. 15) y a la inviolabilidad del domicilio (art. 18.2 CE) de los recurrentes. Este Tribunal tiene declarado que, en estos casos, “el control del pronunciamiento judicial que deniega la tramitación de la demanda y su resolución de fondo requiere, así pues, un mayor rigor (STC 112/1996, de 24 de junio)” (STC 10/2001, de 29 de enero, FJ 4).</w:t>
      </w:r>
    </w:p>
    <w:p w:rsidR="0052098F" w:rsidRDefault="0052098F" w:rsidP="0052098F">
      <w:pPr>
        <w:pStyle w:val="TextoNormal"/>
      </w:pPr>
      <w:r>
        <w:t>La Sentencia de 1 de junio de 1999 del Tribunal Superior de Justicia de la Comunidad Valenciana accedió a la excepción opuesta por el Ayuntamiento de Valencia sobre la falta de justificación del empadronamiento de los recurrentes declarando que la familia Iranzo “no ha justificado, con certeza, la residencia en dicho inmueble, constando en la escritura pública de poder para pleitos que éstos acompañaron al escrito de interposición del contencioso que su domicilio (30.1.1998) es el de la calle Diputación 256 de Barcelona y sin que aparezca en el expediente administrativo que éstos presentaron escrito privativo alguno de queja o denuncia ante el funcionamiento molesto de la discoteca Jardines del Real más allá del que obra en el folio 213” (fundamento de Derecho undécimo). En contra de lo alegado por el representante procesal del Ayuntamiento de Valencia, no podemos afirmar que la Sala declarase la falta de legitimación de los recurrentes porque no estaba justificado que habían sufrido las molestias y ruidos producidos por la discoteca que lo hizo, sino porque no se consideró justificada su residencia en el domicilio, cuando previamente la Sala inadmitió el certificado de empadronamiento del cabeza de familia en Valencia por presentarse fuera del trámite procesal oportuno y, además, cuando de las actuaciones se deduce, de acuerdo con lo alegado por el Ministerio Fiscal, que la familia Iranzo participó en todo el proceso de denuncia de las molestias y ruidos que causaba la discoteca (dejando entrar a la policía, etc.)  aunque no fuera a título individual con la presentación de escritos de denuncia, algo lógico, si tenemos en cuenta que el problema afectaba a todos los vecinos y no sólo a la familia Iranzo Tatay, integrados en la comunidad de propietarios de la casa núm. 13 de la calle de la Legión Española de la ciudad de Valencia.</w:t>
      </w:r>
    </w:p>
    <w:p w:rsidR="0052098F" w:rsidRDefault="0052098F" w:rsidP="0052098F">
      <w:pPr>
        <w:pStyle w:val="TextoNormal"/>
      </w:pPr>
      <w:r>
        <w:t xml:space="preserve">Pero, además, la interpretación formalista y rigorista de las disposiciones que regulaban el proceso especial para la defensa de los derechos fundamentales de la persona que realizó la Sentencia de 1 de junio de 1999 del Tribunal Superior de Justicia de la Comunidad Valenciana y que impidió a los recurrentes aportar el certificado de empadronamiento, no tuvo en cuenta, lo alegado aquí por el Ministerio Fiscal, de que “el rasgo esencial que define el domicilio a los efectos de la protección dispensada por el art. 18.2 CE reside en la aptitud para desarrollar en él vida privada y en su destino específico a tal desarrollo aunque sea eventual” (STC 10/2002, de 17 de enero, FJ 7). Eventualidad que, de seguirse la tesis sostenida por la Sentencia del Tribunal Superior de Justicia, sería predicable del Sr. Iranzo y su esposa, pero no de sus hijos, quienes otorgaron poder apud acta designando el domicilio </w:t>
      </w:r>
      <w:r>
        <w:lastRenderedPageBreak/>
        <w:t>de Valencia como residencia habitual ante el Secretario judicial del Tribunal Superior de Justicia de la Comunidad Valenciana.</w:t>
      </w:r>
    </w:p>
    <w:p w:rsidR="0052098F" w:rsidRDefault="0052098F" w:rsidP="0052098F">
      <w:pPr>
        <w:pStyle w:val="TextoNormal"/>
      </w:pPr>
    </w:p>
    <w:p w:rsidR="0052098F" w:rsidRDefault="0052098F" w:rsidP="0052098F">
      <w:pPr>
        <w:pStyle w:val="TextoNormal"/>
      </w:pPr>
      <w:r w:rsidRPr="0052098F">
        <w:rPr>
          <w:rStyle w:val="NumeroAFNegritaCaracter"/>
        </w:rPr>
        <w:t>7</w:t>
      </w:r>
      <w:r>
        <w:t>. En función de lo expuesto, debemos concluir que la Sentencia de 1 de junio de 1999 del Tribunal Superior de Justicia de la Comunidad Valenciana lesionó el derecho fundamental de los recurrentes a la tutela judicial efectiva sin indefensión (art.  24.1 CE). Lesión que no fue subsanada por la Sentencia de 14 de septiembre de 2004 del Tribunal Supremo, que desestimó el recurso de casación.</w:t>
      </w:r>
    </w:p>
    <w:p w:rsidR="0052098F" w:rsidRDefault="0052098F" w:rsidP="0052098F">
      <w:pPr>
        <w:pStyle w:val="TextoNormal"/>
      </w:pPr>
      <w:r>
        <w:t>Por otra parte la lesión del derecho fundamental de los recurrentes a la tutela judicial efectiva sin indefensión (art. 24.1 CE) que produjeron las resoluciones judiciales impugnadas determina la retroacción de las actuaciones para que los recurrentes obtengan una resolución sobre el fondo de su pretensión por la Sala de lo Contencioso-Administrativo del Tribunal Superior de Justicia de la Comunidad Valenciana. De ahí que debamos detener aquí nuestro enjuiciamiento y no continuar con el examen de las quejas sobre la lesión de los derechos fundamentales de los recurrentes reconocidos en los arts. 15 y 18.2 CE.</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Agustín Iranzo Reig y otros y, en consecuencia:</w:t>
      </w:r>
    </w:p>
    <w:p w:rsidR="0052098F" w:rsidRDefault="0052098F" w:rsidP="0052098F">
      <w:pPr>
        <w:pStyle w:val="TextoNormal"/>
      </w:pPr>
      <w:r>
        <w:t>1º Declarar que se ha vulnerado el derecho fundamental de los recurrentes a la tutela judicial efectiva sin indefensión desde la perspectiva de acceso a la jurisdicción (art. 24.1 CE).</w:t>
      </w:r>
    </w:p>
    <w:p w:rsidR="0052098F" w:rsidRDefault="0052098F" w:rsidP="0052098F">
      <w:pPr>
        <w:pStyle w:val="TextoNormal"/>
      </w:pPr>
      <w:r>
        <w:t>2º Restablecerlos en su derecho y, a tal fin, declarar la nulidad de la Sentencia de 1 de junio de 1999 del Tribunal Superior de Justicia de la Comunidad Valenciana, exclusivamente en cuanto a la falta de legitimación activa de los recurrentes al inadmitir su recurso contencioso-administrativo, así como anular la Sentencia de 14 de septiembre de 2004 del Tribunal Supremo, recaída en el recurso de casación núm. 7250-1999, exclusivamente en cuanto confirmó la inadmisión del recurso contencioso-administrativo de los demandantes de amparo, retrotrayendo las actuaciones al momento anterior al de dictarse el Auto de 10 de mayo de 1999 del Tribunal Superior de Justicia de la Comunidad Valenciana con el fin de que se dicte otro respetuoso con el derecho fundamental de los recurrentes.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once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29" w:name="SENTENCIA_2008_26"/>
      <w:r>
        <w:lastRenderedPageBreak/>
        <w:t>SENTENCIA 26/2008, de 11 de febrero de 2008</w:t>
      </w:r>
    </w:p>
    <w:bookmarkEnd w:id="29"/>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64, de 14 de marzo de 2008)</w:t>
      </w:r>
    </w:p>
    <w:p w:rsidR="0052098F" w:rsidRDefault="0052098F" w:rsidP="0052098F">
      <w:pPr>
        <w:pStyle w:val="TtuloBOE"/>
      </w:pPr>
    </w:p>
    <w:p w:rsidR="0052098F" w:rsidRDefault="0052098F" w:rsidP="0052098F">
      <w:pPr>
        <w:pStyle w:val="SntesisDescriptiva"/>
      </w:pPr>
      <w:r>
        <w:t>ECLI:ES:TC:2008:26</w:t>
      </w:r>
    </w:p>
    <w:p w:rsidR="0052098F" w:rsidRDefault="0052098F" w:rsidP="0052098F">
      <w:pPr>
        <w:pStyle w:val="SntesisDescriptiva"/>
      </w:pPr>
    </w:p>
    <w:p w:rsidR="0052098F" w:rsidRDefault="0052098F" w:rsidP="0052098F">
      <w:pPr>
        <w:pStyle w:val="SntesisDescriptiva"/>
      </w:pPr>
      <w:r>
        <w:t>Recurso de amparo 7782-2004. Promovido por la Diputación Foral de Álava respecto a la Sentencia de la Sala de lo Contencioso-Administrativo del Tribunal Superior de Justicia del País Vasco que inadmitió sus recursos sobre requerimiento a la Agencia Estatal de la Administración Tributaria para que cesaran diversas actuaciones inspectoras a empresas con residencia fiscal en Álava en relación con el impuesto sobre el valor añadido.</w:t>
      </w:r>
    </w:p>
    <w:p w:rsidR="0052098F" w:rsidRDefault="0052098F" w:rsidP="0052098F">
      <w:pPr>
        <w:pStyle w:val="SntesisDescriptiva"/>
      </w:pPr>
    </w:p>
    <w:p w:rsidR="0052098F" w:rsidRDefault="0052098F" w:rsidP="0052098F">
      <w:pPr>
        <w:pStyle w:val="SntesisAnaltica"/>
      </w:pPr>
      <w:r>
        <w:t>Vulneración del derecho a la tutela judicial efectiva (acceso a la jurisdicción): derechos fundamentales de los entes públicos; inadmisión de demanda contencioso-administrativa por inexistencia de actividad administrativa impugnable; Junta arbitral no constituida y conflictos de competencia. Voto particular.</w:t>
      </w:r>
    </w:p>
    <w:p w:rsidR="0052098F" w:rsidRDefault="0052098F" w:rsidP="0052098F">
      <w:pPr>
        <w:pStyle w:val="SntesisAnaltica"/>
      </w:pPr>
    </w:p>
    <w:p w:rsidR="0052098F" w:rsidRDefault="0052098F" w:rsidP="0052098F">
      <w:pPr>
        <w:pStyle w:val="Extracto"/>
      </w:pPr>
      <w:r>
        <w:t>1.</w:t>
      </w:r>
      <w:r>
        <w:tab/>
        <w:t>La Sentencia impugnada, al declarar la inadmisibilidad de los recursos contencioso-administrativo interpuestos por la Diputación Foral de Álava por estimar que concurría la causa prevista en el art. 69 c) LJCA, ha lesionado el derecho de la demandante de amparo a la tutela judicial efectiva, en su vertiente de derecho de acceso a la jurisdicción [FJ 11].</w:t>
      </w:r>
    </w:p>
    <w:p w:rsidR="0052098F" w:rsidRDefault="0052098F" w:rsidP="0052098F">
      <w:pPr>
        <w:pStyle w:val="Extracto"/>
      </w:pPr>
    </w:p>
    <w:p w:rsidR="0052098F" w:rsidRDefault="0052098F" w:rsidP="0052098F">
      <w:pPr>
        <w:pStyle w:val="Extracto"/>
      </w:pPr>
      <w:r>
        <w:t>2.</w:t>
      </w:r>
      <w:r>
        <w:tab/>
        <w:t>La falta de constitución formal de la Junta arbitral no puede conducir a privar de toda posibilidad de tutela jurisdiccional a los intereses legítimos afectados, impidiendo a sus titulares el acceso a la vía judicial en defensa de los mismos, sino que ha de llevar a la aplicación de la normativa general, que permite que puedan residenciarse y dirimirse en el orden jurisdiccional contencioso-administrativo controversias competenciales [FJ 8].</w:t>
      </w:r>
    </w:p>
    <w:p w:rsidR="0052098F" w:rsidRDefault="0052098F" w:rsidP="0052098F">
      <w:pPr>
        <w:pStyle w:val="Extracto"/>
      </w:pPr>
    </w:p>
    <w:p w:rsidR="0052098F" w:rsidRDefault="0052098F" w:rsidP="0052098F">
      <w:pPr>
        <w:pStyle w:val="Extracto"/>
      </w:pPr>
      <w:r>
        <w:t>3.</w:t>
      </w:r>
      <w:r>
        <w:tab/>
        <w:t>Aunque el concierto económico entre el Estado y el País Vasco, aplicable al caso ratione temporis, preveía la constitución de una Junta arbitral que resolviera los conflictos, ésta aún no se ha constituido, suscitándose la cuestión de si las controversias que se planteen entre las Administraciones tributarias estatal y foral son o no residenciables en el orden jurisdiccional contencioso-administrativo [FJ 7].</w:t>
      </w:r>
    </w:p>
    <w:p w:rsidR="0052098F" w:rsidRDefault="0052098F" w:rsidP="0052098F">
      <w:pPr>
        <w:pStyle w:val="Extracto"/>
      </w:pPr>
    </w:p>
    <w:p w:rsidR="0052098F" w:rsidRDefault="0052098F" w:rsidP="0052098F">
      <w:pPr>
        <w:pStyle w:val="Extracto"/>
      </w:pPr>
      <w:r>
        <w:t>4.</w:t>
      </w:r>
      <w:r>
        <w:tab/>
        <w:t>Si el Tribunal Superior de Justicia no se consideraba competente para conocer de las pretensiones ante él deducidas, correspondientes al ámbito jurisdiccional de las mismas ante el orden jurisdiccional contencioso-administrativo, tendría que haber procedido a remitir las actuaciones al órgano de la jurisdicción que estimase competente, no correspondiendo a este Tribunal esa determinación [FJ 9].</w:t>
      </w:r>
    </w:p>
    <w:p w:rsidR="0052098F" w:rsidRDefault="0052098F" w:rsidP="0052098F">
      <w:pPr>
        <w:pStyle w:val="Extracto"/>
      </w:pPr>
    </w:p>
    <w:p w:rsidR="0052098F" w:rsidRDefault="0052098F" w:rsidP="0052098F">
      <w:pPr>
        <w:pStyle w:val="Extracto"/>
      </w:pPr>
      <w:r>
        <w:t>5.</w:t>
      </w:r>
      <w:r>
        <w:tab/>
        <w:t>Que el órgano judicial haya sustentado su decisión de inadmisión en la no existencia de actuaciones administrativas susceptibles de impugnación se revela, por su rigorismo y excesivo formalismo, lesivo del derecho a la tutela judicial efectiva, en su vertiente de derecho de acceso al proceso [FJ 10].</w:t>
      </w:r>
    </w:p>
    <w:p w:rsidR="0052098F" w:rsidRDefault="0052098F" w:rsidP="0052098F">
      <w:pPr>
        <w:pStyle w:val="Extracto"/>
      </w:pPr>
    </w:p>
    <w:p w:rsidR="0052098F" w:rsidRDefault="0052098F" w:rsidP="0052098F">
      <w:pPr>
        <w:pStyle w:val="Extracto"/>
      </w:pPr>
      <w:r>
        <w:lastRenderedPageBreak/>
        <w:t>6.</w:t>
      </w:r>
      <w:r>
        <w:tab/>
        <w:t>Existe una actividad de investigación y comprobación, llevada a cabo por la Agencia Estatal de la Administración Tributaria, objeto de control en el litigio contencioso-administrativo entre las Administraciones por razón de la competencia sobre concretas y determinadas relaciones tributarias individuales cuestionadas por la Diputación Foral de Álava y cuya nulidad interesaba por invadir su competencia tributaria foral [FJ 10].</w:t>
      </w:r>
    </w:p>
    <w:p w:rsidR="0052098F" w:rsidRDefault="0052098F" w:rsidP="0052098F">
      <w:pPr>
        <w:pStyle w:val="Extracto"/>
      </w:pPr>
    </w:p>
    <w:p w:rsidR="0052098F" w:rsidRDefault="0052098F" w:rsidP="0052098F">
      <w:pPr>
        <w:pStyle w:val="Extracto"/>
      </w:pPr>
      <w:r>
        <w:t>7.</w:t>
      </w:r>
      <w:r>
        <w:tab/>
        <w:t>La Diputación Foral de Álava goza en este caso del derecho de acceso al proceso o a la jurisdicción contencioso-administrativa por expresa atribución del legislador (arts. 1.1, 19.1.e y 44 LJCA) [FJ 4].</w:t>
      </w:r>
    </w:p>
    <w:p w:rsidR="0052098F" w:rsidRDefault="0052098F" w:rsidP="0052098F">
      <w:pPr>
        <w:pStyle w:val="Extracto"/>
      </w:pPr>
    </w:p>
    <w:p w:rsidR="0052098F" w:rsidRDefault="0052098F" w:rsidP="0052098F">
      <w:pPr>
        <w:pStyle w:val="Extracto"/>
      </w:pPr>
      <w:r>
        <w:t>8.</w:t>
      </w:r>
      <w:r>
        <w:tab/>
        <w:t>Doctrina sobre el derecho a la tutela judicial efectiva de las personas jurídico-públicas (SSTC 175/2001, 311/2006) [FFJJ 4, 5].</w:t>
      </w:r>
    </w:p>
    <w:p w:rsidR="0052098F" w:rsidRDefault="0052098F" w:rsidP="0052098F">
      <w:pPr>
        <w:pStyle w:val="Extracto"/>
      </w:pPr>
    </w:p>
    <w:p w:rsidR="0052098F" w:rsidRDefault="0052098F" w:rsidP="0052098F">
      <w:pPr>
        <w:pStyle w:val="Extracto"/>
      </w:pPr>
      <w:r>
        <w:t>9.</w:t>
      </w:r>
      <w:r>
        <w:tab/>
        <w:t>Dado el tenor de la instrucción de recursos, según la cual no cabía recurso ordinario de casación, no puede reprochársele a la demandante de amparo que no haya intentado la presentación e interposición de dicho recurso [FJ 2].</w:t>
      </w:r>
    </w:p>
    <w:p w:rsidR="0052098F" w:rsidRDefault="0052098F" w:rsidP="0052098F">
      <w:pPr>
        <w:pStyle w:val="Extracto"/>
      </w:pPr>
    </w:p>
    <w:p w:rsidR="0052098F" w:rsidRDefault="0052098F" w:rsidP="0052098F">
      <w:pPr>
        <w:pStyle w:val="Extracto"/>
      </w:pPr>
      <w:r>
        <w:t>10.</w:t>
      </w:r>
      <w:r>
        <w:tab/>
        <w:t>Doctrina sobre la indicación de recursos (STC 241/2006) [FJ 2].</w:t>
      </w:r>
    </w:p>
    <w:p w:rsidR="0052098F" w:rsidRDefault="0052098F" w:rsidP="0052098F">
      <w:pPr>
        <w:pStyle w:val="Extracto"/>
      </w:pPr>
    </w:p>
    <w:p w:rsidR="0052098F" w:rsidRDefault="0052098F" w:rsidP="0052098F">
      <w:pPr>
        <w:pStyle w:val="Extracto"/>
      </w:pPr>
      <w:r>
        <w:t>11.</w:t>
      </w:r>
      <w:r>
        <w:tab/>
        <w:t>No procede declarar la admisibilidad de los recursos contencioso-administrativos interpuestos por la demandante de amparo, sino únicamente anular la Sentencia impugnada, retrotrayendo las actuaciones judiciales al momento inmediatamente anterior a ella [FJ 11].</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7782-2004, promovido por la Diputación Foral de Álava, representada por la Procuradora de los Tribunales doña Eva de Guinea y Ruenes y asistida por el Letrado don Juan Zurdo Ruiz-Ayúcar, contra la Sentencia de la Sección Primera de la Sala de lo Contencioso-Administrativo del Tribunal Superior de Justicia del País Vasco núm. 862/2004, de 15 de noviembre, que declaró la inadmisibilidad de los recursos contencioso-administrativos interpuestos contra las desestimaciones presuntas de los requerimientos formulados al Delegado Especial de la Agencia Estatal de la Administración Tributaria en el País Vasco para que cesaran diversas actuaciones inspectoras a determinadas empresas con residencia fiscal en Álava en relación con las liquidaciones del IVA. Han comparecido </w:t>
      </w:r>
      <w:r>
        <w:lastRenderedPageBreak/>
        <w:t>y formulado alegaciones el Abogado del Estado y el Ministerio Fiscal. Ha actuado como Ponente el Magistrado don Vicente Conde Martín de Hijas,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23 de diciembre de 2004, doña Eva de Guinea y Ruenes, Procuradora de los Tribunales, en nombre y representación de la Diputación Foral de Álava, interpuso recurso de amparo contra la resolución judicial a la que se ha hecho mención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demanda de amparo se funda en los antecedentes fácticos que a continuación sucintamente se extractan: </w:t>
      </w:r>
    </w:p>
    <w:p w:rsidR="0052098F" w:rsidRDefault="0052098F" w:rsidP="0052098F">
      <w:pPr>
        <w:pStyle w:val="TextoNormal"/>
      </w:pPr>
      <w:r>
        <w:t xml:space="preserve">a) Un número importante de empresas dedicadas a la producción y elaboración de vino, con residencia fiscal en Álava, venía presentando en la Diputación Foral de Álava las liquidaciones del impuesto sobre el valor añadido (IVA) correspondiente a las operaciones asimiladas a las importaciones por salida a consumo de vino sujetas a impuestos especiales. </w:t>
      </w:r>
    </w:p>
    <w:p w:rsidR="0052098F" w:rsidRDefault="0052098F" w:rsidP="0052098F">
      <w:pPr>
        <w:pStyle w:val="TextoNormal"/>
      </w:pPr>
      <w:r>
        <w:t xml:space="preserve">b) La Delegación Especial de la Agencia Estatal de la Administración Tributaria en el País Vasco, al entender que la competencia para la gestión y recaudación del IVA correspondía al Estado en vez de a la Diputación Foral de Álava, inició expedientes de investigación y comprobación a las referidas empresas, requiriéndoles la regularización del IVA devengado por dichas salidas a consumo. </w:t>
      </w:r>
    </w:p>
    <w:p w:rsidR="0052098F" w:rsidRDefault="0052098F" w:rsidP="0052098F">
      <w:pPr>
        <w:pStyle w:val="TextoNormal"/>
      </w:pPr>
      <w:r>
        <w:t xml:space="preserve">c) La Diputación Foral de Álava, al estimarse competente para la gestión y recaudación del IVA por las referidas operaciones, dirigió diversos requerimientos a la Agencia Estatal de la Administración Tributaria solicitando la paralización de los mencionados expedientes, en cumplimiento del art. 39.6 de la Ley 12/1981, de 13 de mayo, modificada por la Ley 38/1997, de 4 de agosto, por la que se aprueba el concierto económico entre el Estado y el País Vasco y a los efectos de lo previsto en el art. 44 LJCA. </w:t>
      </w:r>
    </w:p>
    <w:p w:rsidR="0052098F" w:rsidRDefault="0052098F" w:rsidP="0052098F">
      <w:pPr>
        <w:pStyle w:val="TextoNormal"/>
      </w:pPr>
      <w:r>
        <w:t xml:space="preserve">d) La Diputación Foral de Álava interpuso recurso contencioso-administrativo respecto al primero de los requerimientos, al que siguieron nuevos recursos respecto a posteriores requerimientos, alegando que había transcurrido con exceso el plazo de un mes previsto en el art. 44.3 LJCA, por lo que los entendía rechazados. En el escrito de interposición de los recursos se instó la suspensión de la tramitación de los expedientes en curso incoados a las mencionadas empresas por la Agencia Estatal de la Administración Tributaria </w:t>
      </w:r>
    </w:p>
    <w:p w:rsidR="0052098F" w:rsidRDefault="0052098F" w:rsidP="0052098F">
      <w:pPr>
        <w:pStyle w:val="TextoNormal"/>
      </w:pPr>
      <w:r>
        <w:t xml:space="preserve">e) Por providencia de 27 de abril de 2000 de la Sección Primera de la Sala de lo Contencioso-Administrativo del Tribunal Superior de Justicia del País Vasco fue admitido a trámite el primero de los recursos interpuestos, acordándose su sustanciación conforme a la Ley 29/1988 LJCA. </w:t>
      </w:r>
    </w:p>
    <w:p w:rsidR="0052098F" w:rsidRDefault="0052098F" w:rsidP="0052098F">
      <w:pPr>
        <w:pStyle w:val="TextoNormal"/>
      </w:pPr>
      <w:r>
        <w:t xml:space="preserve">Por sendos Autos de 26 de julio de 2000 la Sala se consideró competente para conocer del recurso y acordó suspender la tramitación de los expedientes incoados por los Servicios de Inspección de la Agencia Estatal de la Administración Tributaria referidos a las empresas afectadas. </w:t>
      </w:r>
    </w:p>
    <w:p w:rsidR="0052098F" w:rsidRDefault="0052098F" w:rsidP="0052098F">
      <w:pPr>
        <w:pStyle w:val="TextoNormal"/>
      </w:pPr>
      <w:r>
        <w:t xml:space="preserve">g) La Diputación Foral de Álava presentó demanda en relación con el primero de los recursos mediante escrito de fecha 17 de marzo de 2001, en el que formuló las alegaciones que consideró oportunas y concluyó suplicando se confirmara la paralización de las actuaciones inspectoras desarrolladas por los Servicios de la Agencia Estatal de la Administración Tributaria, se decretara la nulidad de dichas actuaciones, se repusiera a los interesados </w:t>
      </w:r>
      <w:r>
        <w:lastRenderedPageBreak/>
        <w:t xml:space="preserve">en la situación jurídica anterior al instante en que tales actuaciones deben considerarse nulas, así como se declarase que la competencia para la gestión del IVA correspondiente a las actuaciones controvertidas no es competencia exclusiva del Estado, sino de la Diputación Foral de Álava, de conformidad con el art. 29 de la Ley 13/1981, de 13 de mayo, modificada por la Ley 38/1997, de 4 de agosto, por la que se aprueba el concierto económico entre el Estado y el País Vasco. </w:t>
      </w:r>
    </w:p>
    <w:p w:rsidR="0052098F" w:rsidRDefault="0052098F" w:rsidP="0052098F">
      <w:pPr>
        <w:pStyle w:val="TextoNormal"/>
      </w:pPr>
      <w:r>
        <w:t xml:space="preserve">Por Autos de 20 de octubre y de 17 de noviembre de 2001 se acordó la acumulación de los diversos recursos contencioso-administrativos interpuestos por la Diputación Foral de Álava contra las desestimaciones presuntas de los requerimientos dirigidos a la Agencia Estatal de la Administración Tributaria para que paralizase los expedientes incoados a las empresas afectadas. </w:t>
      </w:r>
    </w:p>
    <w:p w:rsidR="0052098F" w:rsidRDefault="0052098F" w:rsidP="0052098F">
      <w:pPr>
        <w:pStyle w:val="TextoNormal"/>
      </w:pPr>
      <w:r>
        <w:t xml:space="preserve">h) La Sección Primera de la Sala de lo Contencioso-Administrativo del Tribunal Superior de Justicia, por providencia de 22 de abril de 2004, con suspensión del plazo para dictar Sentencia, concedió a las partes un plazo común de diez días para que formulasen alegaciones sobre la posible inadmisibilidad del recurso por falta de actividad administrativa impugnable [art. 69 c) LJCA]. </w:t>
      </w:r>
    </w:p>
    <w:p w:rsidR="0052098F" w:rsidRDefault="0052098F" w:rsidP="0052098F">
      <w:pPr>
        <w:pStyle w:val="TextoNormal"/>
      </w:pPr>
      <w:r>
        <w:t xml:space="preserve">i) Evacuado por las partes el trámite de alegaciones conferido, la Sala dictó la Sentencia núm. 862/2004, de 15 de noviembre, en la que declaró la inadmisibilidad de los recursos contencioso-administrativos interpuestos por la Diputación Foral de Álava contra la desestimación presunta, por silencio administrativo, de los requerimientos formulados al Delegado Especial de la Agencia Estatal de la Administración Tributaria en el País Vasco por las actuaciones antes referidas en estos antecedentes, al concurrir la causa de inadmisibilidad prevista en el art. 69 c) LJCA. </w:t>
      </w:r>
    </w:p>
    <w:p w:rsidR="0052098F" w:rsidRDefault="0052098F" w:rsidP="0052098F">
      <w:pPr>
        <w:pStyle w:val="TextoNormal"/>
      </w:pPr>
      <w:r>
        <w:t xml:space="preserve">A los efectos que a este recurso de amparo interesan, la decisión judicial adoptada se sustenta en la siguiente fundamentación jurídica: </w:t>
      </w:r>
    </w:p>
    <w:p w:rsidR="0052098F" w:rsidRDefault="0052098F" w:rsidP="0052098F">
      <w:pPr>
        <w:pStyle w:val="TextoNormal"/>
      </w:pPr>
      <w:r>
        <w:t xml:space="preserve">“Partiendo de que la indefensión únicamente podría ser causada, en su caso, si la privación de recurso se produce por el órgano competente para enjuiciarlo, y de que cualquier criterio jurisprudencial, de manera reflexiva y razonada, es susceptible de evolucionar en el tiempo apartándose de pronunciamientos precedentes, podemos adelantar que el recurso debe ser declarado inadmisible al tener por objeto actos que no son susceptibles de impugnación ante esta Sala. </w:t>
      </w:r>
    </w:p>
    <w:p w:rsidR="0052098F" w:rsidRDefault="0052098F" w:rsidP="0052098F">
      <w:pPr>
        <w:pStyle w:val="TextoNormal"/>
      </w:pPr>
      <w:r>
        <w:t xml:space="preserve">El proceso contencioso-administrativo tiene por objeto las actuaciones descritas en los artículos 25 y siguientes de la Ley jurisdiccional, y en él se examinan las pretensiones relacionadas con dichos actos. De la demanda, y aún más claramente del escrito de alegaciones a la causa de inadmisibilidad propuestas, se concluye que lo pretendido en el recurso es que la Sala resuelva un conflicto de competencias entre la Diputación Foral de Álava y la Administración el Estado, asumiendo las funciones de la inexistente Junta arbitral. </w:t>
      </w:r>
    </w:p>
    <w:p w:rsidR="0052098F" w:rsidRDefault="0052098F" w:rsidP="0052098F">
      <w:pPr>
        <w:pStyle w:val="TextoNormal"/>
      </w:pPr>
      <w:r>
        <w:t xml:space="preserve">Efectivamente, el cauce idóneo para resolver el conflicto de competencias surgido entre ambas Administraciones financieras era el del sometimiento a la Junta arbitral prevista en el art. 39 de la Ley del concierto económico entre el Estado y el País Vasco, que fue el seguido en este caso por la Administración Foral actora con todas sus consecuencias, pues en este ámbito de decisión de las controversias interadministrativas no puede intervenir este Tribunal, por varias razones: porque no es el órgano que sustituye a la Junta arbitral y asume sus competencias, ni tan siquiera es el órgano judicial fiscalizador de sus decisiones, labor que recae en la Sala de lo Contencioso-Administrativo del Tribunal Supremo —art. 39.5 de la Ley del Concierto; y porque no es competente para resolver conflictos de competencias. </w:t>
      </w:r>
    </w:p>
    <w:p w:rsidR="0052098F" w:rsidRDefault="0052098F" w:rsidP="0052098F">
      <w:pPr>
        <w:pStyle w:val="TextoNormal"/>
      </w:pPr>
      <w:r>
        <w:t xml:space="preserve">Por tanto, habiéndose dejado al margen de toda impugnación las actuaciones administrativas tributarias origen del conflicto, los actos de gestión producidos, a los que sólo se hace </w:t>
      </w:r>
      <w:r>
        <w:lastRenderedPageBreak/>
        <w:t>mención para interesar su anulación como consecuencia de la resolución del conflicto competencial, y descartándose cualquier implicación del asunto con la inactividad administrativa contemplada en el art. 25.2 de la Ley de la jurisdicción, nos encontramos en el presente recurso sin una actividad administrativa impugnable del art. 25 y siguientes de la Ley mencionada, o más precisamente, ante un recurso contencioso-administrativo que no tiene por objeto actuaciones susceptibles de impugnación”(fundamento de Derecho segundo).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la fundamentación jurídica de la demanda de amparo se invoca la vulneración del derecho a la tutela judicial efectiva (art. 24.1 CE) por los motivos que a continuación se exponen: </w:t>
      </w:r>
    </w:p>
    <w:p w:rsidR="0052098F" w:rsidRDefault="0052098F" w:rsidP="0052098F">
      <w:pPr>
        <w:pStyle w:val="TextoNormal"/>
      </w:pPr>
      <w:r>
        <w:t xml:space="preserve">a) Se sostiene, en primer término, que la declaración de inadmisión de los recursos contencioso-administrativos por la causa prevista en el art. 69 c) LJCA ha determinado que se dejara de atender la doble pretensión formulada por la Diputación Foral de Álava con base en el art. 39 de la Ley del concierto económico, lo que le ha impedido hacer valer los derechos competenciales y procedimentales que le asisten a partir del concierto, así como el ejercicio de la acción procesal idónea para su defensa. </w:t>
      </w:r>
    </w:p>
    <w:p w:rsidR="0052098F" w:rsidRDefault="0052098F" w:rsidP="0052098F">
      <w:pPr>
        <w:pStyle w:val="TextoNormal"/>
      </w:pPr>
      <w:r>
        <w:t xml:space="preserve">La demandante considera que la Sentencia recurrida carece de la necesaria motivación, pues no razona sobre la “inexistencia de actividad administrativa impugnable” en los términos del art. 25 LJCA. Asimismo que incurre en un vicio de incongruencia, porque lo que determina el fallo no es la existencia o inexistencia de actividad impugnable, sino el tratarse de actos “no susceptibles de impugnación ante esta Sala”, de modo que debería haberse aplicado la causa de inadmisibilidad del apartado a), en vez del apartado c), del art. 69 LJCA. Además estima que la motivación dada contradice lo decidido a lo largo del proceso contencioso-administrativo y evidencia arbitrariedad, pues la Sala, frente a la cuestión de competencia planteada por el Abogado del Estado, ratificó su competencia, admitiendo los argumentos ofrecidos por la demandante de amparo y su significación de “institución que hace las veces” de la inexistente Junta arbitral. </w:t>
      </w:r>
    </w:p>
    <w:p w:rsidR="0052098F" w:rsidRDefault="0052098F" w:rsidP="0052098F">
      <w:pPr>
        <w:pStyle w:val="TextoNormal"/>
      </w:pPr>
      <w:r>
        <w:t xml:space="preserve">b) A continuación se aduce en la demanda de amparo la vulneración del derecho a la tutela judicial efectiva, en su vertiente de derecho de acceso a la jurisdicción. </w:t>
      </w:r>
    </w:p>
    <w:p w:rsidR="0052098F" w:rsidRDefault="0052098F" w:rsidP="0052098F">
      <w:pPr>
        <w:pStyle w:val="TextoNormal"/>
      </w:pPr>
      <w:r>
        <w:t xml:space="preserve">Se argumenta al respecto que la Sentencia incurre en un rigorismo interpretativo lesivo de aquel derecho fundamental al fundar la inadmisión en el art. 39 de la Ley del concierto económico, razonando que al utilizar la demandante la vía prevista en dicho precepto legal debía atenerse a las consecuencias de su elección. Este razonamiento, en opinión de la recurrente en amparo, carece de fundamento e incurre en un excesivo rigorismo desconocedor de la normativa delimitadora y definidora del alcance del orden jurisdiccional contencioso-administrativo (arts. 7. 9 y 11.3 LOPJ; 8.3 LPC; 1.1, 5.2, 25, 44.1 LJCA; 63.2 LBRL; 39 ROFEL). </w:t>
      </w:r>
    </w:p>
    <w:p w:rsidR="0052098F" w:rsidRDefault="0052098F" w:rsidP="0052098F">
      <w:pPr>
        <w:pStyle w:val="TextoNormal"/>
      </w:pPr>
      <w:r>
        <w:t xml:space="preserve">La posición jurídica de la Diputación Foral de Álava entronca con el sistema común o general regulador de las entidades locales, a la vez que tiene un régimen singular propio respecto al resto de entidades locales en virtud de las singularidades contenidas al respecto en el Estatuto de Autonomía del País Vasco. De modo que en el ejercicio de los derechos que le asisten cuenta con un sistema propio legitimado constitucionalmente y además con el sistema común en lo que no se oponga a su régimen específico. En otras palabras, cuenta con los principios del sistema común para integrar cuando sea necesario su régimen peculiar. Puede afirmarse, por ello, que el hecho de que exista un régimen singular o especifico de solución de conflictos en el concierto económico no debe interpretarse como algo excluyente de las restantes manifestaciones del Ordenamiento, ni que una insuficiencia posible </w:t>
      </w:r>
      <w:r>
        <w:lastRenderedPageBreak/>
        <w:t xml:space="preserve">de ese régimen especial pueda conducir al resultado de penalizar a la corporación demandante de amparo, sino que el régimen general debe aplicarse para integrar esas posibles deficiencias del régimen especial. </w:t>
      </w:r>
    </w:p>
    <w:p w:rsidR="0052098F" w:rsidRDefault="0052098F" w:rsidP="0052098F">
      <w:pPr>
        <w:pStyle w:val="TextoNormal"/>
      </w:pPr>
      <w:r>
        <w:t xml:space="preserve">En este caso el art. 39 de la Ley del concierto económico prevé que se constituya una Junta arbitral, a la que corresponde resolver los conflictos que se planteen entre la Administración del Estado y las Diputaciones Forales en relación con la aplicación de los puntos de conexión de los tributos concertados. Asimismo establece que los Acuerdos de dicha Junta serán únicamente susceptibles de recurso en vía contencioso-administrativa ante la Sala correspondiente del Tribunal Supremo. Finalmente, a los efectos que a este recurso de amparo interesan, dispone que, cuando se suscite un conflicto de competencias, las Administraciones afectadas se abstendrán de cualquier actuación que no sea la interrupción de la prescripción. </w:t>
      </w:r>
    </w:p>
    <w:p w:rsidR="0052098F" w:rsidRDefault="0052098F" w:rsidP="0052098F">
      <w:pPr>
        <w:pStyle w:val="TextoNormal"/>
      </w:pPr>
      <w:r>
        <w:t xml:space="preserve">Pues bien, frente a la motivación de la Sentencia recurrida la demandante de amparo sostiene que el hecho de que no estuviese constituida la Junta arbitral y de que hubiera seguido el cauce del art. 39 de la Ley del concierto económico no puede conducir a un imposible jurídico. Como institución foral debía acogerse al régimen del concierto, que ya había sido admitido por el Tribunal Superior de Justicia del País Vasco para la solución de conflictos. Pero al acudir a la vía contenciosa-administrativa estaba utilizando los mecanismos ordinarios que el régimen de recursos pone a su alcance, que es el de requerir a la Administración del Estado para que paralizase las actuaciones que esta parte consideraba contrarias a los elementales principios de lealtad, coordinación y legalidad. Al no existir Junta arbitral, algún órgano debía hacer sus veces, por lo que se utilizaron los mecanismos procedentes para supuestos análogos en el régimen común. </w:t>
      </w:r>
    </w:p>
    <w:p w:rsidR="0052098F" w:rsidRDefault="0052098F" w:rsidP="0052098F">
      <w:pPr>
        <w:pStyle w:val="TextoNormal"/>
      </w:pPr>
      <w:r>
        <w:t xml:space="preserve">La solución del conflicto por la vía del art. 39 de la Ley del concierto era, pues, ontológicamente imperativa, ya que no cabía otro remedio, pero al acudir a ella no se debía dar por cerrada la vía de la tutela del Tribunal, porque ello significaría dotar de peor condición a la demandante de amparo respecto del resto de las entidades locales. En este sentido se afirma en la demanda que se desconoce el precepto legal en el que el órgano judicial funda la decisión de que no es competente para resolver conflictos de competencias, lo que supone una renuncia inexplicable de la función jurisdiccional. </w:t>
      </w:r>
    </w:p>
    <w:p w:rsidR="0052098F" w:rsidRDefault="0052098F" w:rsidP="0052098F">
      <w:pPr>
        <w:pStyle w:val="TextoNormal"/>
      </w:pPr>
      <w:r>
        <w:t xml:space="preserve">c) A juicio de la demandante de amparo la decisión no debe fundarse a partir de la existencia o inexistencia de la Junta arbitral, sino en la consideración de si existe o no con su pretensión actividad impugnable en términos objetivos y propios del recurso interpuesto, lo que ha de llevar a examinar el caso y alegar sobre la naturaleza de la actividad administrativa como materia de impugnación, a fin de demostrar que la Sentencia ha incurrido en error o insuficiente motivación al aplicar la causa de inadmisibilidad del art. 69.c LJCA. </w:t>
      </w:r>
    </w:p>
    <w:p w:rsidR="0052098F" w:rsidRDefault="0052098F" w:rsidP="0052098F">
      <w:pPr>
        <w:pStyle w:val="TextoNormal"/>
      </w:pPr>
      <w:r>
        <w:t xml:space="preserve">En este sentido se argumenta en la Sentencia que del art. 39 de la Ley del concierto económico puede nacer actividad administrativa impugnable, entendida como resolución de la Junta arbitral revisable ante la Sala correspondiente del Tribunal Supremo. Esa es la actividad impugnable determinante del fuero excepcional. La suspensión prevista en el citado precepto legal de los procedimientos administrativos sólo es concebible si el conflicto se ha planteado ante la propia Junta arbitral. </w:t>
      </w:r>
    </w:p>
    <w:p w:rsidR="0052098F" w:rsidRDefault="0052098F" w:rsidP="0052098F">
      <w:pPr>
        <w:pStyle w:val="TextoNormal"/>
      </w:pPr>
      <w:r>
        <w:t xml:space="preserve">Pues bien, frente a dicha argumentación la demandante de amparo sostiene que el art. 39 de la Ley del concierto económico establece un régimen singular de solución de conflictos interpretativos del concierto. Si la institución que se prevea que resuelva esos conflictos no existe, ello no significa que el conflicto no exista y que por ello el mandato del concierto quede vacío. La prueba es que el propio Tribunal Supremo, ante la falta de constitución de la Junta arbitral, ha mantenido la competencia reforzada del Tribunal Superior de Justicia. </w:t>
      </w:r>
      <w:r>
        <w:lastRenderedPageBreak/>
        <w:t xml:space="preserve">En otras palabras, el hecho de que no se haga realidad un mandato legal por las causas que sean no puede dejar vacío de contenido el propio mandato, que en este caso es un sistema de solución. Sobre todo no puede dejar sin remedio, sin la existencia del mecanismo que sea para evitar el evidente daño jurídico al que conduciría la fulminación total del citado art. 39. A partir de este razonamiento también adquiere carta de naturaleza la suspensión de las actuaciones y la posibilidad de invocar la medida cautelar suspensiva de la LJCA, que de hecho fue admitida en este caso por la Sala. </w:t>
      </w:r>
    </w:p>
    <w:p w:rsidR="0052098F" w:rsidRDefault="0052098F" w:rsidP="0052098F">
      <w:pPr>
        <w:pStyle w:val="TextoNormal"/>
      </w:pPr>
      <w:r>
        <w:t xml:space="preserve">Abundando en esta línea argumental, la demandante de amparo reitera los razonamientos esgrimidos en su escrito de alegaciones ante la Sala de lo Contencioso-Administrativo del Tribunal Superior de Justicia. En síntesis, que existe actividad administrativa impugnable porque, conforme al art. 25 LJCA, es admisible el recurso contra la inactividad de la Administración; que la negativa de la Administración del Estado a la petición de paralización de sus actuaciones se había producido en los términos del art. 44.3 LJCA, dejando abierto el plazo para recurrir del art. 46.6 LJCA; que en estos términos en poco se diferencian el art. 39.6 de la Ley del concierto económico y el art. 44.1 LJCA; y, en fin, que es arbitrario haberle cerrado el paso a la demandante de amparo a la tutela judicial efectiva, a pesar de haber utilizado los mecanismos propios de la normativa jurisdiccional común. </w:t>
      </w:r>
    </w:p>
    <w:p w:rsidR="0052098F" w:rsidRDefault="0052098F" w:rsidP="0052098F">
      <w:pPr>
        <w:pStyle w:val="TextoNormal"/>
      </w:pPr>
      <w:r>
        <w:t xml:space="preserve">Finalmente la demandante de amparo señala que la vulneración en este caso del derecho a la tutela judicial efectiva pone en grave riesgo los derechos y principios básicos del Ordenamiento, por lo que la Sentencia incurre en una desproporción entre motivación e intereses protegidos, de una parte, y daños resultantes, de otra. Aduce al respecto que el concierto económico queda invalidado, y que ambas Administraciones pueden actuar invadiéndose sus competencias recíprocas, y los contribuyentes afectados quedarse arbitrariamente sujetos a cualquiera de ellas o a las dos, sin que dichas Administraciones puedan cuestionar entre ellas el conflicto de los puntos de conexión. </w:t>
      </w:r>
    </w:p>
    <w:p w:rsidR="0052098F" w:rsidRDefault="0052098F" w:rsidP="0052098F">
      <w:pPr>
        <w:pStyle w:val="TextoNormal"/>
      </w:pPr>
      <w:r>
        <w:t>Concluye el escrito de demanda suplicando del Tribunal Constitucional que, tras los trámites pertinentes, dicte Sentencia en la que se otorgue el amparo solicitado y se declare la nulidad de la resolución judicial recurrida, ordenando reponer la tramitación de los recursos contencioso-administrativos al momento inmediatamente anterior a su terminación por Sentencia, a fin de que se declare su admisibilidad y se dicte nueva Sentencia pronunciándose sobre las cuestiones planteadas en el escrito de demanda.</w:t>
      </w:r>
    </w:p>
    <w:p w:rsidR="0052098F" w:rsidRDefault="0052098F" w:rsidP="0052098F">
      <w:pPr>
        <w:pStyle w:val="TextoNormal"/>
      </w:pPr>
    </w:p>
    <w:p w:rsidR="0052098F" w:rsidRDefault="0052098F" w:rsidP="0052098F">
      <w:pPr>
        <w:pStyle w:val="TextoNormal"/>
      </w:pPr>
      <w:r w:rsidRPr="0052098F">
        <w:rPr>
          <w:rStyle w:val="NumeroAFNegritaCaracter"/>
        </w:rPr>
        <w:t>4</w:t>
      </w:r>
      <w:r>
        <w:t>. La Sala Segunda del Tribunal Constitucional, por providencia de 20 de febrero de 2007, acordó admitir la demanda y, en aplicación de lo dispuesto en el art. 51 LOTC, dirigir atenta comunicación a la Sala de lo Contencioso-Administrativo del Tribunal Superior de Justicia del País Vasco, a fin de que, en plazo que no excediera de diez días, remitiese certificación o fotocopia adverada de las actuaciones correspondientes al procedimiento ordinario Ley 98 761/00-1, debiendo previamente emplazar a quienes hubieran sido parte en el procedimiento, a excepción de la demandante de amparo, para que si lo desearan pudiesen comparecer en el plazo de diez días en el recurso de amparo.</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Secretaría de la Sala Segunda del Tribunal Constitucional, de 24 de abril de 2007, se tuvo por personado y parte al Abogado del Estado, en la representación que ostenta, y se acordó dar vista de las actuaciones a las partes personadas y al Ministerio Fiscal, por plazo común de veinte días, dentro del cual pudieron efectuar las alegaciones que tuvieron por conveniente, de conformidad con lo dispuesto en el art. 52.1 LOTC.</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6</w:t>
      </w:r>
      <w:r>
        <w:t>. La representación procesal de la recurrente en amparo evacuó el trámite de alegaciones conferido mediante escrito registrado en fecha 25 de mayo de 2007, en el que dio por reiteradas y reproducidas las efectuadas en la demanda.</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Abogado del Estado evacuó el trámite de alegaciones mediante escrito registrado en fecha 28 de mayo de 2007, que, en lo sustancial, a continuación se resume: </w:t>
      </w:r>
    </w:p>
    <w:p w:rsidR="0052098F" w:rsidRDefault="0052098F" w:rsidP="0052098F">
      <w:pPr>
        <w:pStyle w:val="TextoNormal"/>
      </w:pPr>
      <w:r>
        <w:t xml:space="preserve">a) Tras señalar que algunos de los motivos esgrimidos en la demanda de amparo suscitan cuestiones por completo ajenas a la jurisdicción constitucional de amparo, el Abogado del Estado señala como quejas más susceptibles de adecuarse al recurso de amparo las denuncias referidas a la incongruencia, la motivación constitucionalmente inaceptable, la indefensión y el indebido obstáculo para acceder a la jurisdicción contencioso-administrativa. Pero, en su opinión, la auténtica cuestión suscitada es la atinente a la posible violación del derecho de acceso a la jurisdicción, por lo que la discusión sobre las razones dadas por el órgano judicial para declarar la inadmisibilidad de los recursos, es decir, el examen de la motivación de la Sentencia recurrida, debe hacerse desde la perspectiva del más exigente canon propio del derecho de acceso a la justicia, y no del general de la arbitrariedad, la irrazonabilidad y el error patente. </w:t>
      </w:r>
    </w:p>
    <w:p w:rsidR="0052098F" w:rsidRDefault="0052098F" w:rsidP="0052098F">
      <w:pPr>
        <w:pStyle w:val="TextoNormal"/>
      </w:pPr>
      <w:r>
        <w:t xml:space="preserve">Por otra parte, la alegación relativa a la incongruencia no puede acogerse, pues si realmente se trata de un vicio de incongruencia la demandante de amparo no habría agotado la vía judicial previa al no haber planteado el incidente de nulidad de actuaciones (art. 241.1 LOPJ; SSTC 48/2006, de 13 de febrero, FJ 2; 155/2006, de 22 de mayo, FJ 3). En realidad las denominadas incongruencias son de nuevo reconducibles a la motivación constitucionalmente incorrecta dada para declarar la inadmisibilidad de los recursos y frustrar así el acceso a la justicia. Algo parecido cabe decir de la indefensión, pues la recurrente ha dispuesto de plenas oportunidades de defensa y contradicción en el procedimiento contencioso-administrativo, denunciando en realidad bajo la queja de indefensión la inadmisión del recurso que le ha impedido acceder a la jurisdicción. </w:t>
      </w:r>
    </w:p>
    <w:p w:rsidR="0052098F" w:rsidRDefault="0052098F" w:rsidP="0052098F">
      <w:pPr>
        <w:pStyle w:val="TextoNormal"/>
      </w:pPr>
      <w:r>
        <w:t xml:space="preserve">En definitiva, el recurso de amparo ha de centrarse en el acceso a la jurisdicción o al proceso, derecho del que gozan las personas jurídicas sólo frente a los Jueces y Tribunales, pero no respecto al legislador (STC 175/2001, de 26 de julio, FJ 8). En este caso tanto la Diputación Foral de Álava como la Administración General del Estado gozan del derecho de acceso a la jurisdicción contencioso-administrativo atribuido por el legislador. De los arts. 19.1 c) y d) y 44 LJCA resulta con toda claridad que en España la jurisdicción contencioso-administrativa no sólo tiene por misión controlar la conformidad a Derecho de la actividad administrativa a iniciativa del ciudadano, sino también resolver los litigios entre Administraciones basados en el Derecho administrativo (arts. 1.1 y concordantes LJCA). El orden contencioso-administrativo es la jurisdicción de Derecho común para conocer de las pretensiones que una Administración deduzca contra otra por razón de una actividad “sujeta al Derecho administrativo”. Por lo tanto la Diputación recurrente puede lícitamente afirmar que ostenta un derecho fundamental de acceso a la jurisdicción o al proceso contencioso-administrativo en los términos admitidos por la STC 175/2001, de 26 de julio. </w:t>
      </w:r>
    </w:p>
    <w:p w:rsidR="0052098F" w:rsidRDefault="0052098F" w:rsidP="0052098F">
      <w:pPr>
        <w:pStyle w:val="TextoNormal"/>
      </w:pPr>
      <w:r>
        <w:t xml:space="preserve">b) A continuación el Abogado del Estado se refiere a la posible falta de agotamiento de la vía judicial previa, por no haberse interpuesto recurso de casación contra la Sentencia recurrida en amparo (arts. 86 y 89.2 LJCA), ya que en este caso eran claros los preceptos estatales infringidos [arts. 24.1 CE y 69 c) LJCA] . Ahora bien, dado el tenor de la instrucción de recursos contenida en la Sentencia, no cabe reprochar a la demandante que no haya intentado preparar e interponer la casación ordinaria para agotar la vía judicial, por lo que </w:t>
      </w:r>
      <w:r>
        <w:lastRenderedPageBreak/>
        <w:t xml:space="preserve">se puede estimar cumplido el requisito del art. 44.1.a) LOTC (SSTC 5/2001, de 15 de enero, FJ 2; 146/2005, de 6 de junio, FJ 3; 241/2006, de 20 de julio, FJ 3). </w:t>
      </w:r>
    </w:p>
    <w:p w:rsidR="0052098F" w:rsidRDefault="0052098F" w:rsidP="0052098F">
      <w:pPr>
        <w:pStyle w:val="TextoNormal"/>
      </w:pPr>
      <w:r>
        <w:t xml:space="preserve">c) En cuanto al fondo de la cuestión debatida, en los términos en los que ha quedado delimitada, el Abogado del Estado argumenta que tanto el art. 39 de la Ley 12/1981, de 13 de mayo, del concierto económico, como los arts. 65 a 67 de la Ley 12/2002, de 23 de mayo, crean una Junta arbitral, que no se ha constituido formalmente —lo que presupone la designación de sus miembros, vocales y presidente— ni, en consecuencia, ha funcionado nunca. Esta Junta goza de competencia, entre otras materias, para resolver “los conflictos que se planteen entre la Administración del Estado y las Diputaciones Forales … en relación con la aplicación de los puntos de conexión de los tributos concertados” y de “los conflictos que surgen entre las Administraciones interesadas como consecuencia de la interpretación del presente concierto económico a casos concretos concernientes a relaciones tributarias individuales”. Esta vía arbitral constituye un tipo singular de vía administrativa, en el sentido de que termina con un acuerdo, que es acto revisable por la jurisdicción contencioso-administrativo y, dentro de ella, por “la Sala correspondiente del Tribunal Supremo” (art. 39.5 de la Ley 12/1981; art. 67 II de la Ley 12/2002). Pero es obvio que si la Junta no se ha constituido formalmente ni ha comenzado a funcionar no hay acuerdos de la Junta que puedan ser revisados por la Sala de lo Contencioso-Administrativo del Tribunal Supremo, con lo que la atribución de esta competencia objetiva queda igualmente sin efectividad. </w:t>
      </w:r>
    </w:p>
    <w:p w:rsidR="0052098F" w:rsidRDefault="0052098F" w:rsidP="0052098F">
      <w:pPr>
        <w:pStyle w:val="TextoNormal"/>
      </w:pPr>
      <w:r>
        <w:t xml:space="preserve">La situación descrita plantea justamente el problema de qué hacer mientras la Junta arbitral siga en situación durmiente con las controversias que se plantean entre la Administración tributaria foral y la Administración tributaria estatal; y especialmente ha de determinarse cuál ha de ser el Tribunal ante el que las Administraciones deban ventilar sus litigios. </w:t>
      </w:r>
    </w:p>
    <w:p w:rsidR="0052098F" w:rsidRDefault="0052098F" w:rsidP="0052098F">
      <w:pPr>
        <w:pStyle w:val="TextoNormal"/>
      </w:pPr>
      <w:r>
        <w:t xml:space="preserve">d) Para el Abogado del Estado la respuesta que se da a la cuestión suscitada en la Sentencia recurrida es sorprendente desde una perspectiva estrictamente constitucional, sentado al respecto las siguientes premisas. En primer lugar, la inexistencia de la Junta arbitral —su no constitución formal— significa que carece de efectiva vigencia la singular vía administrativa regulada en el art. 39 de la Ley 12/1981, de 13 de mayo, y en los arts. 65 a 67 de la Ley 12/2002, de 23 de mayo, es decir, la vía arbitral de composición de controversias entre Administraciones. Ahora bien, con ello no se priva de su carácter de actividad administrativa a la que da origen a la controversia entre Administraciones sobre el punto de conexión o sobre la interpretación o aplicación del concierto. Para que, por ejemplo, exista una divergencia interpretativa sobre una norma del concierto entre la Administración foral y la Administración estatal es preciso que esa interpretación se haya hecho valer en un “caso concreto” concerniente a una “relación tributaria individual” (art. 39.1 Ley 12/1981, de 13 de mayo). </w:t>
      </w:r>
    </w:p>
    <w:p w:rsidR="0052098F" w:rsidRDefault="0052098F" w:rsidP="0052098F">
      <w:pPr>
        <w:pStyle w:val="TextoNormal"/>
      </w:pPr>
      <w:r>
        <w:t xml:space="preserve">En segundo lugar, aunque el alcance objetivo de los posibles conflictos a los que se refieren los arts. 39 de la Ley 12/1981, de 13 de mayo, y 65 a 67 de la Ley 12/2002, de 23 de mayo, puede ser más amplio que el simple conflicto de competencia, sin duda es cierto que serán de naturaleza competencial la mayor parte de las controversias surgidas entre la Administración tributaria estatal y la Administración tributaria foral por razón del concierto económico. Ahora bien, el objeto de tales conflictos seguirá siendo la actividad administrativa desplegada en el “caso concreto” concerniente a una o varias “relaciones tributarias individuales”. Lo que ocurre es que, por tratarse justamente de una controversia competencial, el recurso contencioso-administrativo quedará ceñido a un posible vicio o fundamento impugnativo de esa actividad administrativa referida a un “caso concreto”, a saber, el vicio de incompetencia, y ese vicio será hecho valer por una Administración que se estima competente o, más en general, que entiende lesionada la propia competencia. Por lo tanto no ha </w:t>
      </w:r>
      <w:r>
        <w:lastRenderedPageBreak/>
        <w:t xml:space="preserve">lugar a distinguir, como si fueran dos entidades ideales distintas, la actividad administrativa del caso concreto centrado en una relación tributaria individual y el conflicto de competencia. Este último tiene por objeto la primera (en la que tiene lugar la invasión o, en general, la lesión de la competencia ajena) y se encauza a través del procedimiento contencioso-administrativo, si bien contraído exclusivamente a la infracción de las reglas de distribución de competencias. Pero la actividad administrativa objeto de control en el litigio contencioso-administrativo entre Administraciones por razón de la competencia es sólo una: la relativa al “caso concreto concerniente a relaciones tributarias individuales”. </w:t>
      </w:r>
    </w:p>
    <w:p w:rsidR="0052098F" w:rsidRDefault="0052098F" w:rsidP="0052098F">
      <w:pPr>
        <w:pStyle w:val="TextoNormal"/>
      </w:pPr>
      <w:r>
        <w:t xml:space="preserve">En tercer lugar, aduce que la LJCA se refiere en general a “litigios entre Administraciones Públicas” [arts. 44.1, 46.6 o 81.1 c), por ejemplo]. Pero tanto la LJCA como otras leyes vienen a reconocer que los litigios competenciales son una clara subespecie de los litigios entre Administraciones que cabe residenciar ante los Tribunales contencioso-administrativos [art. 19.1, d) y e) LJCA, en su referencia al “ámbito de autonomía” o, claramente, art. 66 LRBRL]. Los litigios competenciales entre Administraciones carecen de relevancia constitucional y por ello han de estar fundados en normas de Derecho administrativo (cfr. art. 1.1 LJCA). Como se dice en la STC 44/2007, de 1 de marzo, “no cualquier pretensión que afecte a la titularidad o al ejercicio de una competencia puede residenciarse, sin más, en el proceso relativo a los conflictos constitucionales de competencia. Para ello se requiere, entre otras condiciones, que la controversia afecte a la definición o delimitación de los títulos competenciales en litigio y, más exactamente, a la delimitación de estos títulos contenida en la Constitución, los Estatutos de Autonomía o las Leyes del bloque de la constitucionalidad que delimitan las competencias estatales y autonómicas” (FJ 3). Por lo demás los conflictos entre Administración del Estado y Diputaciones Forales jamás podrán alcanzar rango constitucional, puesto que las Diputaciones Forales no están mencionadas como parte legítima en los conflictos constitucionales (arts. 59.1 y 60 LOTC). Las Diputaciones Forales sólo pueden promover conflictos en defensa de su autonomía frente a las agresiones del legislador (disposición adicional cuarta, 2 LOTC). </w:t>
      </w:r>
    </w:p>
    <w:p w:rsidR="0052098F" w:rsidRDefault="0052098F" w:rsidP="0052098F">
      <w:pPr>
        <w:pStyle w:val="TextoNormal"/>
      </w:pPr>
      <w:r>
        <w:t xml:space="preserve">Por último, para el Abogado del Estado la consecuencia de la falta de efectiva vigencia de las especiales disposiciones legales relativas a la Junta arbitral del concierto no puede ser otra que la aplicación de las reglas procesales generales para los litigios entre las Administraciones públicas. Argumenta al respecto que el art. 39 de la Ley 12/1981, de 13 de enero, al igual que los arts. 65 a 67 de la Ley 12/2002, de 23 de mayo, tienen la misma naturaleza de lex specialis, regulan un tipo especial o singular de vía administrativa para componer divergencias entre ambas Administraciones relativas a la interpretación y aplicación del concierto económico. Si esta vía carece de efectiva vigencia por el momento sólo cabe aplicar las normas generales, lo que significa que tanto una Diputación Foral como la Administración General del Estado pueden dirimir sus controversias competenciales en el orden contencioso-administrativo, de conformidad con los arts. 19.1 c) y e), 44 y disposición adicional primera, 1 LJCA. Naturalmente, no estando en vigencia efectiva la vía arbitral, no lo está tampoco la especial atribución de competencia objetiva a la Sala Tercera del Tribunal Supremo. Por lo tanto los litigios competenciales suscitados con ocasión de aplicar el concierto económico deberán plantearse ante el Tribunal contencioso-administrativo que resulte competente por aplicación de las reglas generales de los arts. 8 a 14 LJCA, el aseguramiento de cuya recta aplicación queda extramuros de la jurisdicción constitucional de amparo. </w:t>
      </w:r>
    </w:p>
    <w:p w:rsidR="0052098F" w:rsidRDefault="0052098F" w:rsidP="0052098F">
      <w:pPr>
        <w:pStyle w:val="TextoNormal"/>
      </w:pPr>
      <w:r>
        <w:t xml:space="preserve">e) Aplicando estas consideraciones generales al caso de autos, es diáfano, a juicio del Abogado del Estado, que se ha vulnerado el derecho de la demandante de amparo a acceder </w:t>
      </w:r>
      <w:r>
        <w:lastRenderedPageBreak/>
        <w:t xml:space="preserve">a la jurisdicción o al proceso contencioso-administrativo (art. 24.1 CE), dado que el legislador ha configurado el orden contencioso-administrativo como el que ha de conocer y fallar también los litigios competenciales entre Administraciones basados en el Derecho administrativo. </w:t>
      </w:r>
    </w:p>
    <w:p w:rsidR="0052098F" w:rsidRDefault="0052098F" w:rsidP="0052098F">
      <w:pPr>
        <w:pStyle w:val="TextoNormal"/>
      </w:pPr>
      <w:r>
        <w:t xml:space="preserve">No resulta aceptable desde la perspectiva constitucional del derecho de acceso a la jurisdicción sostener que lo que pretende la demandante de amparo es que el Tribunal Superior de Justicia sustituya a la Junta arbitral, pues ésta, como ha quedado expuesto, es un órgano administrativo que dicta actos administrativos revisables en vía jurisdiccional, con lo que se ultima una singular vía de composición interadministrativa. La Diputación recurrente no pide a la Sala que dicte un acto administrativo, sino una Sentencia que decida, con la fuerza jurídica y autoridad propias de este tipo de resolución judicial, si es o no competente la Administración General del Estado para la gestión, inspección, revisión y recaudación del IVA en supuestos concretos (abandono o salida del régimen de depósito distinto al aduanero por parte de sociedades dedicadas a la producción de vino con residencia en el territorio foral alavés que realizan compras y ventas de productos intermedios vinícolas entre ellas), y, en el caso de que no lo sea, anule las actuaciones administrativas estatales que se suponen invasoras de la competencia tributaria foral. Esta es una pretensión perfectamente adecuada a un litigio competencial entre Administraciones públicas, cuya inclusión dentro de los límites jurisdiccionales del orden contencioso-administrativo ha quedado justificada en las precedentes consideraciones. En definitiva, la Diputación recurrente en amparo formuló ante el Tribunal Superior de Justicia una típica pretensión anulatoria (art. 31.1 LJCA) con expresa declaración de reconocimiento de la competencia propia y de la invasión padecida encuadrable en el art. 31.2 LJCA. </w:t>
      </w:r>
    </w:p>
    <w:p w:rsidR="0052098F" w:rsidRDefault="0052098F" w:rsidP="0052098F">
      <w:pPr>
        <w:pStyle w:val="TextoNormal"/>
      </w:pPr>
      <w:r>
        <w:t xml:space="preserve">Tampoco considera aceptable el Abogado del Estado, desde la perspectiva del derecho de acceso al proceso, señalar que la competencia revisora corresponde a la Sala Tercera del Tribunal Supremo y no al Tribunal Superior de Justicia, ya que la singular competencia de la Sala Tercera del Tribunal Supremo sólo puede entenderse efectiva respecto de los Acuerdos de la Junta arbitral. Pero la actividad administrativa sometida a la revisión del Tribunal Superior de Justicia no incluye ningún acuerdo de dicha Junta, sino actuaciones administrativas imputables originariamente a la Dependencia Regional de Aduanas e Impuestos Especiales del País Vasco. </w:t>
      </w:r>
    </w:p>
    <w:p w:rsidR="0052098F" w:rsidRDefault="0052098F" w:rsidP="0052098F">
      <w:pPr>
        <w:pStyle w:val="TextoNormal"/>
      </w:pPr>
      <w:r>
        <w:t xml:space="preserve">Finalmente tampoco estima atendible la tesis de la Sentencia recurrida según la cual no existe actividad administrativa revisable. Como se ha razonado esa actividad sí existía y era llevada a cabo por la Dependencia Regional de Aduanas e Impuestos Especiales del País Vasco en los casos particulares ya indicados, cuya inclusión en la esfera competencial de la Administración General del Estado ha sido defendida por los órganos de ésta frente a la opinión de la demandante de amparo. Esta defensa de la propia competencia por las autoridades tributarias nacionales supone tanto como afirmar que no eran inválidas por razón de incompetencia las actuaciones inspectoras de la Dependencia Regional y las demás que pudieran derivarse de ella, mientras que la Diputación Foral basaba su recurso en la tesis exactamente opuesta. Había, pues, actividad administrativa revisable, de manera que la Sentencia recurrida viola el derecho de acceso a la jurisdicción contencioso-administrativo de la Diputación recurrente. </w:t>
      </w:r>
    </w:p>
    <w:p w:rsidR="0052098F" w:rsidRDefault="0052098F" w:rsidP="0052098F">
      <w:pPr>
        <w:pStyle w:val="TextoNormal"/>
      </w:pPr>
      <w:r>
        <w:t>El Abogado del Estado concluyó su escrito interesando de este Tribunal que dicte Sentencia otorgando el amparo por haberse violado el derecho de acceso a la jurisdicción de la Diputación Foral de Álava.</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8</w:t>
      </w:r>
      <w:r>
        <w:t xml:space="preserve">. El Ministerio Fiscal evacuó el trámite de alegaciones conferido mediante escrito registrado en fecha 22 de junio de 2007, que, en lo sustancial, a continuación se resume: </w:t>
      </w:r>
    </w:p>
    <w:p w:rsidR="0052098F" w:rsidRDefault="0052098F" w:rsidP="0052098F">
      <w:pPr>
        <w:pStyle w:val="TextoNormal"/>
      </w:pPr>
      <w:r>
        <w:t xml:space="preserve">a) Dos parecen ser las pretensiones que la demandante de amparo formuló en su demanda contencioso-administrativo: la primera, que se reconociera su competencia para las liquidaciones del IVA con preferencia a la Administración del Estado, respecto a la que no deja de reconocer que la competencia para el conocimiento de esta pretensión corresponde a la Junta arbitral (art. 39 Ley 12/1981), pero que ante la inexistencia de dicha Junta la plantea ante el Tribunal Superior de Justicia por considerarlo competente, con la petición de que, si no fuese así, determine el órgano competente; la segunda, se refiere a la impugnación de varios actos administrativos presuntos, ya que requirió a la Delegación Territorial de la Agencia Estatal de la Administración Tributaria que paralizara los expedientes de liquidación que afectaban a dieciséis empresas, recurriendo la inactividad de ésta (art. 25.2 LJCA) previo cumplimiento del requisito establecido en el art. 44 LJCA. </w:t>
      </w:r>
    </w:p>
    <w:p w:rsidR="0052098F" w:rsidRDefault="0052098F" w:rsidP="0052098F">
      <w:pPr>
        <w:pStyle w:val="TextoNormal"/>
      </w:pPr>
      <w:r>
        <w:t xml:space="preserve">De lo anterior se desprende, a juicio del Ministerio Fiscal, la coexistencia de dos procedimientos distintos en uno sólo, ya que, respecto a la primera pretensión el Tribunal Superior de Justicia actuaría en sustitución de la Junta arbitral, lo que conllevaría que su actuación no fuese plenamente jurisdiccional. Simultáneamente coexistiría un recurso ordinario contencioso-administrativo, que tendría por objeto la impugnación de diversos actos presuntos de las Agencia Estatal de la Administración Tributaria que no paralizó los expedientes, ni contestó los requerimientos de la Diputación demandante de amparo. </w:t>
      </w:r>
    </w:p>
    <w:p w:rsidR="0052098F" w:rsidRDefault="0052098F" w:rsidP="0052098F">
      <w:pPr>
        <w:pStyle w:val="TextoNormal"/>
      </w:pPr>
      <w:r>
        <w:t xml:space="preserve">b) A juicio del Ministerio Fiscal en este caso se ha fundamentado la inexistencia de actuación administrativa de una manera insuficiente, ya que toda la argumentación se basa en que la competencia para resolver la duda competencial respecto al IVA le corresponde a la Junta arbitral, lo cual es correcto. Pero es que además está acreditado en la causa que dicho órgano no existe, y ante esa inexistencia el Tribunal Superior de Justicia se declaró competente al comienzo del pleito, limitándose a afirmar en la Sentencia que “no puede intervenir este Tribunal por varias razones: porque no es el órgano que sustituye a la Junta arbitral y asume sus competencias”. </w:t>
      </w:r>
    </w:p>
    <w:p w:rsidR="0052098F" w:rsidRDefault="0052098F" w:rsidP="0052098F">
      <w:pPr>
        <w:pStyle w:val="TextoNormal"/>
      </w:pPr>
      <w:r>
        <w:t xml:space="preserve">Este razonamiento no es motivación suficiente, ya que en el mismo proceso había reconocido previamente su competencia, y esa mutación de criterio que se aprecia en la Sentencia, reflexiva y razonada, debía ser dada a conocer a las partes, no bastando que el juzgador haya meditado mucho. Sin embargo en la Sentencia no se hace ninguna referencia a las razones que han llevado a la Sala a dicho cambio de criterio, salvo que se considere suficiente que se califique el Tribunal como “no competente para resolver conflictos de competencia”. Tal vez no lo sea por su propia naturaleza, pero lo podrá ser tal como decidió como sustituto de la Junta arbitral hasta que se constituya. </w:t>
      </w:r>
    </w:p>
    <w:p w:rsidR="0052098F" w:rsidRDefault="0052098F" w:rsidP="0052098F">
      <w:pPr>
        <w:pStyle w:val="TextoNormal"/>
      </w:pPr>
      <w:r>
        <w:t xml:space="preserve">c) La motivación insuficiente es todavía más patente si se relaciona con la segunda pretensión actora. Sin decirlo se da a entender en la Sentencia que, al no existir la Junta arbitral, no es posible, no ya resolver el conflicto entre Administraciones, sino ni siquiera que exista dicho conflicto, y si no puede existir el conflicto tampoco podrán darse obligaciones para las Administraciones derivadas del conflicto. La posibilidad del conflicto debió ser tenida en cuenta por el legislador como previa a la institución de la Junta como órgano arbitral, ya que sólo se crea un órgano de esa naturaleza si se prevé la posibilidad de conflictos, y la obligación del art. 39.6 de la Ley del concierto económico de abstenerse no deberá estar supeditada a la preexistencia del órgano y sí del conflicto. En este contexto la pretensión de la demandante de amparo de que se impusiera a la Administración estatal el cumplimiento </w:t>
      </w:r>
      <w:r>
        <w:lastRenderedPageBreak/>
        <w:t xml:space="preserve">de lo dispuesto en el art. 39.6 de la Ley del concierto, tras desestimar por silencio el requerimiento por aquella formulado, merecía ser contestada en el proceso por el órgano jurisdiccional, aunque fuera desechada la otra petición de fondo. </w:t>
      </w:r>
    </w:p>
    <w:p w:rsidR="0052098F" w:rsidRDefault="0052098F" w:rsidP="0052098F">
      <w:pPr>
        <w:pStyle w:val="TextoNormal"/>
      </w:pPr>
      <w:r>
        <w:t xml:space="preserve">En opinión del Ministerio Fiscal el Tribunal de Justicia ha optado por una interpretación de la legalidad contraria al principio pro accione, ya que lo que en definitiva parece llevarle a no dar una respuesta a la solicitud de la demandante de amparo es considerar inadecuado el cauce procedimental, pues, tras declararse competente, termina por no resolver al entender que falta un requisito, concretamente, la actividad administrativa, con la agravación además para el instante de que niega una solución al conflicto, pese a reconocer que el cauce para su resolución es el del art. 39 de la Ley del concierto económico y asumir la competencia dada la inexistencia de la Junta arbitral. Es cierto que el Tribunal Superior de Justicia no es el órgano competente para conocer de las impugnaciones de los actos de la Junta arbitral, pero lo que se le pidió no era que fiscalizara a la Junta, sino la que la sustituyera. </w:t>
      </w:r>
    </w:p>
    <w:p w:rsidR="0052098F" w:rsidRDefault="0052098F" w:rsidP="0052098F">
      <w:pPr>
        <w:pStyle w:val="TextoNormal"/>
      </w:pPr>
      <w:r>
        <w:t xml:space="preserve">d) Si bien es cierto que no puede hablarse de incongruencia omisiva, como hace la demandante, pues todas las pretensiones han sido respondidas por el órgano judicial, no es menos cierto que la cuestión planteada ha sido incorrectamente respondida, lo que nos sitúa ante un claro supuesto de deficiencia en la motivación. </w:t>
      </w:r>
    </w:p>
    <w:p w:rsidR="0052098F" w:rsidRDefault="0052098F" w:rsidP="0052098F">
      <w:pPr>
        <w:pStyle w:val="TextoNormal"/>
      </w:pPr>
      <w:r>
        <w:t xml:space="preserve">Además la solución dada coloca a la Administración recurrente ante un evidente vacío, ya que de la inexistencia del órgano arbitral se deduce la imposibilidad de solucionar los conflictos internormativos que pudieran surgir, situación que se viene manteniendo desde el año 1981. </w:t>
      </w:r>
    </w:p>
    <w:p w:rsidR="0052098F" w:rsidRDefault="0052098F" w:rsidP="0052098F">
      <w:pPr>
        <w:pStyle w:val="TextoNormal"/>
      </w:pPr>
      <w:r>
        <w:t>En consecuencia el Ministerio Fiscal interesa de este Tribunal que dicte Sentencia en la que se otorgue el amparo solicitado, retrotrayendo las actuaciones al momento inmediatamente anterior al de la Sentencia recurrida para que se dicte una nueva que se pronuncie sobre las pretensiones formuladas.</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7 de febrero de 2008, se señaló para la deliberación y votación de la presente Sentencia el día 11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presente demanda de amparo tiene por objeto la impugnación de la Sentencia de la Sección Primera de la Sala de lo Contencioso-Administrativo del Tribunal Superior de Justicia del País Vasco núm. 862/2004, de 15 de noviembre, que, en aplicación de la causa prevista en el art. 69 c) de la Ley de la jurisdicción contencioso-administrativa (LJCA), declaró la inadmisibilidad de los recursos contencioso-administrativos interpuestos por la Diputación Foral de Álava contra las desestimaciones presuntas, por silencio administrativo, de los requerimientos formulados al Delegado Especial de la Agencia Estatal de la Administración Tributaria en el País Vasco, para que cesasen los expedientes de investigación y comprobación abiertos a distintas empresas con residencia fiscal en Álava en relación con las liquidaciones del impuesto sobre el valor añadido (IVA) correspondientes a operaciones asimiladas a las importaciones por salida a consumo de vino sujetas a impuestos especiales.</w:t>
      </w:r>
    </w:p>
    <w:p w:rsidR="0052098F" w:rsidRDefault="0052098F" w:rsidP="0052098F">
      <w:pPr>
        <w:pStyle w:val="TextoNormal"/>
      </w:pPr>
      <w:r>
        <w:t xml:space="preserve">La demandante de amparo imputa a la Sentencia recurrida la vulneración del derecho a la tutela judicial efectiva sin que, en ningún caso, pueda producirse indefensión (art. 24.1 CE) en varias de sus vertientes: por carecer de la necesaria motivación, al no razonar sobre la inexistencia de actividad administrativa impugnable (art. 25.2 LJCA); por incurrir en vicio de incongruencia, ya que en su caso debería haberse aplicado la causa de inadmisibilidad </w:t>
      </w:r>
      <w:r>
        <w:lastRenderedPageBreak/>
        <w:t>del apartado a), en vez del apartado c), del art.  69 LJCA; por resultar arbitraria la decisión judicial, ya que con anterioridad el órgano judicial se había declarado competente para conocer de los recursos interpuestos; y, en fin, por haber impedido el acceso a la jurisdicción con base en una rigurosa interpretación de la legislación procesal, lesiva de aquel derecho fundamental.</w:t>
      </w:r>
    </w:p>
    <w:p w:rsidR="0052098F" w:rsidRDefault="0052098F" w:rsidP="0052098F">
      <w:pPr>
        <w:pStyle w:val="TextoNormal"/>
      </w:pPr>
      <w:r>
        <w:t>El Abogado del Estado, tras descartar la falta de agotamiento de la vía judicial previa, por no haberse interpuesto recurso de casación contra la Sentencia impugnada, reconduce las quejas de la demandante de amparo al derecho a la tutela judicial efectiva, en su vertiente de derecho de acceso a la jurisdicción, pronunciándose a favor de la estimación del recurso, por considerar que en este caso ha resultado vulnerado el mencionado derecho fundamental, dado que el legislador ha atribuido al orden jurisdiccional contencioso-administrativo el conocimiento y fallo de los litigios competenciales entre Administraciones Públicas basados en el derecho administrativo.</w:t>
      </w:r>
    </w:p>
    <w:p w:rsidR="0052098F" w:rsidRDefault="0052098F" w:rsidP="0052098F">
      <w:pPr>
        <w:pStyle w:val="TextoNormal"/>
      </w:pPr>
      <w:r>
        <w:t>El Ministerio Fiscal también se pronuncia a favor de la estimación de la demanda de amparo. En su opinión el órgano judicial ha fundamentado de manera insuficiente la aplicación de la causa de inadmisibilidad apreciada, esto es, la inexistencia de actividad administrativa, ya que, habiendo reconocido previamente en el proceso su competencia, no razona en la Sentencia el cambio de criterio.</w:t>
      </w:r>
    </w:p>
    <w:p w:rsidR="0052098F" w:rsidRDefault="0052098F" w:rsidP="0052098F">
      <w:pPr>
        <w:pStyle w:val="TextoNormal"/>
      </w:pPr>
    </w:p>
    <w:p w:rsidR="0052098F" w:rsidRDefault="0052098F" w:rsidP="0052098F">
      <w:pPr>
        <w:pStyle w:val="TextoNormal"/>
      </w:pPr>
      <w:r w:rsidRPr="0052098F">
        <w:rPr>
          <w:rStyle w:val="NumeroAFNegritaCaracter"/>
        </w:rPr>
        <w:t>2</w:t>
      </w:r>
      <w:r>
        <w:t>. Antes de proceder al examen de las cuestiones planteadas hemos de comenzar por descartar, como el Abogado del Estado pone de manifiesto en su escrito de alegaciones, el posible incumplimiento del requisito de haber agotado, previamente a la interposición de la demanda de amparo “todos los recursos utilizables dentro de la vía judicial” [art. 44.1 a) LOTC, en la redacción anterior a la Ley Orgánica 6/2007, de 24 de mayo), lo que, en caso contrario, de acuerdo con una reiterada doctrina constitucional, habría de determinar en este momento procesal su inadmisión (STC 175/2005, de 4 de julio, FJ 2, por todas).</w:t>
      </w:r>
    </w:p>
    <w:p w:rsidR="0052098F" w:rsidRDefault="0052098F" w:rsidP="0052098F">
      <w:pPr>
        <w:pStyle w:val="TextoNormal"/>
      </w:pPr>
      <w:r>
        <w:t>En efecto, la Sentencia impugnada en amparo era susceptible, en principio, de ser recurrida en casación, siempre que el recurso se fundara en una infracción de las normas de derecho estatal (arts. 86 y 89.2 LJCA), lo que no era particularmente difícil en este caso, ya que, de acuerdo con el planteamiento que la demandante efectúa en el recurso de amparo, son precisamente los arts. 24.1 CE y 69 c) LJCA los preceptos que considera infringidos por aquella Sentencia.</w:t>
      </w:r>
    </w:p>
    <w:p w:rsidR="0052098F" w:rsidRDefault="0052098F" w:rsidP="0052098F">
      <w:pPr>
        <w:pStyle w:val="TextoNormal"/>
      </w:pPr>
      <w:r>
        <w:t xml:space="preserve">No obstante, dado el tenor de la instrucción de recursos que se contiene en la Sentencia, según la cual “contra esta Sentencia no cabe recurso ordinario de casación”, no puede reprochársele a la demandante de amparo que no haya intentado la presentación e interposición del recurso de casación. En tal sentido, este Tribunal tiene declarado que, aunque la instrucción de recursos no forma parte del decisum de la resolución, “la instrucción o información errónea acerca de los recursos facilitada por los órganos judiciales, dada la auctoritas que corresponde a quien la hizo constar (STC 26/1991, de 11 de febrero, FJ 1), es susceptible de inducir a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(ibídem). De este modo, a los efectos que nos ocupan, no es razonable exigir a la parte que contravenga o salve por sí misma la instrucción o información de recursos consignada en la resolución judicial, aunque ésta puede resultar o resulte errónea, dada la delicada disyuntiva en </w:t>
      </w:r>
      <w:r>
        <w:lastRenderedPageBreak/>
        <w:t>la que en caso contrario se le sitúa como consecuencia de la necesidad de cumplir las dos exigencias de agotar la vía judicial previa [arts. 43.2 y 44.1 a) LOTC] y de interponer el recurso de amparo dentro [del plazo legalmente previsto desde] la notificación de la resolución recaída en el proceso judicial (arts.  43.2 y 44.2 LOTC)” [STC 241/2006, de 20 de julio, FJ 3).</w:t>
      </w:r>
    </w:p>
    <w:p w:rsidR="0052098F" w:rsidRDefault="0052098F" w:rsidP="0052098F">
      <w:pPr>
        <w:pStyle w:val="TextoNormal"/>
      </w:pPr>
    </w:p>
    <w:p w:rsidR="0052098F" w:rsidRDefault="0052098F" w:rsidP="0052098F">
      <w:pPr>
        <w:pStyle w:val="TextoNormal"/>
      </w:pPr>
      <w:r w:rsidRPr="0052098F">
        <w:rPr>
          <w:rStyle w:val="NumeroAFNegritaCaracter"/>
        </w:rPr>
        <w:t>3</w:t>
      </w:r>
      <w:r>
        <w:t>. Despejado el anterior óbice procesal, las vulneraciones del derecho a la tutela judicial efectiva que en sus diferentes vertientes la demandante de amparo imputa a la Sentencia recurrida son todas ellas reconducibles, como el Abogado del Estado señala, a la perspectiva constitucionalmente más exigente del derecho de acceso a la jurisdicción como vertiente propia del aquel derecho fundamental, pues la queja actora se contrae en esencia a los reproches de inconstitucionalidad que le merecen las razones en las que el órgano judicial ha fundado la decisión de declarar la inadmisibilidad de los recursos contencioso-administrativos, impidiendo con ello el enjuiciamiento de la pretensión formulada ante la jurisdicción contencioso-administrativo. Así pues el adecuado encuadramiento de las quejas de la demandante de amparo, en los términos en los que han sido planteadas, ha de conducir a subsumirlas en la atinente a la posible lesión del derecho fundamental a la tutela judicial efectiva en su vertiente de derecho de acceso a la jurisdicción, lo que implica que la decisión de inadmisibilidad impugnada hayamos de enjuiciarla desde la perspectiva del más severo canon propio de esta vertiente del derecho fundamental, en vez del más general de la arbitrariedad, la irrazonabilidad y el error patente.</w:t>
      </w:r>
    </w:p>
    <w:p w:rsidR="0052098F" w:rsidRDefault="0052098F" w:rsidP="0052098F">
      <w:pPr>
        <w:pStyle w:val="TextoNormal"/>
      </w:pPr>
      <w:r>
        <w:t>La resolución de la cuestión planteada en los términos en los que ha quedado delimitada requiere traer a colación, siquiera sea someramente, la doctrina constitucional sobre el derecho a la tutela judicial efectiva de las personas jurídico-públicas, a fin de determinar si son o no titulares del derecho de acceso a la jurisdicción, y, en el supuesto de que la demandante de amparo lo fuera en este caso, también sobre esta concreta vertiente de dicho derecho fundamental.</w:t>
      </w:r>
    </w:p>
    <w:p w:rsidR="0052098F" w:rsidRDefault="0052098F" w:rsidP="0052098F">
      <w:pPr>
        <w:pStyle w:val="TextoNormal"/>
      </w:pPr>
    </w:p>
    <w:p w:rsidR="0052098F" w:rsidRDefault="0052098F" w:rsidP="0052098F">
      <w:pPr>
        <w:pStyle w:val="TextoNormal"/>
      </w:pPr>
      <w:r w:rsidRPr="0052098F">
        <w:rPr>
          <w:rStyle w:val="NumeroAFNegritaCaracter"/>
        </w:rPr>
        <w:t>4</w:t>
      </w:r>
      <w:r>
        <w:t>. Este Tribunal tiene declarado en la STC 175/2001, de 26 de julio, que “las personas públicas son titulares, también, del derecho de acceso al proceso”, aunque “esta vertiente del art. 24.1 CE sólo tutela a las personas públicas frente a los Jueces y Tribunales, no en relación con el legislador”. “Corresponde a la Ley procesal —se continúa afirmando en la Sentencia— determinar, entonces, los casos en que las personas públicas disponen de acciones procesales para la defensa del interés general que les está encomendado. Lógicamente, aquella tarea de configuración legal ha de ejercerse con sometimiento al ordenamiento constitucional, lo que impide no sólo exclusiones procesales arbitrarias, sino incluso aquellas otras que, por su relevancia o extensión, pudieran hacer irreconocible el propio derecho de acceso al proceso. El alcance limitado del art. 24.1 CE en relación con las personas jurídico públicas actúa, según venimos diciendo, respecto del legislador, no en relación con el Juez” (FJ 8; en el mismo sentido, STC 311/2006, de 23 de octubre, FJ 1).</w:t>
      </w:r>
    </w:p>
    <w:p w:rsidR="0052098F" w:rsidRDefault="0052098F" w:rsidP="0052098F">
      <w:pPr>
        <w:pStyle w:val="TextoNormal"/>
      </w:pPr>
      <w:r>
        <w:t xml:space="preserve">Pues bien, la Diputación Foral de Álava en el caso que nos ocupa goza del derecho de acceso al proceso o a la jurisdicción contencioso-administrativa por expresa atribución del legislador. En efecto, el art. 1.1 LJCA atribuye a los Juzgados y Tribunales del orden contencioso-administrativo el conocimiento “de las pretensiones que se deduzcan en relación con la actuación de las Administraciones públicas sujetas al Derecho Administrativo”. Por su parte el art. 19.1 e) LJCA dispone que están legitimados ante el orden jurisdiccional contencioso-administrativo, entre otras personas jurídico-públicas, “las Entidades locales territoriales, para impugnar los actos y disposiciones que afecten al ámbito de su autonomía, </w:t>
      </w:r>
      <w:r>
        <w:lastRenderedPageBreak/>
        <w:t>emanados de las Administraciones del Estado y de las Comunidades Autónomas, así como de los Organismos públicos con personalidad jurídica propia vinculados a una y otras o los de otras Entidades locales”. Y, en fin, el art. 44 LJCA contempla expresamente en el seno del procedimiento contencioso-administrativo los litigios entre Administraciones públicas. Es suficiente el recordatorio de los referidos preceptos de la Ley de la jurisdicción contencioso-administrativa para concluir, como el Abogado del Estado pone de manifiesto en su escrito de alegaciones, que en nuestro Ordenamiento la jurisdicción contencioso-administrativa, no sólo tiene por misión controlar la conformidad a Derecho de la actividad administrativa a iniciativa de un ciudadano, sino también resolver los litigios entre Administraciones basados en el Derecho administrativo, de modo que, en lo que ahora interesa, sin adelantar pronunciamiento alguno sobre la queja actora, hemos de afirmar que la Diputación Foral de Álava es titular del derecho fundamental de acceso a la jurisdicción contencioso-administrativa para impugnar actos emanados de la actuación de la Administración del Estado que afecten a su ámbito de autonomía.</w:t>
      </w:r>
    </w:p>
    <w:p w:rsidR="0052098F" w:rsidRDefault="0052098F" w:rsidP="0052098F">
      <w:pPr>
        <w:pStyle w:val="TextoNormal"/>
      </w:pPr>
    </w:p>
    <w:p w:rsidR="0052098F" w:rsidRDefault="0052098F" w:rsidP="0052098F">
      <w:pPr>
        <w:pStyle w:val="TextoNormal"/>
      </w:pPr>
      <w:r w:rsidRPr="0052098F">
        <w:rPr>
          <w:rStyle w:val="NumeroAFNegritaCaracter"/>
        </w:rPr>
        <w:t>5</w:t>
      </w:r>
      <w:r>
        <w:t>. La interpretación judicial de las normas de acceso al proceso está guiada también en relación con las personas jurídico públicas por el principio pro actione cuando se trate del acceso a la jurisdicción (STC 175/2001, de 26 de julio, FJ 8).</w:t>
      </w:r>
    </w:p>
    <w:p w:rsidR="0052098F" w:rsidRDefault="0052098F" w:rsidP="0052098F">
      <w:pPr>
        <w:pStyle w:val="TextoNormal"/>
      </w:pPr>
      <w:r>
        <w:t>Al respecto es doctrina consolidada de este Tribunal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Un derecho que, no solo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sino también por aquellas interpretaciones de las normas que sean manifiestamente erróneas, irrazonables o basadas en criterios que por su rigorismo, formalismo excesivo o cualquier otra razón revelen una clara desproporción entre los fines que aquellas normas preservan y los intereses que se sacrifican, de forma que la negación de la concurrencia del presupuesto o requisito en cuestión sea arbitraria o irrazonable.</w:t>
      </w:r>
    </w:p>
    <w:p w:rsidR="0052098F" w:rsidRDefault="0052098F" w:rsidP="0052098F">
      <w:pPr>
        <w:pStyle w:val="TextoNormal"/>
      </w:pPr>
      <w:r>
        <w:t xml:space="preserve">Es asimismo doctrina reiterada que la apreciación de las causas legales que impiden un pronunciamiento sobre el fondo de las pretensiones deducidas corresponde, con carácter general, a los Jueces y Tribunales en el ejercicio de la función que les es propia ex art. 117.3 CE, no siendo, en principio, función del Tribunal Constitucional revisar la legalidad aplicada. Sin embargo corresponde a este Tribunal, como garante último del derecho fundamental a obtener la tutela judicial efectiva de los Jueces y Tribunales, examinar los motivos y argumentos en los que se funda la decisión judicial que inadmite la demanda o que de forma equivalente elude pronunciarse sobre el fondo del asunto planteado. Y ello, como es obvio, no para suplantar la función que a los Jueces y Tribunales compete para aplicar las normas jurídicas a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o infundada, o resulte de un error patente que tenga relevancia constitucional o que no satisfaga las exigencias de proporcionalidad inherentes a la restricción del derecho fundamental (SSTC </w:t>
      </w:r>
      <w:r>
        <w:lastRenderedPageBreak/>
        <w:t>321/1993, de 8 de noviembre, FJ 3; 48/1998, de 2 de marzo, FJ 3; 35/1999, de 22 de marzo, FJ 4; 311/2000, de18 de diciembre, FJ 3; 251/2007, de 17 de diciembre, FJ 4).</w:t>
      </w:r>
    </w:p>
    <w:p w:rsidR="0052098F" w:rsidRDefault="0052098F" w:rsidP="0052098F">
      <w:pPr>
        <w:pStyle w:val="TextoNormal"/>
      </w:pPr>
      <w:r>
        <w:t>En otras palabras, en los supuestos en los que está en juego el derecho a la tutela judicial efectiva en su vertiente de derecho de acceso a la jurisdicción el canon de enjuiciamiento constitucional de las decisiones de inadmisión o de no pronunciamiento sobre el fondo ha de verificarse de forma especialmente intensa, dado que rige en estos casos del principio pro actione, principio de obligada observancia para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quedando aquéllos compelidos a interpretar las normas procesales, no sólo de manera razonable y razonada, sin sombra de arbitrariedad ni error notorio, sino en sentido amplio y no restrictivo, esto es, con interdicción de aquellas decisiones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del cierre del proceso. En todo caso el principio pro actione no supone ni exige necesariamente que se seleccione la interpretación de la legalidad más favorable a la admisión entre todas las posibles (SSTC 220/2003, de 15 de diciembre, FJ 3; 3/2004, de 14 de enero, FJ 3; 294/2005, de 21 de noviembre, FJ 2; 63/2006, de 27 de febrero, FJ 2; 127/2006, de 24 de abril, FJ 2; 358/2006, de 18 de diciembre, FJ 3; 1/2007, de 15 de enero, FJ 2; 52/2007, de 12 de marzo, FJ 2, por todas).</w:t>
      </w:r>
    </w:p>
    <w:p w:rsidR="0052098F" w:rsidRDefault="0052098F" w:rsidP="0052098F">
      <w:pPr>
        <w:pStyle w:val="TextoNormal"/>
      </w:pPr>
      <w:r>
        <w:t>Finalmente hemos dicho también que el art. 24.1 CE impone que cualquier derecho o interés legítimo obtenga tutela efectiva de los Jueces y Tribunales (SSTC 71/1991, de 8 de abril, FJ 3; 210/1992, de 30 de noviembre, FJ 3; 311/2000, de 18 de diciembre, FJ 3).</w:t>
      </w:r>
    </w:p>
    <w:p w:rsidR="0052098F" w:rsidRDefault="0052098F" w:rsidP="0052098F">
      <w:pPr>
        <w:pStyle w:val="TextoNormal"/>
      </w:pPr>
    </w:p>
    <w:p w:rsidR="0052098F" w:rsidRDefault="0052098F" w:rsidP="0052098F">
      <w:pPr>
        <w:pStyle w:val="TextoNormal"/>
      </w:pPr>
      <w:r w:rsidRPr="0052098F">
        <w:rPr>
          <w:rStyle w:val="NumeroAFNegritaCaracter"/>
        </w:rPr>
        <w:t>6</w:t>
      </w:r>
      <w:r>
        <w:t>. En este caso la Diputación Foral de Álava interpuso varios recursos contencioso-administrativos contra las desestimaciones presuntas, por silencio administrativo, de distintos requerimientos formulados al Delegado Especial de la Agencia Estatal de la Administración Tributaria en el País Vasco para que cesasen las actuaciones de comprobación e investigación dirigidas a determinadas empresas con domicilio fiscal en Álava en orden a las liquidaciones del IVA correspondientes a operaciones asimiladas a las importaciones por salida a consumo de vino sujetas a impuestos especiales, por entender que, de conformidad con la Ley 12/1981, de 13 de mayo, modificada por la Ley 38/1997, de 4 de agosto, del concierto económico, dicha materia era competencia exclusiva de la Diputación Foral de Álava, atribuyéndose, en consecuencia, la Agencia Estatal de la Administración Tributaria competencias que no le correspondían. Como medida cautelar, con base en los arts. 129 y 130 LJCA, interesó la suspensión de los expedientes incoados.</w:t>
      </w:r>
    </w:p>
    <w:p w:rsidR="0052098F" w:rsidRDefault="0052098F" w:rsidP="0052098F">
      <w:pPr>
        <w:pStyle w:val="TextoNormal"/>
      </w:pPr>
      <w:r>
        <w:t>En el suplico del escrito de formalización de la demanda solicitaba que se confirmase la paralización de las referidas actuaciones inspectoras desarrolladas por la Agencia Estatal de la Administración Tributaria, que se decretare la nulidad de dichas actuaciones realizadas con posterioridad a los requerimientos de paralización formulados, que se repusiera a los interesados en la situación jurídica inmediatamente anterior al instante en que tales actuaciones deben ser declaradas nulas de pleno derecho y, en fin, que se declarase que la competencia para la gestión, inspección, revisión y recaudación del IVA relativas a las operaciones controvertidas no correspondía a la Administración del Estado, sino a la Diputación Foral de Álava.</w:t>
      </w:r>
    </w:p>
    <w:p w:rsidR="0052098F" w:rsidRDefault="0052098F" w:rsidP="0052098F">
      <w:pPr>
        <w:pStyle w:val="TextoNormal"/>
      </w:pPr>
      <w:r>
        <w:t xml:space="preserve">La Sección Primera de la Sala de lo Contencioso-Administrativo del Tribunal Superior de Justicia País Vasco, si bien se había declarado competente para conocer de los recursos </w:t>
      </w:r>
      <w:r>
        <w:lastRenderedPageBreak/>
        <w:t>interpuestos por Auto de 26 de julio de 2000, con posterioridad, concluida su tramitación, previa audiencia a las partes sobre la concurrencia de la posible causa de inadmisibilidad finalmente apreciada, dictó la Sentencia núm. 862/2004, de 15 de noviembre, en la que declaró la inadmisibilidad de los recursos por concurrir la causa prevista en el art. 69 c) LJCA, esto es, que los recursos contencioso-administrativos “tuviera[n] por objeto disposiciones, actos o actuaciones no susceptibles de impugnación”.</w:t>
      </w:r>
    </w:p>
    <w:p w:rsidR="0052098F" w:rsidRDefault="0052098F" w:rsidP="0052098F">
      <w:pPr>
        <w:pStyle w:val="TextoNormal"/>
      </w:pPr>
      <w:r>
        <w:t>En la Sentencia, cuya fundamentación jurídica se ha reproducido parcialmente en los antecedentes de esta resolución, la Sala razona, en síntesis, que lo pretendido en el recurso es que se resuelva un conflicto de competencias entre la Diputación Foral de Álava y la Administración del Estado, asumiendo las funciones de la inexistente Junta arbitral. En este sentido argumenta que el cauce idóneo para resolver dicho conflicto es el sometimiento a la Junta arbitral prevista en el art. 39.1 de la Ley del concierto económico, y que en el ámbito de las estas controversias interadministrativas no puede intervenir el Tribunal Superior de Justicia porque “no es el órgano que sustituye a la Junta arbitral y asume sus competencias, ni tan siquiera es el órgano judicial fiscalizador de sus decisiones, labor que recae en la Sala de lo Contencioso-Administrativo del Tribunal Supremo —art. 39.5 de la Ley del concierto; y porque no es competente para resolver conflictos de competencia”. A la precedente consideración añade la Sala que, “habiéndose dejado al margen toda impugnación de las actuaciones administrativas tributarias origen del conflicto, los actos de gestión producidos, a los que sólo se hace mención para interesar su anulación como consecuencia de la resolución del conflicto competencial, y descartándose cualquier implicación del asunto con la inactividad administrativa contemplada en el art. 25.2 de la Ley de la Jurisdicción, nos encontramos en el presente supuesto sin actividad administrativa impugnable del art. 25 y siguientes de la Ley mencionada, o más precisamente, ante un recurso contencioso-administrativo que no tiene por objeto actuaciones susceptibles de impugnación” (fundamento de Derecho segundo).</w:t>
      </w:r>
    </w:p>
    <w:p w:rsidR="0052098F" w:rsidRDefault="0052098F" w:rsidP="0052098F">
      <w:pPr>
        <w:pStyle w:val="TextoNormal"/>
      </w:pPr>
    </w:p>
    <w:p w:rsidR="0052098F" w:rsidRDefault="0052098F" w:rsidP="0052098F">
      <w:pPr>
        <w:pStyle w:val="TextoNormal"/>
      </w:pPr>
      <w:r w:rsidRPr="0052098F">
        <w:rPr>
          <w:rStyle w:val="NumeroAFNegritaCaracter"/>
        </w:rPr>
        <w:t>7</w:t>
      </w:r>
      <w:r>
        <w:t>. El examen de la queja de la recurrente en amparo debe partir de la previa consideración de que la Ley 12/1981, de 13 de mayo, modificada por la Ley 38/1997, de 4 de agosto, por la que se aprueba el concierto económico entre el Estado y el País Vasco, aplicable al caso ratione temporis, preveía la constitución de una Junta arbitral que resolviera “los conflictos que se planteen entre la Administración del Estado y las Diputaciones Forales o entre éstas y la Administración de cualquier otra Comunidad Autónoma, en relación con la aplicación de los puntos de conexión de los tributos concertados y la determinación de la proporción correspondiente a cada Administración en los supuestos de tributación conjunta por el Impuesto de sociedades o por el Impuesto sobre el valor añadido. Asimismo, entenderá de los conflictos que surjan entre las Administraciones interesadas como consecuencia de la interpretación y aplicación del presente concierto económico a casos concretos concernientes a relaciones tributarias individuales” (art. 39.1). Tras determinar la composición de la Junta (art. 39.2 y 3) y la adopción de las normas de procedimiento, legitimación y plazos (art. 39.4), se disponía que los Acuerdos de la Junta arbitral, “sin perjuicio de su carácter ejecutivo, serán únicamente susceptibles de recurso en vía contencioso-administrativa ante la sala correspondiente del Tribunal Supremo” (art. 39.5). Finalmente, se establecía que “[C]uando se suscite el conflicto de competencias, las Administraciones afectadas se abstendrían de cualquier actuación que no sea la interrupción de la prescripción” (art. 39.6). Similares previsiones se contienen en la vigente Ley 12/2002, de 23 de mayo, por la que se aprueba el concierto económico con la Comunidad Autónoma del País Vasco (arts. 65 a 67).</w:t>
      </w:r>
    </w:p>
    <w:p w:rsidR="0052098F" w:rsidRDefault="0052098F" w:rsidP="0052098F">
      <w:pPr>
        <w:pStyle w:val="TextoNormal"/>
      </w:pPr>
      <w:r>
        <w:lastRenderedPageBreak/>
        <w:t>Así pues es a la Junta arbitral prevista en el art. 39.1 LJCA a la que le correspondería conocer de los conflictos de competencia, entre otras materias, que se planteen entre la Administración del Estado y las Diputaciones Forales “en relación con la aplicación de los puntos de conexión de los tributos concertados”, y los que surjan entre las citadas Administraciones “como consecuencia de la interpretación y aplicación del presente concierto económico a casos concretos concernientes a relaciones tributarias individuales”. Como el Abogado del Estado pone de manifiesto en su escrito de alegaciones, esta vía arbitral, prevista en la Ley del concierto, ha de conceptuarse como un tipo singular de vía administrativa previa, que termina con un acuerdo que es un acto administrativo revisable por la jurisdicción contencioso-administrativa y, dentro de ella, por la Sala de lo Contencioso-Administrativo del Tribunal Supremo (art. 39.5).</w:t>
      </w:r>
    </w:p>
    <w:p w:rsidR="0052098F" w:rsidRDefault="0052098F" w:rsidP="0052098F">
      <w:pPr>
        <w:pStyle w:val="TextoNormal"/>
      </w:pPr>
      <w:r>
        <w:t>Todas las partes personadas se muestran de acuerdo, criterio que también ha sostenido el Tribunal Superior de Justicia en su Sentencia, en que la controversia planteada en este caso entre la Diputación Foral de Álava y la Administración General del Estado era perfectamente subsumible en el supuesto de los conflictos de competencia entre ambas Administraciones a los que se refiere el art. 39 de la Ley del concierto económico y, en consecuencia, que su resolución en vía administrativa correspondería a la Junta arbitral, cuyo Acuerdo sería impugnable ante la Sala de lo Contencioso-Administrativo del Tribunal Supremo. El problema surge porque, pese a estar legalmente prevista su constitución desde el año 1981, aún no se ha formalizado la constitución de la referida Junta arbitral, suscitándose entonces la cuestión de qué hacer con las controversias que se planteen entre la Administración tributaria estatal y la Administración tributaria foral y, en particular, si dichas controversias son o no residenciables en el orden jurisdiccional contencioso-administrativo.</w:t>
      </w:r>
    </w:p>
    <w:p w:rsidR="0052098F" w:rsidRDefault="0052098F" w:rsidP="0052098F">
      <w:pPr>
        <w:pStyle w:val="TextoNormal"/>
      </w:pPr>
      <w:r>
        <w:t>En este proceso de amparo, dado su limitado objeto, hemos de limitarnos a determinar si la decisión judicial impugnada que declaró la inadmisibilidad de los recursos contencioso-administrativos ha vulnerado o no en este caso, de acuerdo con la doctrina constitucional reseñada, el derecho de la demandante de amparo a la tutela judicial efectiva, en su vertiente de derecho de acceso a la jurisdicción (art. 24.1 CE), ámbito al que debe circunscribirse, por lo tanto, nuestro pronunciamiento.</w:t>
      </w:r>
    </w:p>
    <w:p w:rsidR="0052098F" w:rsidRDefault="0052098F" w:rsidP="0052098F">
      <w:pPr>
        <w:pStyle w:val="TextoNormal"/>
      </w:pPr>
    </w:p>
    <w:p w:rsidR="0052098F" w:rsidRDefault="0052098F" w:rsidP="0052098F">
      <w:pPr>
        <w:pStyle w:val="TextoNormal"/>
      </w:pPr>
      <w:r w:rsidRPr="0052098F">
        <w:rPr>
          <w:rStyle w:val="NumeroAFNegritaCaracter"/>
        </w:rPr>
        <w:t>8</w:t>
      </w:r>
      <w:r>
        <w:t>. La primera de las razones en las que el órgano judicial funda su decisión de inadmisión, esto es, la no constitución de la Junta arbitral, cuyas funciones se pretende que asuma, y su falta de competencia para resolver conflictos de competencia, desde la perspectiva de control que nos corresponde se revela por su rigorismo y excesivo formalismo desfavorable a la efectividad del derecho a la tutela judicial efectiva, con la desproporcionada consecuencia en este caso de impedir que pueda impetrarse la tutela judicial respecto de derechos e intereses legítimos.</w:t>
      </w:r>
    </w:p>
    <w:p w:rsidR="0052098F" w:rsidRDefault="0052098F" w:rsidP="0052098F">
      <w:pPr>
        <w:pStyle w:val="TextoNormal"/>
      </w:pPr>
      <w:r>
        <w:t>En efecto, como el Abogado del Estado alega, el art. 39 de la Ley del concierto económico tiene la naturaleza de una lex specialis que, al prever la Junta arbitral, establece un tipo singular de vía administrativa para resolver los conflictos de competencia entre la Administración tributaria foral y la Administración tributaria estatal en relación, entre otras materias, con la aplicación de los puntos de conexión de los tributos concertados, así como con la interpretación y aplicación del concierto a casos concretos concernientes a relaciones tributarias individuales, configurándose además como vía administrativa previa a la jurisdiccional.</w:t>
      </w:r>
    </w:p>
    <w:p w:rsidR="0052098F" w:rsidRDefault="0052098F" w:rsidP="0052098F">
      <w:pPr>
        <w:pStyle w:val="TextoNormal"/>
      </w:pPr>
      <w:r>
        <w:t xml:space="preserve">Pues bien, la falta de constitución formal de la Junta arbitral no puede conducir a privar de toda posibilidad de tutela jurisdiccional a los intereses legítimos en este caso afectados, impidiendo a sus titulares el acceso a la vía judicial en defensa de los mismos, sino que ha </w:t>
      </w:r>
      <w:r>
        <w:lastRenderedPageBreak/>
        <w:t>de llevar, por el juego del principio pro actione, a la aplicación de la normativa general, que permite que puedan residenciarse y dirimirse en el orden jurisdiccional contencioso-administrativo controversias competenciales entre la Diputación Foral de Álava y la Administración General del Estado, como las suscitadas en el caso que nos ocupa.</w:t>
      </w:r>
    </w:p>
    <w:p w:rsidR="0052098F" w:rsidRDefault="0052098F" w:rsidP="0052098F">
      <w:pPr>
        <w:pStyle w:val="TextoNormal"/>
      </w:pPr>
      <w:r>
        <w:t>En este sentido ha de traerse a colación que los órganos del orden jurisdicción contencioso-administrativo conocen “de las pretensiones que se deduzcan en relación con la actuación de las Administraciones públicas sujetas a Derecho Administrativo” (art.  1.1 LJCA).</w:t>
      </w:r>
    </w:p>
    <w:p w:rsidR="0052098F" w:rsidRDefault="0052098F" w:rsidP="0052098F">
      <w:pPr>
        <w:pStyle w:val="TextoNormal"/>
      </w:pPr>
      <w:r>
        <w:t>Por su parte el art. 19 LJCA reconoce que están legitimados ante el orden jurisdiccional contencioso-administrativo tanto “[L]a Administración del Estado, cuando ostente un derecho o interés legítimo, para impugnar los actos y la disposiciones de la Administración de las Comunidades Autónomas y de los Organismos públicos vinculados a ellas, así como los de las Entidades locales, de conformidad con lo dispuesto en la legislación de régimen local, y los de cualquier otra entidad pública no sometida a su fiscalización” como “[L]as Entidades locales territoriales, para impugnar los actos y disposiciones que afecten al ámbito de su autonomía, emanados de las Administraciones del Estado y de las Comunidades Autónomas, así como los Organismos públicos con personalidad jurídica propia vinculados a una y otra o los de otras Entidades locales”.</w:t>
      </w:r>
    </w:p>
    <w:p w:rsidR="0052098F" w:rsidRDefault="0052098F" w:rsidP="0052098F">
      <w:pPr>
        <w:pStyle w:val="TextoNormal"/>
      </w:pPr>
      <w:r>
        <w:t>Más concretamente, a los efectos que a este recurso de amparo interesan, el art. 44 LJCA contempla como supuesto específico susceptible de ser objeto del procedimiento contencioso-administrativo los litigios entre Administraciones públicas, regulando la posibilidad de que la Administración que interponga el recurso dirija un requerimiento a la otra al objeto de que previamente a la interposición del recurso derogue la disposición, anule o revoque el acto, haga cesar o modifique la actuación material o inicie la actividad a que esté obligada.</w:t>
      </w:r>
    </w:p>
    <w:p w:rsidR="0052098F" w:rsidRDefault="0052098F" w:rsidP="0052098F">
      <w:pPr>
        <w:pStyle w:val="TextoNormal"/>
      </w:pPr>
      <w:r>
        <w:t>Finalmente ha de señalarse también que la disposición adicional primera, 1 LJCA dispone, en orden a la determinación de las Administraciones públicas cuya actuación es susceptible de ser impugnada en el orden jurisdiccional contencioso-administrativo (art. 1.2), que en la Comunidad Autónoma del País Vasco debe incluirse en esa determinación a las Diputaciones Forales y la Administración institucional de ellas dependientes.</w:t>
      </w:r>
    </w:p>
    <w:p w:rsidR="0052098F" w:rsidRDefault="0052098F" w:rsidP="0052098F">
      <w:pPr>
        <w:pStyle w:val="TextoNormal"/>
      </w:pPr>
      <w:r>
        <w:t>Por lo tanto una interpretación de la normativa aplicable informada y presidida por el principio pro actione ha de conducir a apreciar que, pese a la no constitución formal de la Junta arbitral prevista en la Ley del concierto económico, el litigio competencial en este caso suscitado entre la Diputación Foral de Álava y la Administración General del Estado con ocasión de la aplicación del concierto económico era residenciable ante el orden jurisdiccional contencioso-administrativo, al que le corresponde el conocimiento de los litigios competenciales entre Administraciones públicas basados en el Derecho administrativo.</w:t>
      </w:r>
    </w:p>
    <w:p w:rsidR="0052098F" w:rsidRDefault="0052098F" w:rsidP="0052098F">
      <w:pPr>
        <w:pStyle w:val="TextoNormal"/>
      </w:pPr>
      <w:r>
        <w:t xml:space="preserve">En esta línea de razonamiento ha de descartarse, frente a lo que se argumenta al respecto en la Sentencia impugnada, que la demandante de amparo pretendiese que el Tribunal Superior de Justicia sustituyese a la Junta arbitral en la resolución del conflicto de competencias planteado contra la Administración General del Estado. La Diputación Foral de Álava no ha pedido al órgano judicial que dictase un acto administrativo, que es el tipo de acto que podría dictar la Junta arbitral, sino una decisión judicial, una Sentencia, en la que lo que se pedía del órgano judicial es que se pronunciara sobre si la competencia de las actuaciones controvertidas correspondía a la Administración General del Estado o a la Diputación Foral de Álava y, en este último caso, que anulase las actuaciones fiscales investigadores y comprobadoras llevadas a cabo por aquélla al invadir el ámbito competencial de la demandante de amparo. En definitiva, como afirma el Abogado del Estado, la demandante de amparo ha formulado ante un órgano del orden jurisdiccional contencioso-administrativo con ocasión </w:t>
      </w:r>
      <w:r>
        <w:lastRenderedPageBreak/>
        <w:t>de un litigio competencial entre Administraciones públicas una típica pretensión anulatoria de las concretas actuaciones controvertidas, con expresa declaración de reconocimiento de la competencia propia y de la invasión padecida, pretensiones ambas encuadrables en el art. 31.1 y 2 LJCA.</w:t>
      </w:r>
    </w:p>
    <w:p w:rsidR="0052098F" w:rsidRDefault="0052098F" w:rsidP="0052098F">
      <w:pPr>
        <w:pStyle w:val="TextoNormal"/>
      </w:pPr>
    </w:p>
    <w:p w:rsidR="0052098F" w:rsidRDefault="0052098F" w:rsidP="0052098F">
      <w:pPr>
        <w:pStyle w:val="TextoNormal"/>
      </w:pPr>
      <w:r w:rsidRPr="0052098F">
        <w:rPr>
          <w:rStyle w:val="NumeroAFNegritaCaracter"/>
        </w:rPr>
        <w:t>9</w:t>
      </w:r>
      <w:r>
        <w:t>. En este orden de consideraciones hemos de señalar que no corresponde a este Tribunal determinar cuál es el órgano judicial del orden jurisdiccional contencioso-administrativo competente para conocer, de acuerdo con las normas de competencia recogidas en los arts. 8 a 14 LJCA, de los recursos contencioso-administrativos interpuestos en este caso por la Diputación Foral de Álava contra la desestimación de los requerimientos que dirigió a la Agencia Estatal de la Administración Tributaria en relación con las actuaciones controvertidas. Desde la perspectiva del control que nos corresponde es suficiente con constatar la competencia del orden jurisdiccional contencioso-administrativo para conocer de las pretensiones deducidas por la demandante de amparo y con recordar que, de conformidad con el art. 7.3 LJCA, “la declaración de incompetencia adoptará la forma de auto y deberá efectuarse antes de la Sentencia, remitiéndose las actuaciones al órgano de la Jurisdicción que se estime competente para que ante él siga el curso del proceso”. En tal sentido este Tribunal tiene declarado que el trascrito art. 7.3 LJCA “hace posible la reorientación del recurso interpuesto ante órgano incompetente hacia el que ostenta la competencia, y en tal sentido expresa un principio de favorecimiento de la acción y de la conservación de los actos procesales que resulta inherente, desde luego, al derecho a la tutela judicial efectiva (art. 24.1 CE)” (STC 147/2005, de 6 de junio, FJ 2). De modo que si el Tribunal Superior de Justicia no se consideraba competente en este caso para conocer de las pretensiones ante él deducidas, correspondientes al ámbito jurisdiccional de las mismas ante el orden jurisdiccional contencioso-administrativo, como se ha expuesto, tendría que haber procedido a remitir las actuaciones al órgano de la jurisdicción que estimase competente.</w:t>
      </w:r>
    </w:p>
    <w:p w:rsidR="0052098F" w:rsidRDefault="0052098F" w:rsidP="0052098F">
      <w:pPr>
        <w:pStyle w:val="TextoNormal"/>
      </w:pPr>
    </w:p>
    <w:p w:rsidR="0052098F" w:rsidRDefault="0052098F" w:rsidP="0052098F">
      <w:pPr>
        <w:pStyle w:val="TextoNormal"/>
      </w:pPr>
      <w:r w:rsidRPr="0052098F">
        <w:rPr>
          <w:rStyle w:val="NumeroAFNegritaCaracter"/>
        </w:rPr>
        <w:t>10</w:t>
      </w:r>
      <w:r>
        <w:t>. La segunda de la razones en las que el órgano judicial sustenta su decisión de inadmisión, esto es, la no existencia de actuaciones administrativas susceptibles de impugnación, desde la perspectiva de control que nos corresponde, se revela también, por su rigorismo y excesivo formalismo, lesiva del derecho a la tutela judicial efectiva, en su vertiente de derecho de acceso al proceso.</w:t>
      </w:r>
    </w:p>
    <w:p w:rsidR="0052098F" w:rsidRDefault="0052098F" w:rsidP="0052098F">
      <w:pPr>
        <w:pStyle w:val="TextoNormal"/>
      </w:pPr>
      <w:r>
        <w:t>En este caso el carácter competencial de las controversias entre la Diputación Foral de Álava y la Administración General del Estado no priva de su carácter de actividad administrativa a las concretas actuaciones concernientes a varias relaciones tributarias individuales que dan origen de dicho conflicto. Como señala el Abogado del Estado en su escrito de alegaciones, no ha lugar a distinguir como si fueran dos entidades ideales distintas la actividad administrativa de los casos concretos concernientes a relaciones tributarias individuales y el conflicto de competencia entre ambas Administraciones, pues este último tiene por objeto las primeras y se encauza a través de un procedimiento contencioso-administrativo, si bien contraído exclusivamente a la infracción de las reglas de distribución de competencias. Existe, pues, una concreta actividad administrativa revisable objeto de control en el litigio contencioso-administrativo entre las Administraciones por razón de la competencia, que no es otra que la actividad de investigación y comprobación llevada a cabo por la Agencia Estatal de la Administración Tributaria en relación con concretas y determinadas relaciones tributarias individuales cuestionada por la Diputación Foral de Álava y cuya nulidad interesaba por invadir su competencia tributaria foral.</w:t>
      </w:r>
    </w:p>
    <w:p w:rsidR="0052098F" w:rsidRDefault="0052098F" w:rsidP="0052098F">
      <w:pPr>
        <w:pStyle w:val="TextoNormal"/>
      </w:pPr>
      <w:r>
        <w:lastRenderedPageBreak/>
        <w:t>De otra parte, como también pone de manifiesto el Abogado del Estado, la Ley de la jurisdicción contencioso-administrativa viene a reconocer los litigios competenciales como una subespecie de los litigios entre Administraciones públicas [art. 19 d) y e), en relación con los arts. 44.1, 46.6, 81.1 c)], careciendo en todo caso de relevancia constitucional los conflictos entre la Administración General del Estado y las Diputaciones Forales.</w:t>
      </w:r>
    </w:p>
    <w:p w:rsidR="0052098F" w:rsidRDefault="0052098F" w:rsidP="0052098F">
      <w:pPr>
        <w:pStyle w:val="TextoNormal"/>
      </w:pPr>
      <w:r>
        <w:t>Así pues, desde la perspectiva de control que nos corresponde, no puede estimarse una interpretación de la legislación procesal aplicable acorde con el principio pro actione la apreciación judicial de que en este caso no existía una actividad administrativa jurisdiccional revisable.</w:t>
      </w:r>
    </w:p>
    <w:p w:rsidR="0052098F" w:rsidRDefault="0052098F" w:rsidP="0052098F">
      <w:pPr>
        <w:pStyle w:val="TextoNormal"/>
      </w:pPr>
    </w:p>
    <w:p w:rsidR="0052098F" w:rsidRDefault="0052098F" w:rsidP="0052098F">
      <w:pPr>
        <w:pStyle w:val="TextoNormal"/>
      </w:pPr>
      <w:r w:rsidRPr="0052098F">
        <w:rPr>
          <w:rStyle w:val="NumeroAFNegritaCaracter"/>
        </w:rPr>
        <w:t>11</w:t>
      </w:r>
      <w:r>
        <w:t>. Las precedentes consideraciones permiten concluir que la Sentencia impugnada, al declarar la inadmisibilidad de los recursos contencioso-administrativos interpuestos por la Diputación Foral de Álava por estimar que concurría la causa prevista en el art. 69 c) LJCA, ha lesionado el derecho de la demandante de amparo a la tutela judicial efectiva, en su vertiente de derecho de acceso a la jurisdicción (art. 24.1 CE).</w:t>
      </w:r>
    </w:p>
    <w:p w:rsidR="0052098F" w:rsidRDefault="0052098F" w:rsidP="0052098F">
      <w:pPr>
        <w:pStyle w:val="TextoNormal"/>
      </w:pPr>
      <w:r>
        <w:t>En cuanto a los efectos del otorgamiento del amparo, no procede declarar la admisibilidad de los recursos contencioso-administrativos interpuestos por la demandante de amparo, como solicita ésta, sino únicamente anular la Sentencia impugnada, retrotrayendo las actuaciones judiciales al momento inmediatamente anterior a ella, para que se dicte una nueva resolución judicial respetuosa con el derecho fundamental vulnerado.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la demanda de amparo promovida por la Diputación Foral de Álava y, en su virtud:</w:t>
      </w:r>
    </w:p>
    <w:p w:rsidR="0052098F" w:rsidRDefault="0052098F" w:rsidP="0052098F">
      <w:pPr>
        <w:pStyle w:val="TextoNormal"/>
      </w:pPr>
      <w:r>
        <w:t>1º Declarar vulnerado el derecho de la recurrente en amparo a la tutela judicial efectiva, en su vertiente de derecho de acceso al proceso (art. 24.1 CE).</w:t>
      </w:r>
    </w:p>
    <w:p w:rsidR="0052098F" w:rsidRDefault="0052098F" w:rsidP="0052098F">
      <w:pPr>
        <w:pStyle w:val="TextoNormal"/>
      </w:pPr>
      <w:r>
        <w:t>2º Restablecerla en su derecho y, a tal fin, declarar la nulidad de la Sentencia de la Sección Primera de la Sala de lo Contencioso-Administrativo del Tribunal Superior de Justicia del País Vasco núm. 864/2004, de 15 de noviembre, recaída en el procedimiento ordinario Ley 98 761/00-1, retrotrayendo las actuaciones al momento inmediatamente anterior al de Sentencia, para que se dicte una nueva resolución judicial respetuosa con el derecho fundamental vulnerado.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once de febrero de dos mil ocho.</w:t>
      </w:r>
    </w:p>
    <w:p w:rsidR="0052098F" w:rsidRDefault="0052098F" w:rsidP="0052098F">
      <w:pPr>
        <w:pStyle w:val="ParrafoNormal"/>
      </w:pPr>
    </w:p>
    <w:p w:rsidR="0052098F" w:rsidRDefault="0052098F" w:rsidP="0052098F">
      <w:pPr>
        <w:pStyle w:val="TextoNormalNegritaCentrado"/>
        <w:keepNext/>
      </w:pPr>
      <w:r>
        <w:lastRenderedPageBreak/>
        <w:t>Voto particular que formula el Magistrado don Vicente Conde Martín de Hijas respecto de la Sentencia de fecha 11 de febrero de 2008 dictada en el recurso de amparo núm. 7782-2004.</w:t>
      </w:r>
    </w:p>
    <w:p w:rsidR="0052098F" w:rsidRDefault="0052098F" w:rsidP="0052098F">
      <w:pPr>
        <w:pStyle w:val="TextoNormalNegritaCentrado"/>
        <w:keepNext/>
      </w:pPr>
    </w:p>
    <w:p w:rsidR="0052098F" w:rsidRDefault="0052098F" w:rsidP="0052098F">
      <w:pPr>
        <w:pStyle w:val="TextoNormal"/>
      </w:pPr>
      <w:r>
        <w:t>Con el respeto que me merecen siempre los criterios de mis colegas, aun cuando no los comparta, ejercito la facultad establecida en el art. 90.2 LOTC formulando Voto particular respecto de la Sentencia dictada en el actual proceso, de la que he sido Ponente, expresando, como tal, el parecer de la Sala.</w:t>
      </w:r>
    </w:p>
    <w:p w:rsidR="0052098F" w:rsidRDefault="0052098F" w:rsidP="0052098F">
      <w:pPr>
        <w:pStyle w:val="TextoNormal"/>
      </w:pPr>
      <w:r>
        <w:t>En ese papel me he ceñido a lo que es jurisprudencia consolidada de este Tribunal, partiendo de la STC 175/2001, de 26 de julio.</w:t>
      </w:r>
    </w:p>
    <w:p w:rsidR="0052098F" w:rsidRDefault="0052098F" w:rsidP="0052098F">
      <w:pPr>
        <w:pStyle w:val="TextoNormal"/>
      </w:pPr>
      <w:r>
        <w:t>Es precisamente respecto de esa Sentencia, clave inicial en este caso, respecto de la que se separa mi personal criterio, en los términos que expresé en mi Voto particular a la misma, que doy aquí íntegramente por reproducido por remisión.</w:t>
      </w:r>
    </w:p>
    <w:p w:rsidR="0052098F" w:rsidRDefault="0052098F" w:rsidP="0052098F">
      <w:pPr>
        <w:pStyle w:val="TextoNormal"/>
      </w:pPr>
      <w:r>
        <w:t>Sostuve entonces, y la jurisprudencia posterior no me ha convencido de la tesis contraria, que los poderes públicos no son titulares de derechos fundamentales (a diferencia de las personas jurídico-privadas), y en concreto del de tutela judicial efectiva, independientemente de que en el plano infraconstitucional de los diversos procesos puedan tener los derechos que la Ley les otorgue, cuyo eventual desconocimiento creo que no transforma las infracciones legales en vulneración de un derecho fundamental.</w:t>
      </w:r>
    </w:p>
    <w:p w:rsidR="0052098F" w:rsidRDefault="0052098F" w:rsidP="0052098F">
      <w:pPr>
        <w:pStyle w:val="TextoNormal"/>
      </w:pPr>
      <w:r>
        <w:t>A partir de esa consideración, y por ella sola, el recurso de amparo debía, en mi criterio, haberse desestimado.</w:t>
      </w:r>
    </w:p>
    <w:p w:rsidR="0052098F" w:rsidRDefault="0052098F" w:rsidP="0052098F">
      <w:pPr>
        <w:pStyle w:val="TextoNormal"/>
      </w:pPr>
      <w:r>
        <w:t>Empero, si se acepta el presupuesto de partida de la aptitud constitucional de los poderes públicos para ser titulares del derecho fundamental de tutela judicial efectiva (que es, según he dicho donde se centra mi disentimiento) todo el desarrollo posterior de la Sentencia creo que se ajusta fielmente a nuestra doctrina, que comparto, y la valoración de los elementos del caso, y la aplicación a él de nuestra doctrina sobre acceso a la jurisdicción reflejan ya en plenitud mi propio criterio.</w:t>
      </w:r>
    </w:p>
    <w:p w:rsidR="0052098F" w:rsidRDefault="0052098F" w:rsidP="0052098F">
      <w:pPr>
        <w:pStyle w:val="TextoNormal"/>
      </w:pPr>
      <w:r>
        <w:t>En tal sentido emito mi Voto.</w:t>
      </w:r>
    </w:p>
    <w:p w:rsidR="0052098F" w:rsidRDefault="0052098F" w:rsidP="0052098F">
      <w:pPr>
        <w:pStyle w:val="TextoNormal"/>
      </w:pPr>
      <w:r>
        <w:t>Madrid, a once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0" w:name="SENTENCIA_2008_27"/>
      <w:r>
        <w:lastRenderedPageBreak/>
        <w:t>SENTENCIA 27/2008, de 11 de febrero de 2008</w:t>
      </w:r>
    </w:p>
    <w:bookmarkEnd w:id="30"/>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64, de 14 de marzo de 2008)</w:t>
      </w:r>
    </w:p>
    <w:p w:rsidR="0052098F" w:rsidRDefault="0052098F" w:rsidP="0052098F">
      <w:pPr>
        <w:pStyle w:val="TtuloBOE"/>
      </w:pPr>
    </w:p>
    <w:p w:rsidR="0052098F" w:rsidRDefault="0052098F" w:rsidP="0052098F">
      <w:pPr>
        <w:pStyle w:val="SntesisDescriptiva"/>
      </w:pPr>
      <w:r>
        <w:t>ECLI:ES:TC:2008:27</w:t>
      </w:r>
    </w:p>
    <w:p w:rsidR="0052098F" w:rsidRDefault="0052098F" w:rsidP="0052098F">
      <w:pPr>
        <w:pStyle w:val="SntesisDescriptiva"/>
      </w:pPr>
    </w:p>
    <w:p w:rsidR="0052098F" w:rsidRDefault="0052098F" w:rsidP="0052098F">
      <w:pPr>
        <w:pStyle w:val="SntesisDescriptiva"/>
      </w:pPr>
      <w:r>
        <w:t>Recurso de amparo 137-2006. Promovido por don Taysir Alony Kate frente a los Autos de la Sala de lo Penal de la Audiencia Nacional que acordaron prorrogar su prisión provisional hasta la mitad de la pena impuesta por delito de colaboración con banda armada (STC 152/2007).</w:t>
      </w:r>
    </w:p>
    <w:p w:rsidR="0052098F" w:rsidRDefault="0052098F" w:rsidP="0052098F">
      <w:pPr>
        <w:pStyle w:val="SntesisDescriptiva"/>
      </w:pPr>
    </w:p>
    <w:p w:rsidR="0052098F" w:rsidRDefault="0052098F" w:rsidP="0052098F">
      <w:pPr>
        <w:pStyle w:val="SntesisAnaltica"/>
      </w:pPr>
      <w:r>
        <w:t>Vulneración del derecho a la libertad personal: prisión provisional mantenida con prórroga insuficientemente motivada, mientras pendía recurso contra la condena de instancia (STC 22/2004).</w:t>
      </w:r>
    </w:p>
    <w:p w:rsidR="0052098F" w:rsidRDefault="0052098F" w:rsidP="0052098F">
      <w:pPr>
        <w:pStyle w:val="SntesisAnaltica"/>
      </w:pPr>
    </w:p>
    <w:p w:rsidR="0052098F" w:rsidRDefault="0052098F" w:rsidP="0052098F">
      <w:pPr>
        <w:pStyle w:val="Extracto"/>
      </w:pPr>
      <w:r>
        <w:t>1.</w:t>
      </w:r>
      <w:r>
        <w:tab/>
        <w:t>Se vulnera el derecho a la libertad personal si la decisión de mantenimiento de la prisión provisional y su prórroga parte exclusiva y mecánicamente del hecho de que haya recaído Sentencia condenatoria en primera instancia, existiendo recurso ante el Tribunal Supremo, sin tomar en cuenta ninguna otra circunstancia que permita realizar la exigible ponderación de la medida y acomodarla a sus fines constitucionalmente legítimos [FJ 6].</w:t>
      </w:r>
    </w:p>
    <w:p w:rsidR="0052098F" w:rsidRDefault="0052098F" w:rsidP="0052098F">
      <w:pPr>
        <w:pStyle w:val="Extracto"/>
      </w:pPr>
    </w:p>
    <w:p w:rsidR="0052098F" w:rsidRDefault="0052098F" w:rsidP="0052098F">
      <w:pPr>
        <w:pStyle w:val="Extracto"/>
      </w:pPr>
      <w:r>
        <w:t>2.</w:t>
      </w:r>
      <w:r>
        <w:tab/>
        <w:t>Aplicar de modo automático la facultad del art. 504.2 LECrim, asumiendo que el dictado de una Sentencia condenatoria lleva implícita la prolongación de la prisión provisional hasta la mitad de la pena impuesta, colisiona frontalmente con el carácter excepcional de la prisión provisional y con las exigencias de motivación específicas de una medida restrictiva de libertad tan drástica (STC 333/2006) [FFJJ 4, 6].</w:t>
      </w:r>
    </w:p>
    <w:p w:rsidR="0052098F" w:rsidRDefault="0052098F" w:rsidP="0052098F">
      <w:pPr>
        <w:pStyle w:val="Extracto"/>
      </w:pPr>
    </w:p>
    <w:p w:rsidR="0052098F" w:rsidRDefault="0052098F" w:rsidP="0052098F">
      <w:pPr>
        <w:pStyle w:val="Extracto"/>
      </w:pPr>
      <w:r>
        <w:t>3.</w:t>
      </w:r>
      <w:r>
        <w:tab/>
        <w:t>El Tribunal ha identificado dos criterios para la motivación de la medida cautelar por un lado la toma de consideración de las características y gravedad del delito, la pena con que se amenaza y las circunstancias concretas tanto del caso como las personales del imputado y, por otro, la valoración del paso del tiempo, por si modifica las anteriores (SSTC 8/2002, 33/1999) [FJ 5].</w:t>
      </w:r>
    </w:p>
    <w:p w:rsidR="0052098F" w:rsidRDefault="0052098F" w:rsidP="0052098F">
      <w:pPr>
        <w:pStyle w:val="Extracto"/>
      </w:pPr>
    </w:p>
    <w:p w:rsidR="0052098F" w:rsidRDefault="0052098F" w:rsidP="0052098F">
      <w:pPr>
        <w:pStyle w:val="Extracto"/>
      </w:pPr>
      <w:r>
        <w:t>4.</w:t>
      </w:r>
      <w:r>
        <w:tab/>
        <w:t>La prisión provisional es una medida cautelar justificada, entre otras, por la necesidad de asegurar la presencia del inculpado en el juicio oral [FJ 4].</w:t>
      </w:r>
    </w:p>
    <w:p w:rsidR="0052098F" w:rsidRDefault="0052098F" w:rsidP="0052098F">
      <w:pPr>
        <w:pStyle w:val="Extracto"/>
      </w:pPr>
    </w:p>
    <w:p w:rsidR="0052098F" w:rsidRDefault="0052098F" w:rsidP="0052098F">
      <w:pPr>
        <w:pStyle w:val="Extracto"/>
      </w:pPr>
      <w:r>
        <w:t>5.</w:t>
      </w:r>
      <w:r>
        <w:tab/>
        <w:t>La aplicación de la prisión provisional deberá tener como presupuesto la existencia de indicios racionales de la comisión de una acción delictiva, como objetivo la consecución de fines constitucionalmente legítimos y congruentes con la naturaleza de la medida, y como fundamento la ponderación de las circunstancias concretas (SSTC 62/1996, 14/2000) [FJ 4].</w:t>
      </w:r>
    </w:p>
    <w:p w:rsidR="0052098F" w:rsidRDefault="0052098F" w:rsidP="0052098F">
      <w:pPr>
        <w:pStyle w:val="Extracto"/>
      </w:pPr>
    </w:p>
    <w:p w:rsidR="0052098F" w:rsidRDefault="0052098F" w:rsidP="0052098F">
      <w:pPr>
        <w:pStyle w:val="Extracto"/>
      </w:pPr>
      <w:r>
        <w:t>6.</w:t>
      </w:r>
      <w:r>
        <w:tab/>
        <w:t xml:space="preserve">Para que la motivación de la resolución judicial que adopte la prisión provisional se considere suficiente y razonable es preciso que la misma sea el resultado de una ponderación no arbitraria de la libertad de la persona cuya inocencia se presume, </w:t>
      </w:r>
      <w:r>
        <w:lastRenderedPageBreak/>
        <w:t>por un lado, y la realización de la justicia penal y la evitación de hechos delictivos, por otro (STC 333/2006) [FJ 4].</w:t>
      </w:r>
    </w:p>
    <w:p w:rsidR="0052098F" w:rsidRDefault="0052098F" w:rsidP="0052098F">
      <w:pPr>
        <w:pStyle w:val="Extracto"/>
      </w:pPr>
    </w:p>
    <w:p w:rsidR="0052098F" w:rsidRDefault="0052098F" w:rsidP="0052098F">
      <w:pPr>
        <w:pStyle w:val="Extracto"/>
      </w:pPr>
      <w:r>
        <w:t>7.</w:t>
      </w:r>
      <w:r>
        <w:tab/>
        <w:t>La prórroga o ampliación del plazo máximo inicial de prisión provisional requiere una decisión judicial específica que motive tal excepcional decisión, fundada en alguno de los supuestos legales y adoptada antes del que el plazo inicial haya expirado [FJ 4].</w:t>
      </w:r>
    </w:p>
    <w:p w:rsidR="0052098F" w:rsidRDefault="0052098F" w:rsidP="0052098F">
      <w:pPr>
        <w:pStyle w:val="Extracto"/>
      </w:pPr>
    </w:p>
    <w:p w:rsidR="0052098F" w:rsidRDefault="0052098F" w:rsidP="0052098F">
      <w:pPr>
        <w:pStyle w:val="Extracto"/>
      </w:pPr>
      <w:r>
        <w:t>8.</w:t>
      </w:r>
      <w:r>
        <w:tab/>
        <w:t>El análisis de los defectos o insuficiencias en la motivación de las resoluciones judiciales que acuerdan la adopción o el mantenimiento de la prisión provisional trasciende el deber genérico de fundamentación de las resoluciones judiciales para entrar en el más estricto de la fundamentación de las medidas restrictivas de libertad (STC 99/2005) [FJ 3].</w:t>
      </w:r>
    </w:p>
    <w:p w:rsidR="0052098F" w:rsidRDefault="0052098F" w:rsidP="0052098F">
      <w:pPr>
        <w:pStyle w:val="Extracto"/>
      </w:pPr>
    </w:p>
    <w:p w:rsidR="0052098F" w:rsidRDefault="0052098F" w:rsidP="0052098F">
      <w:pPr>
        <w:pStyle w:val="Extracto"/>
      </w:pPr>
      <w:r>
        <w:t>9.</w:t>
      </w:r>
      <w:r>
        <w:tab/>
        <w:t>No corresponde a este Tribunal determinar en cada caso si concurren o no las circunstancias que permiten la adopción o el mantenimiento de la prisión provisional, únicamente el control externo de que esa adopción o mantenimiento se ha acordado de forma fundada, razonada, completa y acorde con los fines de la institución (STC 128/1995) [FJ 5].</w:t>
      </w:r>
    </w:p>
    <w:p w:rsidR="0052098F" w:rsidRDefault="0052098F" w:rsidP="0052098F">
      <w:pPr>
        <w:pStyle w:val="Extracto"/>
      </w:pPr>
    </w:p>
    <w:p w:rsidR="0052098F" w:rsidRDefault="0052098F" w:rsidP="0052098F">
      <w:pPr>
        <w:pStyle w:val="Extracto"/>
      </w:pPr>
      <w:r>
        <w:t>10.</w:t>
      </w:r>
      <w:r>
        <w:tab/>
        <w:t>Debido al imperativo del carácter subsidiario de la jurisdicción constitucional, no serán tomadas en consideración alegaciones de violación de derechos fundamentales que no se invocaron en el recurso de súplica presentado contra el Auto que ahora se recurre (STC 132/2006) [FJ 2].</w:t>
      </w:r>
    </w:p>
    <w:p w:rsidR="0052098F" w:rsidRDefault="0052098F" w:rsidP="0052098F">
      <w:pPr>
        <w:pStyle w:val="Extracto"/>
      </w:pPr>
    </w:p>
    <w:p w:rsidR="0052098F" w:rsidRDefault="0052098F" w:rsidP="0052098F">
      <w:pPr>
        <w:pStyle w:val="Extracto"/>
      </w:pPr>
      <w:r>
        <w:t>11.</w:t>
      </w:r>
      <w:r>
        <w:tab/>
        <w:t>La estimación del amparo no implica automáticamente la puesta en libertad del recurrente, que no procederá en caso de que concurra alguna de las causas que justifiquen la prisión, correspondiendo al órgano judicial la decisión acerca del mantenimiento o alzamiento de la medida cautelar personal en el proceso penal (SSTC 22/2004) [FJ 7].</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137-2006, promovido por don Taysir Alony Kate, representado por la Procuradora de los Tribunales doña Esther Rodríguez Pérez y asistido por el Abogado don José Luis Galán Martín, contra el Auto de la Sección Tercera de la Sala de lo </w:t>
      </w:r>
      <w:r>
        <w:lastRenderedPageBreak/>
        <w:t>Penal de la Audiencia Nacional de 23 de noviembre de 2005, dictado en rollo de Sala núm. 64-2004, en el sumario núm. 35-2001, que desestima el recurso de súplica interpuesto contra el Auto del citado órgano judicial de 10 de octubre de 2005, por el que se acuerda la prórroga de la prisión provisional. Ha intervenido el Ministerio Fiscal. Ha sido Ponente el Magistrado don Eugeni Gay Montalvo,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que tuvo entrada en el Registro General de este Tribunal el día 5 de enero de 2006 la Procuradora de los Tribunales doña Esther Rodríguez Pérez, en nombre y representación de don Taysir Alony Kate, interpuso recurso de amparo contra las resoluciones judiciales que se citan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tiene su origen el presente recurso y relevantes para su resolución son, sucintamente expuestos, los siguientes: </w:t>
      </w:r>
    </w:p>
    <w:p w:rsidR="0052098F" w:rsidRDefault="0052098F" w:rsidP="0052098F">
      <w:pPr>
        <w:pStyle w:val="TextoNormal"/>
      </w:pPr>
      <w:r>
        <w:t xml:space="preserve">a) El día 11 de septiembre de 2003, se dictó por parte del Juzgado Central de Instrucción núm. 5, en el marco del sumario 35-2001, un Auto por el que se decretaba la prisión provisional, incondicional y comunicada, del ahora demandante de amparo por su presunta vinculación con la organización terrorista Al Queda. </w:t>
      </w:r>
    </w:p>
    <w:p w:rsidR="0052098F" w:rsidRDefault="0052098F" w:rsidP="0052098F">
      <w:pPr>
        <w:pStyle w:val="TextoNormal"/>
      </w:pPr>
      <w:r>
        <w:t xml:space="preserve">Por el mismo Juzgado se dictó el día 17 de septiembre de 2003 Auto de procesamiento, ratificando su situación de prisión provisional. </w:t>
      </w:r>
    </w:p>
    <w:p w:rsidR="0052098F" w:rsidRDefault="0052098F" w:rsidP="0052098F">
      <w:pPr>
        <w:pStyle w:val="TextoNormal"/>
      </w:pPr>
      <w:r>
        <w:t xml:space="preserve">El día 23 de octubre de 2003 el Juzgado reforma el Auto de 11 de septiembre y decreta la prisión provisional eludible mediante el pago de una fianza de 60.000 euros. Ese mismo día se depositó la fianza y se produjo la puesta en libertad del recurrente. </w:t>
      </w:r>
    </w:p>
    <w:p w:rsidR="0052098F" w:rsidRDefault="0052098F" w:rsidP="0052098F">
      <w:pPr>
        <w:pStyle w:val="TextoNormal"/>
      </w:pPr>
      <w:r>
        <w:t xml:space="preserve">El referido Auto de procesamiento fue recurrido en reforma y subsidiariamente en apelación. El recurso de apelación fue desestimado por Auto de la Sección Cuarta de la Sala de lo Penal de la Audiencia Nacional de 15 de noviembre de 2004, sin modificar la situación personal de libertad provisional en que se encontraba el recurrente. </w:t>
      </w:r>
    </w:p>
    <w:p w:rsidR="0052098F" w:rsidRDefault="0052098F" w:rsidP="0052098F">
      <w:pPr>
        <w:pStyle w:val="TextoNormal"/>
      </w:pPr>
      <w:r>
        <w:t xml:space="preserve">b) Mediante Auto de 19 de noviembre de 2004 la Sección Tercera de la Sala de lo Penal de la Audiencia Nacional, previa petición del Fiscal y tras celebrar la comparecencia prevista en el art. 505 LECrim, acordó decretar la prisión provisional comunicada y sin fianza del ahora demandante de amparo. Recurrido en súplica, fue confirmado por Auto de 9 de diciembre de 2004. </w:t>
      </w:r>
    </w:p>
    <w:p w:rsidR="0052098F" w:rsidRDefault="0052098F" w:rsidP="0052098F">
      <w:pPr>
        <w:pStyle w:val="TextoNormal"/>
      </w:pPr>
      <w:r>
        <w:t xml:space="preserve">Contra los citados Autos interpuso el recurrente demanda de amparo, la cual, registrada con núm. 343-2005, fue desestimada por la Sala Segunda en STC 152/2007, de 18 de junio. </w:t>
      </w:r>
    </w:p>
    <w:p w:rsidR="0052098F" w:rsidRDefault="0052098F" w:rsidP="0052098F">
      <w:pPr>
        <w:pStyle w:val="TextoNormal"/>
      </w:pPr>
      <w:r>
        <w:t xml:space="preserve">Posteriormente, al inicio del juicio oral y mediante Auto de 22 de abril de 2005, se decretó la libertad provisional sin fianza del recurrente, con la obligación de presentarse diariamente ante la Guardia Civil, valorando el órgano judicial “los informes médicos aportados por la representación del mencionado y que el riesgo de fuga ha quedado atenuado por el comportamiento del mismo”. </w:t>
      </w:r>
    </w:p>
    <w:p w:rsidR="0052098F" w:rsidRDefault="0052098F" w:rsidP="0052098F">
      <w:pPr>
        <w:pStyle w:val="TextoNormal"/>
      </w:pPr>
      <w:r>
        <w:t xml:space="preserve">c) Mediante Auto de 16 de septiembre de 2005 la Sala de lo Penal decretó nuevamente la prisión provisional, “atendido el estado de las deliberaciones y la inminente publicación de la sentencia”, y “con el fin de conjurar el riesgo de sustracción a la acción de la justicia”, siendo confirmada, previa comparecencia del art. 505 LECrim, por Auto de 19 de septiembre de 2005. </w:t>
      </w:r>
    </w:p>
    <w:p w:rsidR="0052098F" w:rsidRDefault="0052098F" w:rsidP="0052098F">
      <w:pPr>
        <w:pStyle w:val="TextoNormal"/>
      </w:pPr>
      <w:r>
        <w:t xml:space="preserve">Los referidos Autos fueron recurridos en súplica y apelación por el demandante de amparo, argumentando la inexistencia de riesgo de fuga o de reiteración delictiva, el riguroso </w:t>
      </w:r>
      <w:r>
        <w:lastRenderedPageBreak/>
        <w:t xml:space="preserve">cumplimiento de todas las condiciones impuestas con anterioridad y su arraigo social y familiar. </w:t>
      </w:r>
    </w:p>
    <w:p w:rsidR="0052098F" w:rsidRDefault="0052098F" w:rsidP="0052098F">
      <w:pPr>
        <w:pStyle w:val="TextoNormal"/>
      </w:pPr>
      <w:r>
        <w:t xml:space="preserve">d) Con fecha de 26 de septiembre de 2005 la Audiencia Nacional condenó al recurrente a la pena de siete años de prisión por un delito de colaboración con banda armada. </w:t>
      </w:r>
    </w:p>
    <w:p w:rsidR="0052098F" w:rsidRDefault="0052098F" w:rsidP="0052098F">
      <w:pPr>
        <w:pStyle w:val="TextoNormal"/>
      </w:pPr>
      <w:r>
        <w:t xml:space="preserve">Interpuesto recurso de casación contra la anterior resolución por el demandante de amparo, mediante Auto de 10 de octubre de 2005 la Sala tuvo por preparado recurso de casación y acordó la prórroga de la prisión preventiva del recurrente —y de otros dieciséis encausados— hasta el límite constituido por la mitad de la pena impuesta en la Sentencia, “a tenor de lo establecido en el párrafo 5 del artículo 504 de la L.E.Cr., y demás de pertinente aplicación”. </w:t>
      </w:r>
    </w:p>
    <w:p w:rsidR="0052098F" w:rsidRDefault="0052098F" w:rsidP="0052098F">
      <w:pPr>
        <w:pStyle w:val="TextoNormal"/>
      </w:pPr>
      <w:r>
        <w:t>e) El recurrente interpuso recurso de súplica contra el Auto de 10 de octubre, fundado en la absoluta ausencia de motivación del mismo, siendo desestimado por Auto de 23 de noviembre de 2005, en virtud de los siguientes fundamentos: “Revisadas cuidadosamente las alegaciones efectuadas por la parte recurrente … este Tribunal no puede determinar cuestión distinta a la plasmada en el auto de 10 de octubre de 2005, toda vez que los artículos 503, 504 y 505 de la Ley de enjuiciamiento criminal, facultan al Tribunal para prorrogar el tiempo de prisión preventiva hasta el límite constituido por la suma de las penas impuestas en Sentencia, siempre y cuando esta última haya sido recurrida ante la Sala Segunda de lo Penal del Tribunal Supremo, hecho que así sucedió”.</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Funda el recurrente su demanda en dos motivos de amparo. En primer lugar, en la lesión de los derechos a la tutela judicial efectiva y a no sufrir indefensión (art. 24.1 CE), a un proceso con todas las garantías (art. 24.2 CE), y en la infracción del principio acusatorio (art. 24.2 CE), sostenido en que es la Sala la que, sin previa petición del Ministerio Fiscal (no constando, al menos, tal petición) toma la iniciativa de prorrogar la prisión provisional, con olvido de los principios de contradicción y defensa. </w:t>
      </w:r>
    </w:p>
    <w:p w:rsidR="0052098F" w:rsidRDefault="0052098F" w:rsidP="0052098F">
      <w:pPr>
        <w:pStyle w:val="TextoNormal"/>
      </w:pPr>
      <w:r>
        <w:t>En segundo lugar, entiende vulnerado su derecho a la libertad personal (art. 17 CE), en relación con el derecho a la tutela judicial efectiva (art. 24. CE) y con la obligación de motivación de las resoluciones judiciales (art. 120.3 CE). Después de enfatizar —dando por reproducidos los argumentos sobre los fines y principios de la institución expresados en los recursos de amparo previamente interpuestos— la inexistencia de los requisitos que legitimarían la aplicación de la medida cautelar en el caso concreto, manifiesta que, si en resoluciones anteriores la motivación era mínima, pues se remitían a un genérico riesgo de fuga jamás concretado y sin entrar a ponderar las circunstancias personales del recurrente, en los Autos ahora impugnados la ausencia de motivación es absoluta, limitándose a citar sin la más mínima aplicación individualizada una disposición legal, y que además se invoca erróneamente, pues, de una parte, el artículo aplicable sería el artículo 504.2 LECrim, y no el artículo 504.5, y de otra, el límite viene constituido por la mitad de la pena impuesta, y no por la “suma de las penas impuestas” como por error se establece en el Auto de 23 de noviembre. Es cierto —reconoce el actor— que el artículo 504.2 LECrim faculta al Tribunal para disponer dicha prórroga, pero ello no puede ser entendido como una cláusula de prórroga automática, tal como lo hace la Sala, al decretarla sin atender a las circunstancias personales y para el conjunto de los condenados en primera instancia. En virtud de lo anterior solicita que se le otorgue amparo, reconociendo su derecho a la libertad personal y anulando los Autos recurridos.</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La Sala Segunda de este Tribunal, por providencia de 20 de noviembre de 2006, acordó admitir a trámite la demanda de amparo y, en aplicación de lo dispuesto en el art. 51 </w:t>
      </w:r>
      <w:r>
        <w:lastRenderedPageBreak/>
        <w:t>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52098F" w:rsidRDefault="0052098F" w:rsidP="0052098F">
      <w:pPr>
        <w:pStyle w:val="TextoNormal"/>
      </w:pPr>
    </w:p>
    <w:p w:rsidR="0052098F" w:rsidRDefault="0052098F" w:rsidP="0052098F">
      <w:pPr>
        <w:pStyle w:val="TextoNormal"/>
      </w:pPr>
      <w:r w:rsidRPr="0052098F">
        <w:rPr>
          <w:rStyle w:val="NumeroAFNegritaCaracter"/>
        </w:rPr>
        <w:t>5</w:t>
      </w:r>
      <w:r>
        <w:t>. Por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26 de marzo de 2007, la Sala Segunda acordó denegar la suspensión interesada.</w:t>
      </w:r>
    </w:p>
    <w:p w:rsidR="0052098F" w:rsidRDefault="0052098F" w:rsidP="0052098F">
      <w:pPr>
        <w:pStyle w:val="TextoNormal"/>
      </w:pPr>
    </w:p>
    <w:p w:rsidR="0052098F" w:rsidRDefault="0052098F" w:rsidP="0052098F">
      <w:pPr>
        <w:pStyle w:val="TextoNormal"/>
      </w:pPr>
      <w:r w:rsidRPr="0052098F">
        <w:rPr>
          <w:rStyle w:val="NumeroAFNegritaCaracter"/>
        </w:rPr>
        <w:t>6</w:t>
      </w:r>
      <w:r>
        <w:t>. Asimismo, por diligencia de ordenación de la Secretaría de Justicia de la Sala Segunda de este Tribunal de 19 de noviembre de 2007, se acordó dar vista de las actuaciones a la parte recurrente y al Ministerio Fiscal, por plazo común de veinte días, para presentar las alegaciones que estimasen pertinentes, de conformidad con el art. 52.1 LOTC.</w:t>
      </w:r>
    </w:p>
    <w:p w:rsidR="0052098F" w:rsidRDefault="0052098F" w:rsidP="0052098F">
      <w:pPr>
        <w:pStyle w:val="TextoNormal"/>
      </w:pPr>
    </w:p>
    <w:p w:rsidR="0052098F" w:rsidRDefault="0052098F" w:rsidP="0052098F">
      <w:pPr>
        <w:pStyle w:val="TextoNormal"/>
      </w:pPr>
      <w:r w:rsidRPr="0052098F">
        <w:rPr>
          <w:rStyle w:val="NumeroAFNegritaCaracter"/>
        </w:rPr>
        <w:t>7</w:t>
      </w:r>
      <w:r>
        <w:t>. El demandante, evacuando el trámite previsto en el citado art. 52.1 LOTC, presentó escrito registrado en este Tribunal el 27 de diciembre de 2007, ratificándose íntegramente en el contenido de la demanda de amparo y destacando, de una parte, las especiales circunstancias personales que no fueron evaluadas por el órgano judicial —ausencia manifiesta de riesgo de fuga, arraigo personal, familiar y profesional— destacando que había venido disfrutando de periodos de libertad provisional, habiendo cumplido las condiciones adoptadas; de otra parte pone de relieve que el Tribunal Constitucional ha otorgado el amparo en supuestos muy similares.</w:t>
      </w:r>
    </w:p>
    <w:p w:rsidR="0052098F" w:rsidRDefault="0052098F" w:rsidP="0052098F">
      <w:pPr>
        <w:pStyle w:val="TextoNormal"/>
      </w:pPr>
    </w:p>
    <w:p w:rsidR="0052098F" w:rsidRDefault="0052098F" w:rsidP="0052098F">
      <w:pPr>
        <w:pStyle w:val="TextoNormal"/>
      </w:pPr>
      <w:r w:rsidRPr="0052098F">
        <w:rPr>
          <w:rStyle w:val="NumeroAFNegritaCaracter"/>
        </w:rPr>
        <w:t>8</w:t>
      </w:r>
      <w:r>
        <w:t>. El Ministerio Fiscal, evacuando idéntico trámite, presentó escrito de alegaciones, registrado el 4 de enero de 2008, en el que solicitó el otorgamiento del amparo por considerar vulnerado el derecho a la libertad (art. 17.1 CE) del recurrente. Después de recordar que es doctrina del Tribunal Constitucional que la superación de los plazos máximos de prisión provisional requieren una decisión específica y motivada, y que no es constitucionalmente razonable la interpretación según la cual el dictado de una Sentencia condenatoria lleva consigo, implícitamente, la prolongación automática del plazo máximo hasta el límite de la mitad de la condena impuesta, manifiesta que en el caso presente la Sala sentenciadora se ha fundado en el supuesto habilitador recogido en el artículo 504.2 LECrim, si bien ha omitido toda justificación de la medida desde los fines de la institución. Así, aun siendo posible la prórroga, no se ha analizado ninguna de las circunstancias personales del actor, ni se han tenido en cuenta anteriores comportamientos del mismo a lo largo de la instrucción de la causa; ni siquiera se contiene —enfatiza el Ministerio público— una motivación por remisión a Autos anteriores, siendo aun más llamativo el hecho de que cuando se resuelve el recurso de súplica formulado contra el Auto de 10 de octubre la Sala, en lugar de complementar lo resuelto con anterioridad, se limita a repetir lo ya decidido omitiendo todo razonamiento que permita calibrar la oportunidad de la medida. En suma, la manifiesta ausencia de toda motivación en que incurren los autos impugnados supone directamente la lesión del derecho fundamental consagrado en el art. 17.1 CE, por lo que procede otorgar el amparo solicitado y declarar la nulidad de tales Autos.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9</w:t>
      </w:r>
      <w:r>
        <w:t>. Por providencia de 7 de febrero de 2008, se señaló para deliberación y fallo de la Sentencia el día 11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presente recurso de amparo se dirige contra el Auto de la Sección Tercera de la Sala de lo Penal de la Audiencia Nacional de 23 de noviembre de 2005, que desestima el recurso de súplica interpuesto contra el Auto del citado órgano judicial de 10 de octubre de 2005, confirmando la prórroga de la prisión provisional. El recurso tiene por objeto determinar si las referidas resoluciones han lesionado el derecho del demandante a la tutela judicial efectiva (art. 24.1 CE) y a la libertad personal (art.  17 CE), así como el derecho a un proceso con todas las garantías (art. 24.2 CE) por infracción del principio acusatorio. El demandante, y también el Ministerio Fiscal, consideran que debe otorgarse el amparo solicitado, en cuanto los Autos que han acordado la prolongación de la prisión provisional del demandante de amparo carecen de cualquier motivación referida a los fines constitucionalmente legítimos para prolongar la situación de prisión provisional, lo que implica que no se ha valorado el derecho a la libertad personal en una resolución que lo restringe de forma tan notable como es el Auto de prisión.</w:t>
      </w:r>
    </w:p>
    <w:p w:rsidR="0052098F" w:rsidRDefault="0052098F" w:rsidP="0052098F">
      <w:pPr>
        <w:pStyle w:val="TextoNormal"/>
      </w:pPr>
    </w:p>
    <w:p w:rsidR="0052098F" w:rsidRDefault="0052098F" w:rsidP="0052098F">
      <w:pPr>
        <w:pStyle w:val="TextoNormal"/>
      </w:pPr>
      <w:r w:rsidRPr="0052098F">
        <w:rPr>
          <w:rStyle w:val="NumeroAFNegritaCaracter"/>
        </w:rPr>
        <w:t>2</w:t>
      </w:r>
      <w:r>
        <w:t>. En primer lugar, debemos comenzar por soslayar de nuestro análisis de fondo el motivo de amparo fundado en la vulneración del derecho a la tutela judicial efectiva (art. 24.1 CE) y del derecho a un proceso con todas las garantías (art. 24.2 CE) por infracción del principio acusatorio, por hallarse incurso en la causa de inadmisión recogida en el art. 44.1 c) en relación con el art. 50.1 a) LOTC, relativa a la falta de invocación previa del derecho fundamental cuya vulneración se denuncia.  Tal como queda reflejado en los antecedentes, en el recurso de súplica interpuesto contra el Auto de 10 de octubre el recurrente limitó su impugnación a la ausencia de motivación, sin hacer mención alguna al motivo de queja que ahora plantea, ex novo, en la demanda de amparo. Por tanto, conforme con lo que es doctrina reiterada de este Tribunal (por todas, STC 132/2006, de 27 de abril, FJ 4), al no haberse posibilitado al órgano judicial pronunciarse sobre esta eventual vulneración desde esas concretas perspectivas, no pueden ser tomadas en consideración en el presente amparo por imperativo del carácter subsidiario de esta jurisdicción.</w:t>
      </w:r>
    </w:p>
    <w:p w:rsidR="0052098F" w:rsidRDefault="0052098F" w:rsidP="0052098F">
      <w:pPr>
        <w:pStyle w:val="TextoNormal"/>
      </w:pPr>
    </w:p>
    <w:p w:rsidR="0052098F" w:rsidRDefault="0052098F" w:rsidP="0052098F">
      <w:pPr>
        <w:pStyle w:val="TextoNormal"/>
      </w:pPr>
      <w:r w:rsidRPr="0052098F">
        <w:rPr>
          <w:rStyle w:val="NumeroAFNegritaCaracter"/>
        </w:rPr>
        <w:t>3</w:t>
      </w:r>
      <w:r>
        <w:t>. Entrando ya en la denuncia fundada en la ausencia de motivación de las resoluciones acordadas por la Audiencia Nacional, conviene precisar en primer término, coincidiendo en esto con el Ministerio Fiscal, que la alegada vulneración del derecho fundamental a la tutela judicial efectiva por la falta de fundamentación de los Autos combatidos ha de quedar subsumida en la vulneración sustantiva del derecho a la libertad (art. 17 CE). Reiteradamente hemos afirmado en este sentido (por todas SSTC 99/2005, de 18 de abril, FJ 3) que “la ausencia de motivación de las resoluciones limitativas de derechos fundamentales lesiona el propio derecho fundamental sustantivo y no el derecho a la tutela judicial efectiva, de modo que el análisis de los defectos o insuficiencias en la motivación de las resoluciones judiciales que acuerdan la adopción o el mantenimiento de la prisión provisional trasciende el deber genérico de fundamentación de las resoluciones judiciales para entrar en el más estricto de la fundamentación de las medidas restrictivas de la libertad”.</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4</w:t>
      </w:r>
      <w:r>
        <w:t>. Desde el punto de vista del derecho a la libertad (art. 17 CE), y en relación con la incidencia de la prisión provisional en dicho derecho fundamental, hemos declarado que aquélla se sitúa entre el deber estatal de perseguir eficazmente el delito y el deber estatal de asegurar el ámbito de libertad del ciudadano, y que la prisión provisional es una medida cautelar justificada, entre otras, por la necesidad de asegurar la presencia del inculpado en el juicio oral, y ese fundamento justificativo que traza la línea de demarcación con otro tipo de privaciones de libertad condiciona, a su vez, su régimen jurídico.</w:t>
      </w:r>
    </w:p>
    <w:p w:rsidR="0052098F" w:rsidRDefault="0052098F" w:rsidP="0052098F">
      <w:pPr>
        <w:pStyle w:val="TextoNormal"/>
      </w:pPr>
      <w:r>
        <w:t>Por ello la legitimidad constitucional de la prisión provisional exige que su aplicación tenga como presupuesto la existencia de indicios racionales de la comisión de una acción delictiva; como objetivo la consecución de fines constitucionalmente legítimos y congruentes con la naturaleza de la medida; y como fundamento la ponderación de las circunstancias concretas que, de acuerdo con el presupuesto legal y la finalidad constitucionalmente legítima, permitan la adopción de la medida (SSTC 62/1996, de 16 de abril, FJ 5; 44/1997, de 10 de abril, FJ 5; 66/1997, de 7 de abril, FJ 4; 33/1999, de 8 de marzo, FJ 3, y 14/2000, de 17 de enero, FJ 4).</w:t>
      </w:r>
    </w:p>
    <w:p w:rsidR="0052098F" w:rsidRDefault="0052098F" w:rsidP="0052098F">
      <w:pPr>
        <w:pStyle w:val="TextoNormal"/>
      </w:pPr>
      <w:r>
        <w:t>En la STC 333/2006, de 20 de noviembre, FJ 3, se concretó como constitutiva de estos fines la conjura de ciertos riesgos relevantes para el desarrollo normal del proceso o para la ejecución del fallo que parten del imputado: su sustracción a la acción de la Justicia, la obstrucción de la instrucción penal y, en un plano distinto, aunque íntimamente relacionado, la reiteración delictiva, pero lo que en ningún caso puede perseguirse con la prisión provisional son fines punitivos o de anticipación de la pena, o fines de impulso de la instrucción sumarial, propiciando la obtención de pruebas de declaraciones de los imputados, etc. Y, con cita en la STC 128/1995, de 26 de julio, FJ 2, se concluyó que “todos estos criterios ilustrarían, en fin, la excepcionalidad de la prisión provisional que tantas veces ha subrayado este Tribunal”.</w:t>
      </w:r>
    </w:p>
    <w:p w:rsidR="0052098F" w:rsidRDefault="0052098F" w:rsidP="0052098F">
      <w:pPr>
        <w:pStyle w:val="TextoNormal"/>
      </w:pPr>
      <w:r>
        <w:t>En consonancia con lo anterior es doctrina constitucional reiterada que, para que la motivación de la resolución judicial que acuerde tal medida se considere suficiente y razonable, es preciso que la misma sea el resultado de la ponderación de los intereses en juego (la libertad de la persona cuya inocencia se presume, por un lado; la realización de la justicia penal y la evitación de hechos delictivos, por otro), que constituye una exigencia formal del principio de proporcionalidad, y que esta ponderación no sea arbitraria, en el sentido de que resulte acorde con las pautas del normal razonamiento lógico y especialmente con los fines que justifican la prisión provisional (por todas STC 333/2006, de 20 de noviembre, FJ 3).</w:t>
      </w:r>
    </w:p>
    <w:p w:rsidR="0052098F" w:rsidRDefault="0052098F" w:rsidP="0052098F">
      <w:pPr>
        <w:pStyle w:val="TextoNormal"/>
      </w:pPr>
      <w:r>
        <w:t>Y, por lo que respecta a los plazos máximos de la prisión provisional y la posibilidad de prórroga, la doctrina constitucional, en lo que ahora ha de interesarnos, puede sintetizarse en los siguientes presupuestos:</w:t>
      </w:r>
    </w:p>
    <w:p w:rsidR="0052098F" w:rsidRDefault="0052098F" w:rsidP="0052098F">
      <w:pPr>
        <w:pStyle w:val="TextoNormal"/>
      </w:pPr>
      <w:r>
        <w:t>a) La prórroga o ampliación del plazo máximo inicial de prisión provisional decretada requiere una decisión judicial específica que motive tan excepcional decisión y que ha de fundarse en alguno de los supuestos que legalmente habilitan para ello (imposibilidad del enjuiciamiento en el plazo inicial acordado, o que el acusado haya sido condenado por Sentencia que haya sido recurrida —art. 504. 2 de la Ley de enjuiciamiento criminal: LECrim). Además ha de ser adoptada antes de que el plazo máximo inicial haya expirado, pues constituye una exigencia lógica para la efectividad del derecho a la libertad personal, por más que no venga expresamente exigida por el precepto. Finalmente la lesión producida por la ignorancia del plazo no se subsana por la adopción de un intempestivo acuerdo de prórroga tras la superación de aquél.</w:t>
      </w:r>
    </w:p>
    <w:p w:rsidR="0052098F" w:rsidRDefault="0052098F" w:rsidP="0052098F">
      <w:pPr>
        <w:pStyle w:val="TextoNormal"/>
      </w:pPr>
      <w:r>
        <w:t xml:space="preserve">b) No es constitucionalmente razonable la interpretación según la cual el dictado de una Sentencia condenatoria lleva consigo, implícitamente, la prolongación automática del plazo </w:t>
      </w:r>
      <w:r>
        <w:lastRenderedPageBreak/>
        <w:t>máximo de la prisión provisional hasta el límite de la mitad de la condena impuesta, pues el tenor literal del art. 504.2 LECrim y las generales exigencias de motivación de tan drástica medida cautelar exigen rechazar esta tesis (SSTC 98/1998, de 4 de mayo, FFJJ 2 y 4; 142/1998, de 29 de junio, FJ 3; 231/2000, de 2 de octubre, FJ 5; 272/2000, de 13 de noviembre, FJ 2; 98/2002, de 29 de abril, FJ 4; 144/2002, de 15 de julio, FJ 3; 121/2003, de 16 de julio, FJ 3; 22/2004, de 23 de febrero, FFJJ 2 y 4; 99/2005, de 18 de abril, FJ 4).</w:t>
      </w:r>
    </w:p>
    <w:p w:rsidR="0052098F" w:rsidRDefault="0052098F" w:rsidP="0052098F">
      <w:pPr>
        <w:pStyle w:val="TextoNormal"/>
      </w:pPr>
    </w:p>
    <w:p w:rsidR="0052098F" w:rsidRDefault="0052098F" w:rsidP="0052098F">
      <w:pPr>
        <w:pStyle w:val="TextoNormal"/>
      </w:pPr>
      <w:r w:rsidRPr="0052098F">
        <w:rPr>
          <w:rStyle w:val="NumeroAFNegritaCaracter"/>
        </w:rPr>
        <w:t>5</w:t>
      </w:r>
      <w:r>
        <w:t>. Ciertamente corresponde en exclusiva a la jurisdicción ordinaria la constatación y valoración de los antecedentes fácticos justificativos de la medida cautelar (STC 40/1987, de 3 de abril, FJ 2), ya se refieran a las sospechas de responsabilidad criminal, ya a los riesgos de fuga, a la obstrucción de la investigación, a la reincidencia o a otros requisitos constitucionalmente legítimos que pueda exigir la ley.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de 26 de julio, FJ 4 b)]. La jurisdicción de amparo se ciñe, así, a constatar si la fundamentación que las resoluciones judiciales exponen es suficiente (por referirse a todos los extremos que autorizan y justifican la medida), razonada (por expresar el proceso lógico que individualiza la aplicación de las exigencias constitucionales al caso concreto) y proporcionada (esto es, si ha ponderado los derechos e intereses en conflicto del modo menos gravoso para la libertad).</w:t>
      </w:r>
    </w:p>
    <w:p w:rsidR="0052098F" w:rsidRDefault="0052098F" w:rsidP="0052098F">
      <w:pPr>
        <w:pStyle w:val="TextoNormal"/>
      </w:pPr>
      <w:r>
        <w:t>En cuanto a los elementos que deben presidir tal fundamentación, este Tribunal ha identificado dos criterios de enjuiciamiento en la motivación de la medida cautelar. El primero exige tomar en consideración, además de las características y gravedad del delito imputado y de la pena con que se le amenaza, las circunstancias concretas del caso y las personales del imputado. El segundo introduce una matización en el anterior al valorar la incidencia que el transcurso del tiempo ha de tener en la toma de la decisión de mantenimiento de la prisión, de modo que, si bien es cierto que, en un primer momento, la necesidad de preservar los fines constitucionalmente legítimos de la prisión provisional así como los datos de que en ese instante disponga el instructor pueden justificar que el decreto de la prisión se lleve a cabo atendiendo solamente al tipo de delito y a la gravedad de la pena, dado que de este dato puede inferirse razonablemente la existencia de riesgo de fuga (por todas, STC 8/2002, de 14 de enero, FJ 4), el paso del tiempo modifica estas circunstancias y obliga a ponderar los datos personales y los del caso concreto conocidos en momentos posteriores [entre otras, SSTC 128/1995, de 26 de julio, FJ 4 b), 37/1996, de 11 de marzo, FJ 6 a), 62/1996, de 16 de abril, FJ 5, y 33/1999, de 8 de marzo].</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La aplicación de la doctrina antes enunciada ha de llevarnos a la estimación de la presente demanda de amparo, en cuanto ninguna de las resoluciones judiciales impugnadas cumple las exigencias constitucionales de motivación. En efecto, de la lectura de los fundamentos jurídicos de ambas resoluciones se evidencia que el órgano judicial ha partido exclusiva y mecánicamente del hecho de que haya recaído Sentencia condenatoria en primera instancia, y de que ésta haya sido recurrida ante el Tribunal Supremo, como único elemento de justificación de la prórroga de la prisión provisional, sin tomar en cuenta, explícita o implícitamente, circunstancia alguna que permita realizar la exigible ponderación de una medida restrictiva de derechos tan radical y acomodarla, con ello, a sus fines constitucionalmente legítimos. Así, el Auto de 10 de octubre, después de tener por preparado el recurso de casación, omite todo argumento justificativo de la prórroga de la prisión provisional del </w:t>
      </w:r>
      <w:r>
        <w:lastRenderedPageBreak/>
        <w:t>recurrente, y de otros dieciséis condenados más, limitándose a una genérica remisión a las disposiciones legales. Y, como pone de relieve el Ministerio Fiscal, la Sala, al resolver la súplica, lejos de complementar lo resuelto con anterioridad, se limita a reiterar lo ya manifestado, conformándose con invocar nuevamente el art. 504.2 LECrim y reiterando que concurren las circunstancias legales para acordar la prórroga, sin ni siquiera efectuar una remisión a los Autos que previamente habían acordado la medida cautelar.  Con esta respuesta el órgano judicial no expresa la concurrencia de un fin constitucionalmente legítimo, ni atiende a las circunstancias individuales del recurrente, sino que únicamente manifiesta que en el presente supuesto existe la posibilidad legal de aplicar la prórroga, asumiendo lo que constituye una facultad establecida por el legislador —cuya opción por el órgano judicial, por tanto, tendrá que venir fundamentada en criterios distintos a la mera existencia de esa posibilidad legal— como una aplicación necesaria u obligatoria de la prórroga.</w:t>
      </w:r>
    </w:p>
    <w:p w:rsidR="0052098F" w:rsidRDefault="0052098F" w:rsidP="0052098F">
      <w:pPr>
        <w:pStyle w:val="TextoNormal"/>
      </w:pPr>
      <w:r>
        <w:t>Debemos concluir, entonces, reiterando pronunciamientos anteriores, que el automatismo con que el órgano judicial ha aplicado la facultad legal establecida en el art. 504.2 LECrim, asumiendo que el dictado de una Sentencia condenatoria lleva implícita la prolongación de la prisión provisional hasta la mitad de la pena impuesta, colisiona frontalmente con el carácter excepcional de la prisión provisional y con las exigencias de motivación específicas de una medida restrictiva de libertad tan drástica (por todas, STC 333/2006, de 20 de noviembre, FJ 4). Si bien la Sentencia condenatoria puede añadir solidez a la consideración de la concurrencia de indicios racionales de la comisión de un delito por una persona, es decir, consolida la imputación de un delito a persona determinada, que es el presupuesto habilitante para la adopción de la prisión provisional (por todas, STC 128/1995, de 26 de julio, FJ 3), no puede desconocerse que, mientras el recurso contra la Sentencia condenatoria no se haya resuelto, dicho pronunciamiento sobre la culpabilidad del procesado sigue siendo provisional, de modo que, precisamente por ello, para que el provisionalmente condenado pueda seguir estando en prisión una vez ha expirado el plazo inicial, es preciso adoptar una decisión judicial específica que debe ponderar la garantía de la libertad personal frente a la necesidad del mantenimiento de la situación de prisión provisional para alcanzar una finalidad constitucionalmente legítima: evitar la reiteración delictiva o alcanzar la realización de la justicia penal (por todas, SSTC 29/2001, de 29 de enero, FJ 3; 333/2006, de 20 de noviembre, 4). Y en el presente caso la Audiencia Nacional ha omitido efectuar dicha ponderación. En consecuencia hemos de concluir, aun desde la perspectiva de control externo que nos corresponde, que las resoluciones judiciales han vulnerado el derecho a la libertad personal del recurrente proclamado en el artículo 17.1 CE.</w:t>
      </w:r>
    </w:p>
    <w:p w:rsidR="0052098F" w:rsidRDefault="0052098F" w:rsidP="0052098F">
      <w:pPr>
        <w:pStyle w:val="TextoNormal"/>
      </w:pPr>
    </w:p>
    <w:p w:rsidR="0052098F" w:rsidRDefault="0052098F" w:rsidP="0052098F">
      <w:pPr>
        <w:pStyle w:val="TextoNormal"/>
      </w:pPr>
      <w:r w:rsidRPr="0052098F">
        <w:rPr>
          <w:rStyle w:val="NumeroAFNegritaCaracter"/>
        </w:rPr>
        <w:t>7</w:t>
      </w:r>
      <w:r>
        <w:t>. Resta por añadir que, conforme a doctrina igualmente reiterada de este Tribunal, la estimación del recurso de amparo ha de conllevar la anulación de las resoluciones judiciales que acordaron la prolongación de la prisión provisional, pero que ello no ha de producir necesariamente el efecto de la puesta en libertad del demandante. En efecto, la estimación del amparo en estos casos no ha de implicar automáticamente la puesta en libertad del recurrente, que no procederá en caso de que concurra alguna de las causas que justifican la prisión, y no corresponde a este Tribunal, sino al órgano judicial, la decisión acerca del mantenimiento o alzamiento de la medida cautelar personal en el proceso penal (SSTC 98/1998, de 4 de mayo, FJ 4; 142/1998, de 29 de junio, FJ 4; 272/2000, de 13 de noviembre, FJ 4; 22/2004, de 23 de enero, FJ 6; 155/2004, de 20 de septiembre, FJ 5; 99/2005, de 18 de abril, FJ 6; 333/2006, de 20 de noviembre, FJ 5).</w:t>
      </w:r>
    </w:p>
    <w:p w:rsidR="0052098F" w:rsidRDefault="0052098F" w:rsidP="0052098F">
      <w:pPr>
        <w:pStyle w:val="TextoNormal"/>
      </w:pPr>
    </w:p>
    <w:p w:rsidR="0052098F" w:rsidRDefault="0052098F" w:rsidP="0052098F">
      <w:pPr>
        <w:pStyle w:val="TextoNormalCentrado"/>
        <w:keepNext/>
      </w:pPr>
      <w:r>
        <w:lastRenderedPageBreak/>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1º Declarar que se ha vulnerado el derecho fundamental a la libertad personal (art. 17.1 CE) del recurrente.</w:t>
      </w:r>
    </w:p>
    <w:p w:rsidR="0052098F" w:rsidRDefault="0052098F" w:rsidP="0052098F">
      <w:pPr>
        <w:pStyle w:val="TextoNormal"/>
      </w:pPr>
      <w:r>
        <w:t>2º Restablecerlo en la integridad de su derecho y, a tal fin, anular los Autos de la Sección Tercera de la Sala de lo Penal de la Audiencia Nacional de10 de octubre de 2005 y de 23 de noviembre de 2005.</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once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1" w:name="SENTENCIA_2008_28"/>
      <w:r>
        <w:lastRenderedPageBreak/>
        <w:t>SENTENCIA 28/2008, de 11 de febrero de 2008</w:t>
      </w:r>
    </w:p>
    <w:bookmarkEnd w:id="31"/>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64, de 14 de marzo de 2008)</w:t>
      </w:r>
    </w:p>
    <w:p w:rsidR="0052098F" w:rsidRDefault="0052098F" w:rsidP="0052098F">
      <w:pPr>
        <w:pStyle w:val="TtuloBOE"/>
      </w:pPr>
    </w:p>
    <w:p w:rsidR="0052098F" w:rsidRDefault="0052098F" w:rsidP="0052098F">
      <w:pPr>
        <w:pStyle w:val="SntesisDescriptiva"/>
      </w:pPr>
      <w:r>
        <w:t>ECLI:ES:TC:2008:28</w:t>
      </w:r>
    </w:p>
    <w:p w:rsidR="0052098F" w:rsidRDefault="0052098F" w:rsidP="0052098F">
      <w:pPr>
        <w:pStyle w:val="SntesisDescriptiva"/>
      </w:pPr>
    </w:p>
    <w:p w:rsidR="0052098F" w:rsidRDefault="0052098F" w:rsidP="0052098F">
      <w:pPr>
        <w:pStyle w:val="SntesisDescriptiva"/>
      </w:pPr>
      <w:r>
        <w:t>Recurso de amparo 9316-2006. Promovido por don Sergio Bergua Pueyo frente a la Sentencia de la Audiencia Provincial de Zaragoza que, en grado de apelación, le condenó por una falta de amenazas.</w:t>
      </w:r>
    </w:p>
    <w:p w:rsidR="0052098F" w:rsidRDefault="0052098F" w:rsidP="0052098F">
      <w:pPr>
        <w:pStyle w:val="SntesisDescriptiva"/>
      </w:pPr>
    </w:p>
    <w:p w:rsidR="0052098F" w:rsidRDefault="0052098F" w:rsidP="0052098F">
      <w:pPr>
        <w:pStyle w:val="SntesisAnaltica"/>
      </w:pPr>
      <w:r>
        <w:t>Vulneración de los derechos a un proceso con garantías y a la presunción de inocencia: condena pronunciada en apelación sin haber celebrado vista pública (STC 167/2002); los testimonios de acusado y víctima consignados en el acta del juicio no son prueba documental.</w:t>
      </w:r>
    </w:p>
    <w:p w:rsidR="0052098F" w:rsidRDefault="0052098F" w:rsidP="0052098F">
      <w:pPr>
        <w:pStyle w:val="SntesisAnaltica"/>
      </w:pPr>
    </w:p>
    <w:p w:rsidR="0052098F" w:rsidRDefault="0052098F" w:rsidP="0052098F">
      <w:pPr>
        <w:pStyle w:val="Extracto"/>
      </w:pPr>
      <w:r>
        <w:t>1.</w:t>
      </w:r>
      <w:r>
        <w:tab/>
        <w:t>Se vulnera el derecho del acusado a un proceso con todas las garantías cuando el órgano de apelación vuelve a valorar los testimonios prestados por las partes, sin haberlos presenciado, para llegar a una conclusión contraria a la del Juez de Instrucción, en la que sustenta la condena [FJ 3].</w:t>
      </w:r>
    </w:p>
    <w:p w:rsidR="0052098F" w:rsidRDefault="0052098F" w:rsidP="0052098F">
      <w:pPr>
        <w:pStyle w:val="Extracto"/>
      </w:pPr>
    </w:p>
    <w:p w:rsidR="0052098F" w:rsidRDefault="0052098F" w:rsidP="0052098F">
      <w:pPr>
        <w:pStyle w:val="Extracto"/>
      </w:pPr>
      <w:r>
        <w:t>2.</w:t>
      </w:r>
      <w:r>
        <w:tab/>
        <w:t>La constancia del contenido escrito de los testimonios no es una prueba documental [FJ 3].</w:t>
      </w:r>
    </w:p>
    <w:p w:rsidR="0052098F" w:rsidRDefault="0052098F" w:rsidP="0052098F">
      <w:pPr>
        <w:pStyle w:val="Extracto"/>
      </w:pPr>
    </w:p>
    <w:p w:rsidR="0052098F" w:rsidRDefault="0052098F" w:rsidP="0052098F">
      <w:pPr>
        <w:pStyle w:val="Extracto"/>
      </w:pPr>
      <w:r>
        <w:t>3.</w:t>
      </w:r>
      <w:r>
        <w:tab/>
        <w:t>Aplica la doctrina sobre el derecho del acusado a un proceso con todas las garantías (SSTC 167/2002, 245/2007) [FJ 2].</w:t>
      </w:r>
    </w:p>
    <w:p w:rsidR="0052098F" w:rsidRDefault="0052098F" w:rsidP="0052098F">
      <w:pPr>
        <w:pStyle w:val="Extracto"/>
      </w:pPr>
    </w:p>
    <w:p w:rsidR="0052098F" w:rsidRDefault="0052098F" w:rsidP="0052098F">
      <w:pPr>
        <w:pStyle w:val="Extracto"/>
      </w:pPr>
      <w:r>
        <w:t>4.</w:t>
      </w:r>
      <w:r>
        <w:tab/>
        <w:t>Se vulnera el derecho a la presunción de inocencia cuando la valoración de las pruebas personales que le está vedada al órgano de apelación resulta esencial para llegar a la conclusión condenatoria [FJ 4].</w:t>
      </w:r>
    </w:p>
    <w:p w:rsidR="0052098F" w:rsidRDefault="0052098F" w:rsidP="0052098F">
      <w:pPr>
        <w:pStyle w:val="Extracto"/>
      </w:pPr>
    </w:p>
    <w:p w:rsidR="0052098F" w:rsidRDefault="0052098F" w:rsidP="0052098F">
      <w:pPr>
        <w:pStyle w:val="Extracto"/>
      </w:pPr>
      <w:r>
        <w:t>5.</w:t>
      </w:r>
      <w:r>
        <w:tab/>
        <w:t>Doctrina sobre el derecho a la presunción de inocencia (SSTC 105/2005, 207/2007)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lastRenderedPageBreak/>
        <w:t>SENTENCIA</w:t>
      </w:r>
    </w:p>
    <w:p w:rsidR="0052098F" w:rsidRDefault="0052098F" w:rsidP="0052098F">
      <w:pPr>
        <w:pStyle w:val="TextoNormalCentrado"/>
        <w:keepNext/>
      </w:pPr>
    </w:p>
    <w:p w:rsidR="0052098F" w:rsidRDefault="0052098F" w:rsidP="0052098F">
      <w:pPr>
        <w:pStyle w:val="TextoNormal"/>
      </w:pPr>
      <w:r>
        <w:t>En el recurso de amparo núm. 9316-2006, promovido por don Sergio Bergua Pueyo, representado por el Procurador de los Tribunales don Carmelo Olmos Gómez y asistido por el Letrado don José Luis Lafarga Sancho, contra la Sentencia de la Sección Primera de la Audiencia Provincial de Zaragoza de fecha 11 de septiembre de 2006, que le condenó como autor de una falta de amenazas. Ha intervenido el Ministerio Fiscal. Ha sido Ponente don Javier Delgado Barrio,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que tuvo entrada en el Registro General de este Tribunal el día 10 de octubre de 2006, el Procurador de los Tribunales don Carmelo Olmos Gómez, en nombre y representación de don Sergio Bergua Pueyo, interpuso recurso de amparo contra la resolución judicial que se cita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tiene su origen el presente recurso y relevantes para su resolución son, sucintamente expuestos, los siguientes: </w:t>
      </w:r>
    </w:p>
    <w:p w:rsidR="0052098F" w:rsidRDefault="0052098F" w:rsidP="0052098F">
      <w:pPr>
        <w:pStyle w:val="TextoNormal"/>
      </w:pPr>
      <w:r>
        <w:t xml:space="preserve">a) Con fecha 15 de junio de 2006, el Juzgado de Instrucción núm. 9 de Zaragoza dictó Sentencia en el juicio de faltas núm. 222-2006, por la que absolvía libremente al recurrente de la falta que se le imputaba, declarando las costas de oficio. </w:t>
      </w:r>
    </w:p>
    <w:p w:rsidR="0052098F" w:rsidRDefault="0052098F" w:rsidP="0052098F">
      <w:pPr>
        <w:pStyle w:val="TextoNormal"/>
      </w:pPr>
      <w:r>
        <w:t xml:space="preserve">Dicha Sentencia declara probada la existencia de un incidente entre denunciante y denunciado, “cuyos extremos y circunstancias no han quedado debidamente acreditados”. En el fundamento jurídico primero se sustenta la absolución en que no ha quedado debidamente acreditada la realidad de los hechos enjuiciados, “vistas las versiones contradictorias mantenidas por ambas partes, y la ausencia de prueba de cargo suficiente”. </w:t>
      </w:r>
    </w:p>
    <w:p w:rsidR="0052098F" w:rsidRDefault="0052098F" w:rsidP="0052098F">
      <w:pPr>
        <w:pStyle w:val="TextoNormal"/>
      </w:pPr>
      <w:r>
        <w:t xml:space="preserve">b) Contra la anterior resolución, el denunciante interpuso recurso de apelación, que fue estimado por la Sentencia de la Sección Primera de la Audiencia Provincial de Zaragoza, de fecha 11 de septiembre de 2006, que revocó la Sentencia absolutoria de instancia y condenó a don Sergio Bergua Pueyo como autor de una falta de amenazas del art. 620 CP, a la pena de quince días de multa a razón de 6 €/día, lo que hace un total de 90 euros, con la responsabilidad que señala el art. 53.1 del Código penal para caso de impago, debiendo indemnizar a C.J.B.J. en la cantidad de 200 €, con los correspondientes intereses legales, condenándole asimismo al pago de las costas procesales. </w:t>
      </w:r>
    </w:p>
    <w:p w:rsidR="0052098F" w:rsidRDefault="0052098F" w:rsidP="0052098F">
      <w:pPr>
        <w:pStyle w:val="TextoNormal"/>
      </w:pPr>
      <w:r>
        <w:t xml:space="preserve">Esta Sentencia declara en sus antecedentes de hecho que no se aceptan los hechos probados de la Sentencia de instancia que se sustituyen por los siguientes: “Queda probado y así se declara que sobre las 19:45 del día 30 de marzo del 2006 y en el interior del garaje correspondiente al inmueble sito en la Avda. Anselmo Clave 37-45 de esta ciudad Sergio Bergua Pueyo le dijo a C.J.B.J. ‘sueño todos los días contigo, te voy a escachar la cabeza’”. </w:t>
      </w:r>
    </w:p>
    <w:p w:rsidR="0052098F" w:rsidRDefault="0052098F" w:rsidP="0052098F">
      <w:pPr>
        <w:pStyle w:val="TextoNormal"/>
      </w:pPr>
      <w:r>
        <w:t xml:space="preserve">En el fundamento jurídico segundo, y ante la solicitud del apelante de celebración de vista, para llevar a cabo una nueva práctica de las pruebas personales, se afirma que a la luz de la doctrina del Tribunal Constitucional iniciada con la STC 167/2002, de 18 de septiembre, “el Tribunal no va a poder tener en cuenta otras pruebas que no sean las documentales”. Pero sin solución de continuidad se dice lo siguiente: </w:t>
      </w:r>
    </w:p>
    <w:p w:rsidR="0052098F" w:rsidRDefault="0052098F" w:rsidP="0052098F">
      <w:pPr>
        <w:pStyle w:val="TextoNormal"/>
      </w:pPr>
      <w:r>
        <w:t xml:space="preserve">“No obstante, entiende este Juzgador que el material probatorio obrante en la causa es suficiente para enervar el principio de presunción de inocencia del apelado.- En efecto, y aunque ahora en su impugnación de defensa intenta justificar las palabras de su defendido, </w:t>
      </w:r>
      <w:r>
        <w:lastRenderedPageBreak/>
        <w:t>lo cierto es que en el acta del plenario consta claramente que Sergio Bergua Pueyo manifiesta ‘que amenazó a B., que éste le gritó y manifestó que le amargaba la vida’.- El acta del juicio oral fue leída y firmada por el Sr. B. siendo la expresión escrita de su testimonio verbal. Y aunque es cierto que no todo lo que se escribe en un acta es incuestionable, la verdad es que en este caso el error es meridiano y por ello se debe estimar el recurso de apelación.- A mayor abundamiento, todo ello es coherente con la versión que ha dado la víctima y que se tiene en cuenta sólo a los efectos del atestado policial, y con la documentación aportada por ambas partes procesales sobre los problemas que están surgiendo entre ambos por la utilización de un ascensor”.</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El recurrente denuncia en su demanda de amparo la vulneración de los derechos fundamentales a un proceso con todas las garantías y a la presunción de inocencia (art. 24.2 CE). </w:t>
      </w:r>
    </w:p>
    <w:p w:rsidR="0052098F" w:rsidRDefault="0052098F" w:rsidP="0052098F">
      <w:pPr>
        <w:pStyle w:val="TextoNormal"/>
      </w:pPr>
      <w:r>
        <w:t xml:space="preserve">En primer lugar, se afirma que la resolución recurrida revoca la Sentencia absolutoria de instancia y la sustituye por otra condenatoria, tras una nueva valoración de pruebas personales sin inmediación ni contradicción. En el acto del juicio se practicó prueba de confesión del denunciado, testifical del denunciante y se aportó documental por ambas partes, negando los hechos y declarándose inocente el Sr. Bergua. Pese a lo cual, la Sentencia recurrida sostiene —sin haberle oído— que el Sr. Bergua reconoció en el acto del juicio haber amenazado al Sr. B., sobre la base de lo reflejado en el acta del plenario: una frase ilegible, en la que no se describe la amenaza y que no es cierto. Además hace referencia a la versión de la víctima, recogida en el atestado policial (que tampoco constituye prueba documental, sino una mera denuncia) y que se contradice con lo manifestado por el testigo en el acto del juicio. “En definitiva, don Sergio Bergua Pueyo negó haber realizado la acción que se le imputaba, negando los hechos que se le imputaban en la denuncia, siendo absuelto en primera instancia, por el juez que estuvo presente en su declaración y en la del denunciante, valorando la prueba libre y objetivamente; y condenado en segunda instancia sin haber sido escuchado”. </w:t>
      </w:r>
    </w:p>
    <w:p w:rsidR="0052098F" w:rsidRDefault="0052098F" w:rsidP="0052098F">
      <w:pPr>
        <w:pStyle w:val="TextoNormal"/>
      </w:pPr>
      <w:r>
        <w:t>Por otra parte, se denuncia la vulneración del derecho a la presunción de inocencia (art. 24.2 CE), por la inexistencia de prueba válida en la que sustentar la condena. Al margen de la falta de inmediación —pues el acta del juicio no es una prueba, sino la documentación de dicho acto y de las manifestaciones en él vertidas—, ni siquiera el contenido de los testimonios, aunque pudiera valorarse, permite sustentar la condena, pues el denunciado negó los hechos y se declaró inocente y lo declarado probado se funda en el contenido de la denuncia —que tampoco es prueba— no ratificado en el acto del juicio.</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13 de junio de 2007, la Sección Primera de este Tribunal acordó la admisión a trámite de la demanda y, a tenor de lo dispuesto en el art. 51 LOTC, requerir a la Sección Primera de la Audiencia Provincial de Zaragoza y al Juzgado de Instrucción núm. 9 de dicha ciudad, para que en el plazo de diez días remitieran respectivamente testimonio del rollo de apelación 218-2006 y del juicio de faltas núm. 222-2006, interesándose al propio tiempo que se emplazara a quienes fueron parte en el mencionado procedimiento, con excepción del recurrente en amparo, que aparece ya personado, para que en el plazo de diez días pudieran comparecer en este proceso constitucional.</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ATC 361/2007, de 10 de septiembre, la Sala Primera acordó declarar extinguida la pieza, por haber sido ya satisfecha la pretensión de suspensión fuera de este proceso constitucional.</w:t>
      </w:r>
    </w:p>
    <w:p w:rsidR="0052098F" w:rsidRDefault="0052098F" w:rsidP="0052098F">
      <w:pPr>
        <w:pStyle w:val="TextoNormal"/>
      </w:pPr>
    </w:p>
    <w:p w:rsidR="0052098F" w:rsidRDefault="0052098F" w:rsidP="0052098F">
      <w:pPr>
        <w:pStyle w:val="TextoNormal"/>
      </w:pPr>
      <w:r w:rsidRPr="0052098F">
        <w:rPr>
          <w:rStyle w:val="NumeroAFNegritaCaracter"/>
        </w:rPr>
        <w:t>6</w:t>
      </w:r>
      <w:r>
        <w:t>. Por diligencia de ordenación de 25 de septiembre de 2007 se tuvieron por recibidos los testimonios de las actuaciones remitidos por la Sección Primera de la Audiencia Provincial de Zaragoza y por el Juzgado de Instrucción núm. 9 de dicha ciudad y, a tenor de lo dispuesto en el art. 52 de la Ley Orgánica de este Tribunal, se dio vista a las partes personadas y al Ministerio público por término de veinte días, dentro de los cuales podrían presentar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7</w:t>
      </w:r>
      <w:r>
        <w:t>. Mediante escrito registrado en este Tribunal el día 19 de octubre de 2007, la representación procesal del recurrente evacuó el trámite de alegaciones, dando por reproducida la fundamentación de la demanda de amparo. A ello añade que este Tribunal ha declarado que las actas del juicio carecen de autenticidad intrínseca o material, por lo que no pueden ser usadas como documento a efectos de apelación. También recuerda que la única prueba practicada en dicho acto fue la testifical del denunciante y el interrogatorio del acusado y que la condena se funda en la denuncia presentada, por lo que vulnera también la presunción de inocencia.</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día 15 de noviembre de 2007 presentó sus alegaciones el Ministerio Fiscal, que interesa que se otorgue el amparo solicitado, reconociendo al actor su derecho fundamental a un proceso con todas garantías y a la presunción de inocencia del art. 24.2 CE y declarando la nulidad de la Sentencia de fecha 11 de septiembre de 2006, dictada por la Sección Primera de la Audiencia Provincial de Zaragoza, y consiguientemente, la firmeza de la dictada por el Juzgado de Instrucción núm. 9. </w:t>
      </w:r>
    </w:p>
    <w:p w:rsidR="0052098F" w:rsidRDefault="0052098F" w:rsidP="0052098F">
      <w:pPr>
        <w:pStyle w:val="TextoNormal"/>
      </w:pPr>
      <w:r>
        <w:t xml:space="preserve">Destaca el Fiscal que la Audiencia Provincial, actuando como Tribunal Unipersonal, invoca la doctrina constitucional sentada por la STC 167/2002, no obstante lo cual dicta una Sentencia condenatoria fundada en el contenido de determinadas manifestaciones del denunciante y del denunciado, reflejadas en el acta del juicio, considerando ésta un documento que podía valorar en la segunda instancia. Tal afirmación supone desconocer la verdadera naturaleza del acta del juicio oral, cuya exclusiva finalidad es la de hacer constar el hecho en sí de las respectivas intervenciones del órgano judicial y de las partes, así como de las concretas peticiones que éstas dirijan, recogiendo de forma abreviada las manifestaciones de acusados, testigos y peritos, sin que a tales datos pueda reconocérseles valor probatorio alguno. La fe del Secretario judicial sólo puede alcanzar a los elementos formales recogidos en el acta: fecha, lugar, intervinientes, pretensiones… pero en modo alguno al contenido de las declaraciones allí prestadas, en tanto su percepción corresponde con exclusividad al órgano judicial. Por lo tanto, el acta no “hace prueba” en lo que se refiere al contenido de las declaraciones, sirviendo exclusivamente su reseña para recordatorio y guía del ulterior proceso valorativo que ha de desarrollar el órgano judicial. </w:t>
      </w:r>
    </w:p>
    <w:p w:rsidR="0052098F" w:rsidRDefault="0052098F" w:rsidP="0052098F">
      <w:pPr>
        <w:pStyle w:val="TextoNormal"/>
      </w:pPr>
      <w:r>
        <w:lastRenderedPageBreak/>
        <w:t>En consecuencia, la modificación de los hechos probados realizada en éste caso por la Audiencia Provincial se ha basado en una nueva valoración de pruebas personales practicadas en la instancia, careciendo pues de la necesaria inmediación. Además de ello, puede afirmarse que al no existir ninguna otra prueba no personal en base a la cual pudiere llegarse a la conclusión de la autoría de la falta de amenazas, debe concluirse que la presunción de inocencia no habría quedado desvirtuada, resultando en consecuencia vulnerado el derecho fundamental previsto en el art. 24.2 CE.</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7 de febrero de 2008 se señaló para deliberación y votación de la presente Sentencia el día 11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presente recurso de amparo se dirige contra la Sentencia de la Sección Primera de la Audiencia Provincial de Zaragoza de fecha 11 de septiembre de 2006, que tras revocar la Sentencia absolutoria de instancia, condenó al demandante de amparo como autor de una falta de amenazas.</w:t>
      </w:r>
    </w:p>
    <w:p w:rsidR="0052098F" w:rsidRDefault="0052098F" w:rsidP="0052098F">
      <w:pPr>
        <w:pStyle w:val="TextoNormal"/>
      </w:pPr>
      <w:r>
        <w:t>En la demanda se denuncia la vulneración de los derechos fundamentales a un proceso con todas las garantías y a la presunción de inocencia (art. 24.2 CE), por cuanto la resolución recurrida sustenta la condena en una nueva valoración de pruebas personales sin inmediación, ni contradicción. El Ministerio Fiscal entiende concurrentes ambas vulneraciones, e interesa el otorgamiento del amparo.</w:t>
      </w:r>
    </w:p>
    <w:p w:rsidR="0052098F" w:rsidRDefault="0052098F" w:rsidP="0052098F">
      <w:pPr>
        <w:pStyle w:val="TextoNormal"/>
      </w:pPr>
    </w:p>
    <w:p w:rsidR="0052098F" w:rsidRDefault="0052098F" w:rsidP="0052098F">
      <w:pPr>
        <w:pStyle w:val="TextoNormal"/>
      </w:pPr>
      <w:r w:rsidRPr="0052098F">
        <w:rPr>
          <w:rStyle w:val="NumeroAFNegritaCaracter"/>
        </w:rPr>
        <w:t>2</w:t>
      </w:r>
      <w:r>
        <w:t>. Constituye ya consolidada doctrina de este Tribunal, que parte de la Sentencia de Pleno 167/2002, de 18 de septiembre, FFJJ 9 a 11, y es seguida en numerosas Sentencias posteriores (entre las últimas, SSTC 182/2007, de 10 de septiembre; 196/2007, de 11 de septiembre; 207/2007, de 24 de septiembre; y 245/2007, de 10 de diciembre), que el derecho fundamental del acusado a un proceso con todas las garantías (art. 24.2 CE) exige que la valoración de las pruebas de naturaleza personal sólo pueda ser realizada por el órgano judicial ante el que se practiquen, y siempre que además dicha práctica se realice en condiciones plenas de contradicción y publicidad. Por ello, hemos apreciado vulneración de este derecho fundamental en los supuestos en que, tras ser dictada una sentencia penal absolutoria en primera instancia, la misma es revocada en apelación y dictada una sentencia condenatoria que se sustenta en una diferente valoración de testimonios (declaraciones de los acusados o declaraciones testificales), medios de prueba que, por su carácter personal, no podían ser valorados de nuevo sin el examen directo y personal de los acusados o los testigos, en un debate público en el que se respete la posibilidad de contradicción. Y expresamente hemos afirmado que la exigencia de inmediación de la práctica de este tipo de pruebas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(SSTC 105/2005, de 9 de mayo, FJ 1; 111/2005, de 9 de mayo, FJ 1; 112/2005, de 9 de mayo, FJ 2; 185/2005, de 4 de julio, FJ 2; 245/2007, de 10 de diciembre, FJ 3).</w:t>
      </w:r>
    </w:p>
    <w:p w:rsidR="0052098F" w:rsidRDefault="0052098F" w:rsidP="0052098F">
      <w:pPr>
        <w:pStyle w:val="TextoNormal"/>
      </w:pPr>
      <w:r>
        <w:t xml:space="preserve">Por lo demás, la valoración de pruebas personales sin la concurrencia de estas garantías elementales significará también la vulneración del derecho a la presunción de inocencia (art. 24.2 CE) en la medida en que la eliminación de las pruebas irregularmente valoradas deje </w:t>
      </w:r>
      <w:r>
        <w:lastRenderedPageBreak/>
        <w:t>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devenga ilógica o no concluyente a partir de los presupuestos de la propia Sentencia (SSTC 105/2005, de 9 de mayo, FJ 1; 185/2005, de 4 de julio, FJ 2; 126/2007, de 21 de mayo, FJ 4; 207/2007, de 24 de septiembre, FJ 2, entre otras muchas).</w:t>
      </w:r>
    </w:p>
    <w:p w:rsidR="0052098F" w:rsidRDefault="0052098F" w:rsidP="0052098F">
      <w:pPr>
        <w:pStyle w:val="TextoNormal"/>
      </w:pPr>
    </w:p>
    <w:p w:rsidR="0052098F" w:rsidRDefault="0052098F" w:rsidP="0052098F">
      <w:pPr>
        <w:pStyle w:val="TextoNormal"/>
      </w:pPr>
      <w:r w:rsidRPr="0052098F">
        <w:rPr>
          <w:rStyle w:val="NumeroAFNegritaCaracter"/>
        </w:rPr>
        <w:t>3</w:t>
      </w:r>
      <w:r>
        <w:t>. La aplicación de la citada doctrina conduce directamente al otorgamiento del amparo por vulneración del derecho del recurrente a un proceso con todas las garantías (art. 24.2 CE), puesto que la Audiencia Provincial modificó el relato fáctico en sentido incriminatorio y fundó su pronunciamiento condenatorio en una nueva valoración y ponderación de los testimonios prestados en el acto del juicio celebrado en primera instancia, sin someter tal valoración a las garantías de inmediación y contradicción.</w:t>
      </w:r>
    </w:p>
    <w:p w:rsidR="0052098F" w:rsidRDefault="0052098F" w:rsidP="0052098F">
      <w:pPr>
        <w:pStyle w:val="TextoNormal"/>
      </w:pPr>
      <w:r>
        <w:t>Como se expuso con mayor detalle en los antecedentes de esta resolución, el recurrente fue absuelto en primera instancia de la falta de amenazas de la que venía siendo acusado, al considerar el Juez de Instrucción que los hechos denunciados no podían considerarse acreditados “vistas las versiones contradictorias mantenidas por ambas partes, y la ausencia de prueba de cargo suficiente”. La Sentencia de apelación modificó el relato fáctico, considerando probada la amenaza denunciada, anunciando en la fundamentación jurídica que sólo iba a tener en cuenta pruebas documentales para sustentar la condena, por conocer la doctrina de este Tribunal en relación con las exigencias de inmediación y contradicción en la valoración de las pruebas en segunda instancia. Sin embargo —como ponen de relieve tanto el recurrente como el Ministerio Fiscal—, de la lectura de la fundamentación jurídica de la Sentencia se desprende con meridiana claridad que no es una prueba documental la que sirve de base a la modificación del relato fáctico y a la condena, sino una nueva valoración de los testimonios de acusado y víctima, a partir de la constancia del contenido escrito de los mismos que facilita el acta del juicio. Literalmente la Sentencia afirma: “lo cierto es que en el acta del plenario consta claramente que Sergio Bergua Pueyo manifiesta ‘que amenazó a B., que éste le gritó y manifestó que le amargaba la vida”, añadiendo que “ello es coherente con la versión que ha dado la víctima”. En definitiva, el órgano de apelación vuelve a valorar los testimonios prestados por ambas partes, sin haberlos presenciado, para llegar a una conclusión contraria a la del Juez de Instrucción, en la que sustenta la condena.</w:t>
      </w:r>
    </w:p>
    <w:p w:rsidR="0052098F" w:rsidRDefault="0052098F" w:rsidP="0052098F">
      <w:pPr>
        <w:pStyle w:val="TextoNormal"/>
      </w:pPr>
    </w:p>
    <w:p w:rsidR="0052098F" w:rsidRDefault="0052098F" w:rsidP="0052098F">
      <w:pPr>
        <w:pStyle w:val="TextoNormal"/>
      </w:pPr>
      <w:r w:rsidRPr="0052098F">
        <w:rPr>
          <w:rStyle w:val="NumeroAFNegritaCaracter"/>
        </w:rPr>
        <w:t>4</w:t>
      </w:r>
      <w:r>
        <w:t>. Igualmente hemos de declarar la vulneración del derecho del recurrente a la presunción de inocencia (art. 24.2 CE) y anular la resolución recurrida sin retroacción de actuaciones, puesto que la valoración de las pruebas personales que le estaba vedada al órgano de apelación resulta esencial para llegar a la conclusión condenatoria.</w:t>
      </w:r>
    </w:p>
    <w:p w:rsidR="0052098F" w:rsidRDefault="0052098F" w:rsidP="0052098F">
      <w:pPr>
        <w:pStyle w:val="TextoNormal"/>
      </w:pPr>
      <w:r>
        <w:t>En efecto, aunque la Sentencia condenatoria alude a “la documentación aportada por ambas partes procesales sobre los problemas que están surgiendo entre ambos por la utilización del ascensor”, del propio razonamiento del órgano judicial se desprende que dicha documentación carece de autonomía como prueba de cargo, dado el contenido de la misma y que se utiliza tan sólo como elemento de corroboración de la credibilidad del denunciante, que es —junto al testimonio del propio acusado— la única prueba de cargo de la autoría de la falta de amenazas por las que se le enjuiciaba (SSTC 282/2005, de 7 de noviembre, FJ 3; 207/2007, de 24 de septiembre, FJ 4).</w:t>
      </w:r>
    </w:p>
    <w:p w:rsidR="0052098F" w:rsidRDefault="0052098F" w:rsidP="0052098F">
      <w:pPr>
        <w:pStyle w:val="TextoNormal"/>
      </w:pPr>
      <w:r>
        <w:t>Procedente será, por todo ello, el pronunciamiento establecido en el art. 53 a) LOTC.</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Sergio Bergua Pueyo y, en consecuencia:</w:t>
      </w:r>
    </w:p>
    <w:p w:rsidR="0052098F" w:rsidRDefault="0052098F" w:rsidP="0052098F">
      <w:pPr>
        <w:pStyle w:val="TextoNormal"/>
      </w:pPr>
      <w:r>
        <w:t>1º Reconocer su derecho a un proceso con todas las garantías y a la presunción de inocencia (art. 24.2 CE).</w:t>
      </w:r>
    </w:p>
    <w:p w:rsidR="0052098F" w:rsidRDefault="0052098F" w:rsidP="0052098F">
      <w:pPr>
        <w:pStyle w:val="TextoNormal"/>
      </w:pPr>
      <w:r>
        <w:t>2º Declarar la nulidad de la Sentencia de la Sección Primera de la Audiencia Provincial de Zaragoza de 11 de septiembre de 2006, dictada en el rollo de apelación núm. 218-2006.</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once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2" w:name="SENTENCIA_2008_29"/>
      <w:r>
        <w:lastRenderedPageBreak/>
        <w:t>SENTENCIA 29/2008, de 20 de febrero de 2008</w:t>
      </w:r>
    </w:p>
    <w:bookmarkEnd w:id="32"/>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64, de 14 de marzo de 2008)</w:t>
      </w:r>
    </w:p>
    <w:p w:rsidR="0052098F" w:rsidRDefault="0052098F" w:rsidP="0052098F">
      <w:pPr>
        <w:pStyle w:val="TtuloBOE"/>
      </w:pPr>
    </w:p>
    <w:p w:rsidR="0052098F" w:rsidRDefault="0052098F" w:rsidP="0052098F">
      <w:pPr>
        <w:pStyle w:val="SntesisDescriptiva"/>
      </w:pPr>
      <w:r>
        <w:t>ECLI:ES:TC:2008:29</w:t>
      </w:r>
    </w:p>
    <w:p w:rsidR="0052098F" w:rsidRDefault="0052098F" w:rsidP="0052098F">
      <w:pPr>
        <w:pStyle w:val="SntesisDescriptiva"/>
      </w:pPr>
    </w:p>
    <w:p w:rsidR="0052098F" w:rsidRDefault="0052098F" w:rsidP="0052098F">
      <w:pPr>
        <w:pStyle w:val="SntesisDescriptiva"/>
      </w:pPr>
      <w:r>
        <w:t>Recursos de amparo 1907-2003 y 1911-2003 (acumulados). Promovidos por don Alberto Cortina de Alcocer y otro respecto a la Sentencia de la Sala Segunda del Tribunal Supremo que les condenó por delitos de falsedad en documento mercantil y estafa en perjuicio de los socios minoritarios de la sociedad mercantil Urbanor.</w:t>
      </w:r>
    </w:p>
    <w:p w:rsidR="0052098F" w:rsidRDefault="0052098F" w:rsidP="0052098F">
      <w:pPr>
        <w:pStyle w:val="SntesisDescriptiva"/>
      </w:pPr>
    </w:p>
    <w:p w:rsidR="0052098F" w:rsidRDefault="0052098F" w:rsidP="0052098F">
      <w:pPr>
        <w:pStyle w:val="SntesisAnaltica"/>
      </w:pPr>
      <w:r>
        <w:t>Supuesta vulneración de los derechos a un proceso con garantías, a la presunción de inocencia, a la prueba y a la legalidad penal: sentencia de casación penal que condena sin incongruencia en relación con la prejudicialidad civil, sin necesidad de celebrar vista pública y sin recurso ulterior; pruebas de cargo suficientes, incluidas las declaraciones sumariales de un testigo que no pudo comparecer en el juicio; interpretación del tipo penal del delito de estafa previsible. Vulneración del derecho a la tutela judicial efectiva: apreciación sobre la prescripción del delito que no ofrece una tutela reforzada de la libertad personal del acusado al interpretar la ley vigente (STC 63/2005). Voto particular.</w:t>
      </w:r>
    </w:p>
    <w:p w:rsidR="0052098F" w:rsidRDefault="0052098F" w:rsidP="0052098F">
      <w:pPr>
        <w:pStyle w:val="SntesisAnaltica"/>
      </w:pPr>
    </w:p>
    <w:p w:rsidR="0052098F" w:rsidRDefault="0052098F" w:rsidP="0052098F">
      <w:pPr>
        <w:pStyle w:val="Extracto"/>
      </w:pPr>
      <w:r>
        <w:t>1.</w:t>
      </w:r>
      <w:r>
        <w:tab/>
        <w:t>La consideración de la Sala de lo Penal del Tribunal Supremo de que la recepción del escrito presentado significaba que el procedimiento se dirigía contra el culpable, constituye una interpretación y aplicación del art. 114 del CP de 1973 lesiva del derecho fundamental de los recurrentes a la tutela judicial efectiva en cuanto insuficientemente respetuosa con el derecho a la libertad que estaba en el trasfondo de la decisión (STC 63/2005) [FFJJ 12, 13].</w:t>
      </w:r>
    </w:p>
    <w:p w:rsidR="0052098F" w:rsidRDefault="0052098F" w:rsidP="0052098F">
      <w:pPr>
        <w:pStyle w:val="Extracto"/>
      </w:pPr>
    </w:p>
    <w:p w:rsidR="0052098F" w:rsidRDefault="0052098F" w:rsidP="0052098F">
      <w:pPr>
        <w:pStyle w:val="Extracto"/>
      </w:pPr>
      <w:r>
        <w:t>2.</w:t>
      </w:r>
      <w:r>
        <w:tab/>
        <w:t>La interposición de una denuncia o querella es una solicitud de iniciación del procedimiento, no un procedimiento ya iniciado (SSTC 11/1995, 63/2005) [FJ 10].</w:t>
      </w:r>
    </w:p>
    <w:p w:rsidR="0052098F" w:rsidRDefault="0052098F" w:rsidP="0052098F">
      <w:pPr>
        <w:pStyle w:val="Extracto"/>
      </w:pPr>
    </w:p>
    <w:p w:rsidR="0052098F" w:rsidRDefault="0052098F" w:rsidP="0052098F">
      <w:pPr>
        <w:pStyle w:val="Extracto"/>
      </w:pPr>
      <w:r>
        <w:t>3.</w:t>
      </w:r>
      <w:r>
        <w:tab/>
        <w:t>El derecho fundamental a la tutela judicial que asiste a los ofendidos por un delito como querellantes o denunciantes es un ius ut procedatur que no contiene un derecho absoluto a la apertura y plena sustanciación del proceso penal, sino tan solo a la incoación o apertura de una instrucción penal (SSTC 11/1995, 63/2005) [FJ 10].</w:t>
      </w:r>
    </w:p>
    <w:p w:rsidR="0052098F" w:rsidRDefault="0052098F" w:rsidP="0052098F">
      <w:pPr>
        <w:pStyle w:val="Extracto"/>
      </w:pPr>
    </w:p>
    <w:p w:rsidR="0052098F" w:rsidRDefault="0052098F" w:rsidP="0052098F">
      <w:pPr>
        <w:pStyle w:val="Extracto"/>
      </w:pPr>
      <w:r>
        <w:t>4.</w:t>
      </w:r>
      <w:r>
        <w:tab/>
        <w:t>No cabe reprochar a los órganos judiciales vulneración alguna del derecho de los demandantes de amparo a la tutela judicial efectiva en relación a la supuesta incongruencia omisiva, ya que la Sentencia de instancia se refiere expresamente a las cuestiones de prejudicialidad civil planteadas por las defensas y además explica su falta de pronunciamiento acerca de ellas [FJ 2].</w:t>
      </w:r>
    </w:p>
    <w:p w:rsidR="0052098F" w:rsidRDefault="0052098F" w:rsidP="0052098F">
      <w:pPr>
        <w:pStyle w:val="Extracto"/>
      </w:pPr>
    </w:p>
    <w:p w:rsidR="0052098F" w:rsidRDefault="0052098F" w:rsidP="0052098F">
      <w:pPr>
        <w:pStyle w:val="Extracto"/>
      </w:pPr>
      <w:r>
        <w:t>5.</w:t>
      </w:r>
      <w:r>
        <w:tab/>
        <w:t>Doctrina sobre la incongruencia omisiva (STC 20/1982) [FJ 2].</w:t>
      </w:r>
    </w:p>
    <w:p w:rsidR="0052098F" w:rsidRDefault="0052098F" w:rsidP="0052098F">
      <w:pPr>
        <w:pStyle w:val="Extracto"/>
      </w:pPr>
    </w:p>
    <w:p w:rsidR="0052098F" w:rsidRDefault="0052098F" w:rsidP="0052098F">
      <w:pPr>
        <w:pStyle w:val="Extracto"/>
      </w:pPr>
      <w:r>
        <w:t>6.</w:t>
      </w:r>
      <w:r>
        <w:tab/>
        <w:t xml:space="preserve">Carece de fundamento la vulneración a un proceso con todas las garantías en la vertiente del principio de doble instancia en materia penal (art. 14.5 Pacto internacional de derechos civiles y políticos), ya que dicho precepto es compatible con </w:t>
      </w:r>
      <w:r>
        <w:lastRenderedPageBreak/>
        <w:t>la revisión en casación de las sentencias condenatorias (SSTC 70/2002, 80/2003, 136/2006) [FJ 3a)].</w:t>
      </w:r>
    </w:p>
    <w:p w:rsidR="0052098F" w:rsidRDefault="0052098F" w:rsidP="0052098F">
      <w:pPr>
        <w:pStyle w:val="Extracto"/>
      </w:pPr>
    </w:p>
    <w:p w:rsidR="0052098F" w:rsidRDefault="0052098F" w:rsidP="0052098F">
      <w:pPr>
        <w:pStyle w:val="Extracto"/>
      </w:pPr>
      <w:r>
        <w:t>7.</w:t>
      </w:r>
      <w:r>
        <w:tab/>
        <w:t>La excepción al derecho reconocido en el artículo 14.5 PIDCP obedece a la racionalidad del precepto, con independencia de que el instrumento que la recoge no haya sido aún incorporado a nuestro Ordenamiento jurídico interno [FJ 3a)].</w:t>
      </w:r>
    </w:p>
    <w:p w:rsidR="0052098F" w:rsidRDefault="0052098F" w:rsidP="0052098F">
      <w:pPr>
        <w:pStyle w:val="Extracto"/>
      </w:pPr>
    </w:p>
    <w:p w:rsidR="0052098F" w:rsidRDefault="0052098F" w:rsidP="0052098F">
      <w:pPr>
        <w:pStyle w:val="Extracto"/>
      </w:pPr>
      <w:r>
        <w:t>8.</w:t>
      </w:r>
      <w:r>
        <w:tab/>
        <w:t>No cabe reprochar la vulneración al derecho a un proceso con todas las garantías por ausencia de las garantías de inmediación y contradicción pues, ni se constata déficit alguno de contradicción, ni que la Sala de lo Penal del Tribunal Supremo haya sustentado la condena sobre su propia apreciación de lo sucedido a partir de la valoración de testimonios a los que no ha asistido (SSTC 167/2002, 112/2005) [FJ 3 b)].</w:t>
      </w:r>
    </w:p>
    <w:p w:rsidR="0052098F" w:rsidRDefault="0052098F" w:rsidP="0052098F">
      <w:pPr>
        <w:pStyle w:val="Extracto"/>
      </w:pPr>
    </w:p>
    <w:p w:rsidR="0052098F" w:rsidRDefault="0052098F" w:rsidP="0052098F">
      <w:pPr>
        <w:pStyle w:val="Extracto"/>
      </w:pPr>
      <w:r>
        <w:t>9.</w:t>
      </w:r>
      <w:r>
        <w:tab/>
        <w:t>La prueba testifical reunía todas las condiciones constitucionalmente establecidas para ser elevada a la categoría de prueba preconstituida susceptible de ser valorada como prueba de cargo [FJ 5a)].</w:t>
      </w:r>
    </w:p>
    <w:p w:rsidR="0052098F" w:rsidRDefault="0052098F" w:rsidP="0052098F">
      <w:pPr>
        <w:pStyle w:val="Extracto"/>
      </w:pPr>
    </w:p>
    <w:p w:rsidR="0052098F" w:rsidRDefault="0052098F" w:rsidP="0052098F">
      <w:pPr>
        <w:pStyle w:val="Extracto"/>
      </w:pPr>
      <w:r>
        <w:t>10.</w:t>
      </w:r>
      <w:r>
        <w:tab/>
        <w:t>Desde el control externo que a este Tribunal le corresponde para verificar si hubo en el proceso prueba de cargo suficiente para fundamentar la condena, no cabe duda alguna de que la hubo, de que fue practicada con todas las garantías y de que, no cabe estimar ninguna vulneración del derecho de los recurrentes a la presunción de inocencia [FJ 5c)].</w:t>
      </w:r>
    </w:p>
    <w:p w:rsidR="0052098F" w:rsidRDefault="0052098F" w:rsidP="0052098F">
      <w:pPr>
        <w:pStyle w:val="Extracto"/>
      </w:pPr>
    </w:p>
    <w:p w:rsidR="0052098F" w:rsidRDefault="0052098F" w:rsidP="0052098F">
      <w:pPr>
        <w:pStyle w:val="Extracto"/>
      </w:pPr>
      <w:r>
        <w:t>11.</w:t>
      </w:r>
      <w:r>
        <w:tab/>
        <w:t>Doctrina sobre prueba de cargo preconstituida consistente en declaraciones prestadas en fase sumarial (SSTC 31/1981, 92/2006) [FJ 5a)].</w:t>
      </w:r>
    </w:p>
    <w:p w:rsidR="0052098F" w:rsidRDefault="0052098F" w:rsidP="0052098F">
      <w:pPr>
        <w:pStyle w:val="Extracto"/>
      </w:pPr>
    </w:p>
    <w:p w:rsidR="0052098F" w:rsidRDefault="0052098F" w:rsidP="0052098F">
      <w:pPr>
        <w:pStyle w:val="Extracto"/>
      </w:pPr>
      <w:r>
        <w:t>12.</w:t>
      </w:r>
      <w:r>
        <w:tab/>
        <w:t>Las lesiones del derecho de los actores a la legalidad penal carecen de contenido constitucional, dado que, este Tribunal no puede proceder a revisar los hechos declarados probados ni la valoración que de los mismos han realizado los órganos judiciales de instancia y de casación en virtud de una serie de elementos probatorios que les han conducido a estimar la concurrencia de los elementos típicos [FJ 6].</w:t>
      </w:r>
    </w:p>
    <w:p w:rsidR="0052098F" w:rsidRDefault="0052098F" w:rsidP="0052098F">
      <w:pPr>
        <w:pStyle w:val="Extracto"/>
      </w:pPr>
    </w:p>
    <w:p w:rsidR="0052098F" w:rsidRDefault="0052098F" w:rsidP="0052098F">
      <w:pPr>
        <w:pStyle w:val="Extracto"/>
      </w:pPr>
      <w:r>
        <w:t>12.</w:t>
      </w:r>
      <w:r>
        <w:tab/>
        <w:t>No procede la retroacción de actuaciones como consecuencia del otorgamiento de amparo [FJ 13].</w:t>
      </w:r>
    </w:p>
    <w:p w:rsidR="0052098F" w:rsidRDefault="0052098F" w:rsidP="0052098F">
      <w:pPr>
        <w:pStyle w:val="Extracto"/>
      </w:pPr>
    </w:p>
    <w:p w:rsidR="0052098F" w:rsidRDefault="0052098F" w:rsidP="0052098F">
      <w:pPr>
        <w:pStyle w:val="Extracto"/>
      </w:pPr>
      <w:r>
        <w:t>13.</w:t>
      </w:r>
      <w:r>
        <w:tab/>
        <w:t>Doctrina sobre el derecho a la legalidad penal (SSTC 137/1997, 9/2006) [FJ 6].</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los recursos de amparo acumulados núms. 1907-2003 y 1911-2003, respectivamente promovidos por don Alberto Cortina de Alcocer, representado por el Procurador de los Tribunales don Argimiro Vázquez Guillén y asistido por los Abogados don Gonzalo Rodríguez Mourullo y don Ramón Hermosilla Martín, y por don Alberto de Alcocer Torra, representado por ese mismo Procurador de los Tribunales y asistido por el Abogado don Antonio Hernández-Gil Álvarez-Cienfuegos, contra la Sentencia de la Sala Segunda del Tribunal Supremo de 14 de marzo de 2003, revocatoria de la Sentencia absolutoria dictada en instancia por la Sección Séptima de la Audiencia Provincial de Madrid con fecha de 29 de diciembre de 2000 en procedimiento seguido contra los demandantes de amparo por delitos de falsedad en documento mercantil y de estafa. Han comparecido y sido parte en el proceso las siguientes personas: don Pedro Sentieri Cardillo, don Luis García Alarcón y don Francisco Castelló Piera, representados por el Procurador de los Tribunales don Victorio Venturini Medina; doña María Paloma San Martín Martín Pozuelo y don Eduardo Benzo Perea, representados por el Procurador de los Tribunales don Manuel Sánchez-Puelles y González-Carvajal; doña María Pilar San Martín Abad, don Ángel Odériz Divassón, doña María Teresa San Martín Abad y don Alberto Sagües Agudo, representados por el Procurador de los Tribunales don Ramón Rodríguez Nogueira, luego sustituido por don Isidro Orquín Cedenilla; y las entidades Fomento de Construcciones y Contratas, S.A., y Corporación Financiera Hispánica, S.A, representadas por el Procurador de los Tribunales don Florencio Aráez Martínez. Ha intervenido el Ministerio Fiscal. Ha sido Ponente el Magistrado don Pascual Sala Sánchez,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dos escritos registrados en este Tribunal con fecha de 1 de abril de 2003 el Procurador de los Tribunales don Argimiro Vázquez Guillén, en nombre y representación de don Alberto Cortina de Alcocer y de don Alberto de Alcocer Torra, interpuso otros tantos recursos de amparo contra la resolución judicial mencionada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Las dos demandas de amparo se basan esencialmente en los siguientes hechos: </w:t>
      </w:r>
    </w:p>
    <w:p w:rsidR="0052098F" w:rsidRDefault="0052098F" w:rsidP="0052098F">
      <w:pPr>
        <w:pStyle w:val="TextoNormal"/>
      </w:pPr>
      <w:r>
        <w:t xml:space="preserve">a) Sobre la base de la supuesta falsedad cometida por medio de una carta que, con fecha de 23 de noviembre de 1987 y aparentemente firmada por Richard M. Robinson en nombre de la sociedad KIO, se hizo llegar a los socios minoritarios de la entidad Urbanor, S.A., ofertándoles la compra de unos derechos de suscripción preferente (derechos que, en definitiva, se traducían en la propiedad de unos solares sobre los que posteriormente serían edificadas las llamadas “torres KIO”) por un precio inferior (150.000 pesetas por metro cuadrado) al supuestamente pactado con los socios mayoritarios de dicha entidad (don Alberto Cortina de Alcocer y don Alberto de Alcocer Torra) de 231.000 pesetas por metro cuadrado, </w:t>
      </w:r>
      <w:r>
        <w:lastRenderedPageBreak/>
        <w:t xml:space="preserve">los primeramente citados presentaron, con fecha de 6 de enero de 1993 —un día antes del vencimiento del plazo de prescripción—, una querella criminal —sin firma y sin acompañarla del preceptivo poder especial— contra los segundos por delitos de falsedad en documento mercantil y de estafa, querella que, tenida por presentada a los “únicos fines registrales y de control” por Auto del Juzgado de 20 de enero de 1993, que acordó también su ratificación por los querellantes, no fue formalmente subsanada sino hasta pasados dos meses desde su inicial presentación y una vez ya transcurrido el plazo de prescripción de cinco años, que había vencido el 7 de enero de 1993. </w:t>
      </w:r>
    </w:p>
    <w:p w:rsidR="0052098F" w:rsidRDefault="0052098F" w:rsidP="0052098F">
      <w:pPr>
        <w:pStyle w:val="TextoNormal"/>
      </w:pPr>
      <w:r>
        <w:t xml:space="preserve">b) Por Sentencia de 29 de diciembre de 2000 la Sección Séptima de la Audiencia Provincial de Madrid, tras afirmar que los acusados habían cometido efectivamente dichos delitos, declaró en su fundamento de derecho octavo que los mismos se encontraban “claramente prescritos”, dado que, aun partiendo de la interpretación más favorable al ejercicio de la acción penal que identifica la expresión contenida en el art. 114.2 del Código penal (CP 1973) en materia de interrupción del plazo de prescripción (“desde que el procedimiento se dirija contra el culpable”) con la simple presentación de una querella sin necesidad de que se haya producido su admisión, al haber sido presentada la querella en la fecha más arriba indicada (6 de enero de 1973) sin firma del querellante y sin poder especial del procurador de ningún modo podía concluirse que en dicha fecha se hubiera presentado, en verdad, querella alguna. De manera que, habiendo sido admitido por todas las partes que el dies a quo para el cómputo del plazo de prescripción era el de la venta de los derechos de suscripción preferente de acciones por parte de los socios minoritarios de Urbanor —esto es: el 7 de enero de 1988— el plazo de prescripción legalmente establecido de cinco años había concluido el 7 de enero de 1993, sin que en dicha fecha se hubiera presentado querella eficaz alguna hasta que el 9 de marzo de 1993 (una vez prescritos ya los delitos) se procedió a su ratificación por uno de los querellantes. En consecuencia la Sala absolvió a los demandantes de amparo de los delitos de los que venían acusados al considerarlos prescritos y extinguida su responsabilidad penal por los mismos. </w:t>
      </w:r>
    </w:p>
    <w:p w:rsidR="0052098F" w:rsidRDefault="0052098F" w:rsidP="0052098F">
      <w:pPr>
        <w:pStyle w:val="TextoNormal"/>
      </w:pPr>
      <w:r>
        <w:t xml:space="preserve">c) Contra esta Sentencia absolutoria dictada en instancia presentaron recurso de casación las acusaciones particulares, el Ministerio Fiscal y también la representación de los demandantes de amparo, por entender éstos últimos que las afirmaciones vertidas en la misma acerca de la comisión por su parte de los delitos que les habían sido imputados constituía una lesión de varios de sus derechos fundamentales, pese a que finalmente hubiesen resultado absueltos por motivo de apreciarse que dichos delitos habían prescrito. Tanto las acusaciones particulares como el Ministerio Fiscal atacaron en sus respectivos recursos la conclusión alcanzada por el Tribunal de instancia acerca de la prescripción de los delitos imputados a los demandantes de amparo. Examinado dicho motivo de casación por la Sala Segunda, el órgano casacional concluyó, en contra de lo decidido por la Audiencia, que, pese a no haberse acompañado la querella presentada contra los Sres. Cortina y Alcocer del preceptivo poder especial, de acuerdo con la doctrina sostenida por la Sala en los últimos tiempos “la simple presentación de una querella o denuncia en el Juzgado” constituye “una actuación procedimental susceptible de subsumirse bajo la expresión legal ‘dirigir el procedimiento contra el culpable”, ya que sería posible “otorgar a la querella la condición de cauce legítimo para poner en conocimiento del Tribunal un hecho delictivo perseguible de oficio (notitia criminis)”. Dicho de otra manera: a juicio de la Sala Segunda, la querella defectuosamente presentada contra los Sres. Cortina y Alcocer “tuvo la virtualidad de integrar una denuncia”, ya que, aun carente de poder especial, bastaba “con la firma o suscripción del mandatario con poder general para trasladar al Tribunal la notitia criminis que debió obligarle a actuar, al tratarse de delito perseguible de oficio, sin perjuicio de que la ulterior </w:t>
      </w:r>
      <w:r>
        <w:lastRenderedPageBreak/>
        <w:t xml:space="preserve">ratificación de la querella permitiera la atribución de la condición de parte procesal en la causa al querellante”. En consecuencia el referido motivo de casación fue estimado, declarándose que los delitos imputados a los demandantes de amparo no habían prescrito; por el contrario los motivos de casación planteados por éstos fueron desestimados en su totalidad, siendo condenados, como autores responsables de un delito de falsedad en documento mercantil en concurso medial con un delito de estafa, con la circunstancia modificativa de la responsabilidad de especial gravedad en atención al valor de lo defraudado estimada como muy cualificada, a la pena de un año de prisión menor y multa por importe de 6.000 euros por el primero de dichos delitos, con 50 días de arresto sustitutorio en caso de impago, y de dos años y cuatro meses de prisión por el delito de estafa, debiendo asimismo responder solidariamente y por mitades de las indemnizaciones señaladas en la resultancia probatoria de la Sentencia de instancia, siendo responsables civiles subsidiarias las entidades Construcciones y Contratas, S.A., y Corporación Financiera Hispánica, S.A. La Sentencia dictada en sede de casación fue notificada a la representación de los demandantes de amparo el mismo día 14 de marzo de 2003. </w:t>
      </w:r>
    </w:p>
    <w:p w:rsidR="0052098F" w:rsidRDefault="0052098F" w:rsidP="0052098F">
      <w:pPr>
        <w:pStyle w:val="TextoNormal"/>
      </w:pPr>
      <w:r>
        <w:t>d) Notificada la Sentencia a las partes, por la representación de los demandantes de amparo se presentó una solicitud de aclaración de determinados extremos de la misma que fue resuelta por Auto de la Sala Segunda del Tribunal Supremo de 18 de marzo de 2003 en un sentido que en nada afecta a las cuestiones planteadas en el presente recurso de amparo.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De acuerdo con el orden de exposición desarrollado en la demanda de amparo presentada por el Sr. Cortina de Alcocer, se atribuye a la resolución recurrida la vulneración de los siguientes derechos fundamentales: 1) derechos a un proceso con todas las garantías, a la utilización de los medios de prueba pertinentes y a la presunción de inocencia (art. 24.2 CE); 2) derecho a la legalidad penal (art. 25.1 CE); 3) derecho a la igualdad ante la Ley (art. 14 CE); 4) derecho a la tutela judicial efectiva (art. 24.1 CE); y 5) derecho a un proceso con todas las garantías (art. 24.2 CE). </w:t>
      </w:r>
    </w:p>
    <w:p w:rsidR="0052098F" w:rsidRDefault="0052098F" w:rsidP="0052098F">
      <w:pPr>
        <w:pStyle w:val="TextoNormal"/>
      </w:pPr>
      <w:r>
        <w:t xml:space="preserve">1) En forma interrelacionada invoca el recurrente la lesión de sus derechos a un proceso con todas las garantías, a la utilización de los medios de prueba pertinentes y a la presunción de inocencia por razón de haberse basado la condena que le fue impuesta a título de autor responsable de un delito de falsedad en documento mercantil en la supuesta falsedad de una carta, de fecha 23 de noviembre de 1987, firmada en nombre de Kuwait Investment Office (KIO) por don Richard Robinson, en la que la citada entidad formulaba una oferta de compra de las acciones y/o derechos de suscripción preferente de Urbanor a las entidades propietarias de la misma (Promotora de Negocios Astor, S.A., y Construcciones San Martín, S.A.) al efecto de la compra de unos solares de los que eran titulares por un precio de 150.000 pesetas por metro cuadrado. </w:t>
      </w:r>
    </w:p>
    <w:p w:rsidR="0052098F" w:rsidRDefault="0052098F" w:rsidP="0052098F">
      <w:pPr>
        <w:pStyle w:val="TextoNormal"/>
      </w:pPr>
      <w:r>
        <w:t xml:space="preserve">Según los hechos declarados probados en la Sentencia de instancia, por medio de las manipulaciones efectuadas en dicha carta se habría hecho creer a los accionistas de las sociedades citadas en último lugar que el mencionado precio, inferior al que en realidad habían pactado los Sres. Cortina y Alcocer por medio de un contrato de esa misma fecha para la venta de las acciones de Urbanor que eran de su propiedad, era el más alto que se había podido alcanzar. En una primera declaración, prestada en fase de instrucción, el Sr. Robinson había puesto en duda, en efecto, que hubiese sido él el firmante de una carta con el indicado contenido, pero, según se hace valer en la demanda, posteriormente se habría desdicho de esa anterior afirmación al admitir, una vez consultados sus archivos personales, por medio de una carta de fecha 2 de julio de 1996 y mediante una declaración notarial o affidavit realizada en Londres el 10 de febrero de 1998, que su firma en dicha carta era </w:t>
      </w:r>
      <w:r>
        <w:lastRenderedPageBreak/>
        <w:t xml:space="preserve">auténtica y que, por consiguiente, su contenido también lo era, al tiempo que explicaba que la diferencia entre el precio de 231.000 pesetas por metro cuadrado ofertado a los accionistas mayoritarios, Sres. Cortina y Alcocer, y el propuesto a los minoritarios (los acusadores particulares) se debió al hecho de que los primeros cobraban en acciones del Banco Central en tanto que los segundos lo hacían en metálico. Se hace asimismo constar en la demanda que la citada declaración notarial o affidavit está especialmente protegida por el Derecho británico, siendo castigada la falsedad de lo en ella declarado con las penas correspondientes al delito de perjurio o falso testimonio. </w:t>
      </w:r>
    </w:p>
    <w:p w:rsidR="0052098F" w:rsidRDefault="0052098F" w:rsidP="0052098F">
      <w:pPr>
        <w:pStyle w:val="TextoNormal"/>
      </w:pPr>
      <w:r>
        <w:t xml:space="preserve">Ni la carta de fecha 2 de julio de 1996 ni la declaración notarial fueron, sin embargo, admitidas por el Tribunal de instancia como prueba testifical, pese a que así había sido propuesto en tiempo y forma tanto por las acusaciones como por las defensas de los dos acusados, solicitándose por la defensa que, por residir dicho testigo en el Reino Unido, se librara la correspondiente comisión rogatoria al efecto de tomarle declaración en forma contradictoria con vistas a su introducción en el procedimiento como prueba anticipada, siendo esto último denegado por Auto de la Sala de 9 de mayo de 2000, si bien se admitió que el Sr. Robinson declarara como testigo en el acto del juicio oral. </w:t>
      </w:r>
    </w:p>
    <w:p w:rsidR="0052098F" w:rsidRDefault="0052098F" w:rsidP="0052098F">
      <w:pPr>
        <w:pStyle w:val="TextoNormal"/>
      </w:pPr>
      <w:r>
        <w:t xml:space="preserve">Citado a dicho acto, el referido testigo no compareció, solicitándose entonces por la representación de una de las acusaciones que su primera declaración ante el Juez Instructor fuese introducida en el procedimiento por la vía de lo dispuesto en el art. 730 LECrim. La defensa del Sr. Cortina se opuso a ello e interesó que, de accederse a tal petición, se diera lectura “a todas las manifestaciones del Sr. Robinson que ha efectuado en la causa”, a lo que el órgano judicial de instancia se opuso siendo finalmente rechazadas como pruebas, por motivos estrictamente formales, las citadas carta y declaración notarial en la Sentencia dictada en instancia, en tanto que se concedía valor probatorio a la declaración inicial del Sr. Robinson ante el Juez Instructor, dándosele categoría de prueba anticipada. Cabe destacar que esos motivos formales eran los siguientes: “por tratarse de manifestaciones hechas unilateralmente, se desconoce si por propia iniciativa o a instancia de parte, y sin que haya podido ser interrogado acerca de esas modificaciones por los letrados de las partes”. </w:t>
      </w:r>
    </w:p>
    <w:p w:rsidR="0052098F" w:rsidRDefault="0052098F" w:rsidP="0052098F">
      <w:pPr>
        <w:pStyle w:val="TextoNormal"/>
      </w:pPr>
      <w:r>
        <w:t xml:space="preserve">Conviene finalmente señalar, por lo que hace a las alegaciones relativas a este punto, que apenas se debatió en el juicio oral acerca de la autenticidad o falsedad de la carta de referencia, tal y como viene a reconocerse en la propia Sentencia dictada en instancia. </w:t>
      </w:r>
    </w:p>
    <w:p w:rsidR="0052098F" w:rsidRDefault="0052098F" w:rsidP="0052098F">
      <w:pPr>
        <w:pStyle w:val="TextoNormal"/>
      </w:pPr>
      <w:r>
        <w:t xml:space="preserve">2) El derecho a la legalidad penal del actor se entiende lesionado por varías vías: </w:t>
      </w:r>
    </w:p>
    <w:p w:rsidR="0052098F" w:rsidRDefault="0052098F" w:rsidP="0052098F">
      <w:pPr>
        <w:pStyle w:val="TextoNormal"/>
      </w:pPr>
      <w:r>
        <w:t xml:space="preserve">a) Se aduce, en primer lugar, que los órganos judiciales han realizado una interpretación “extravagante” de dos de los elementos típicos del delito de estafa: el “engaño bastante” y el “perjuicio patrimonial”. Con cita expresa de las SSTC 137/1997 y 151/1997 se sostiene que, en el caso de autos, la Sala Segunda ha sustituido el primero de dichos elementos típicos por la necesidad de que concurra en la estafa, no ya un engaño bastante para producir error, sino un engaño eficaz para producir “sus efectos defraudadores” (FJ 11: “el engaño ha de entenderse bastante cuando haya producido sus efectos defraudadores”); interpretación que se extiende más allá de lo permitido por el texto legal y que, por consiguiente, se considera contra legem y lesiva del derecho a la legalidad penal. De haberse exigido, por el contrario, como requisito del engaño que fuera bastante para producir error en los querellantes, obviamente la conclusión tendría que haber sido distinta, por cuanto: 1) se trataba de profesionales del sector inmobiliario con amplia experiencia; 2) las condiciones reales de la venta de los terrenos habían sido divulgadas por la prensa; y 3) los querellantes contrataron directamente con KIO la cesión de sus derechos de suscripción. En realidad se habría procedido a reemplazar el referido elemento típico por una especie de infracción de los deberes de lealtad existentes entre los socios que nada tiene que ver con el tipo penal de la estafa y que, </w:t>
      </w:r>
      <w:r>
        <w:lastRenderedPageBreak/>
        <w:t xml:space="preserve">por ello mismo, convierte su aplicación al presente caso en un hecho sorpresivo y contrario a las más mínimas exigencias de seguridad jurídica. Semejante identificación entre engaño eficaz y engaño bastante habría constituido, pues, una interpretación irracional, en cuanto ajena al tenor literal de la norma y a las pautas compartidas de argumentación jurídica que rigen su análisis. </w:t>
      </w:r>
    </w:p>
    <w:p w:rsidR="0052098F" w:rsidRDefault="0052098F" w:rsidP="0052098F">
      <w:pPr>
        <w:pStyle w:val="TextoNormal"/>
      </w:pPr>
      <w:r>
        <w:t xml:space="preserve">b) Se considera asimismo vulnerado el derecho del actor a la legalidad penal por motivo de la interpretación dada en las Sentencias de instancia y de casación al elemento del delito consumado de estafa, consistente en la exigencia de producción de un “perjuicio patrimonial”. Pues, según se razona, si por perjuicio ha de entenderse la diferencia patrimonial negativa existente entre el antes y el después del acto de disposición patrimonial (en este caso: de la transmisión de los solares propiedad de Urbanor, S.A., a KIO), no se ve en qué modo habrían podido ser perjudicados los querellantes por haber recibido en contrapartida un precio que no sólo era muy superior al que por dichos terrenos habían pagado, sino que, en cualquier caso, fue considerado adecuado por quienes —se insiste una vez más en ello— eran profesionales avezados con una amplia experiencia en el mercado inmobiliario. Se habría producido, además, en las Sentencias recurridas, una extraña asimilación del concepto de “precio de mercado” a la cantidad que estaban dispuestos a pagar los adquirentes por los indicados terrenos, lo que supone una subjetivización absoluta de dicho concepto y conduce a una interpretación extravagante de este elemento típico. El perjuicio habría consistido aquí en que los querellantes, en lugar de haber vendido a 231.000 pesetas/metro cuadrado, lo habrían hecho sólo a 150.000 pesetas/metro cuadrado; pero ese defecto de ganancia no equivaldría a una pérdida patrimonial en el sentido requerido por el tipo penal del delito de estafa, ya que, según constantes doctrina y jurisprudencia, en dicho delito la determinación del perjuicio responde a criterios objetivos de daño emergente, traducidos en términos de pérdida patrimonial efectiva y no en términos de lucro cesante. En ambas Sentencias se reconoce, por lo demás, que el precio de 150.000 pesetas por metro cuadrado recibido por los querellantes, no sólo les pareció adecuado, sino que les supuso la obtención de importantes beneficios en comparación con el precio de compra que por los solares de referencia habían satisfecho en su momento. Así las cosas, calificar los hechos a título de estafa supone una interpretación irracional de los elementos típicos de este delito, y entre ellos del resultado del mismo, que resulta lesiva del derecho a la legalidad penal al incurrir en irracionalidad de naturaleza semántica, metodológica y axiológica. </w:t>
      </w:r>
    </w:p>
    <w:p w:rsidR="0052098F" w:rsidRDefault="0052098F" w:rsidP="0052098F">
      <w:pPr>
        <w:pStyle w:val="TextoNormal"/>
      </w:pPr>
      <w:r>
        <w:t xml:space="preserve">c) Todavía en este plano de quejas relativas a la infracción del derecho consagrado en el art. 25.1 CE, puesto esta vez en relación con el derecho del recurrente a la tutela judicial efectiva sin indefensión, se cuestiona en la demanda la interpretación ofrecida por la Sentencia dictada en sede de casación acerca de la interrupción del plazo de prescripción, considerándose que dicha interpretación es extensiva in malam partem y, además, manifiestamente irracional y arbitraria, en tanto que opuesta al fundamento y fines de esta institución; ya que, de un lado, habría ido más allá del significado literal posible de los términos utilizados en el art. 114 CP de 1973 toda vez que la mera presentación de una querella criminal no puede ser interpretada como un acto procesal si no es forzando la letra de la ley (nuevamente se citan aquí las SSTC 137 y 151/1997; se cita también el ATC 904/1987, de 15 de julio, en cuyo FJ 4 se admite que a través de la prescripción puede resultar afectado el derecho a la legalidad penal siempre y cuando su no apreciación venga dada por “una exigencia en sus requisitos que represente una abierta extralimitación de los arts. 113 y 114 CP”). Según se expone en la demanda la expresión contenida en dicho precepto en relación con el momento interruptivo del plazo de prescripción (“cuando el procedimiento se dirige contra el culpable”) no puede ser interpretada sino como coincidente con el momento en que se </w:t>
      </w:r>
      <w:r>
        <w:lastRenderedPageBreak/>
        <w:t xml:space="preserve">dicta una resolución judicial admitiendo la querella o acordando la incoación del procedimiento, y no con el momento de presentación de la misma que, en el caso de autos, ni tan siquiera fue formalmente correcta. No se habla en dicho precepto de entablar una acción penal, en cuyo caso sería posible tal interpretación, sino de “dirigir el procedimiento”, para lo cual tienen que producirse necesariamente actos procesales. Así lo habría interpretado el propio Tribunal Supremo en numerosas ocasiones (se cita, a este respecto, la STS de 26 de febrero de 1993). Cualquier otra interpretación sería extensiva y, por ende, contraria al derecho a la legalidad penal. Con mayor razón aún cuando, como aquí sucede, ni siquiera se trata de una querella o denuncia válida sino de una simple notitia criminis, según se reconoce en la Sentencia dictada en casación por la Sala Segunda. Además dicha interpretación resulta contraria a la exigencia de seguridad jurídica, dada su absoluta falta de previsibilidad. </w:t>
      </w:r>
    </w:p>
    <w:p w:rsidR="0052098F" w:rsidRDefault="0052098F" w:rsidP="0052098F">
      <w:pPr>
        <w:pStyle w:val="TextoNormal"/>
      </w:pPr>
      <w:r>
        <w:t xml:space="preserve">d) Finalmente el derecho a la legalidad penal también se considera infringido por haberle sido aplicada al Sr. Cortina una norma, el art. 114 CP, basada en una interpretación desfavorable que fue adoptada con posterioridad a la comisión de los hechos que se le imputaron, ya que no era la mantenida en dicho momento por la Sala Segunda del Tribunal Supremo. Dicha interpretación, por lo tanto, de ningún modo le pudo ser previsible. Si las normas que regulan la prescripción son normas penales y, por lo tanto, están sujetas al principio de irretroactividad de la ley posterior desfavorable, este mismo principio sería aplicable a las interpretaciones jurisprudenciales de dichas normas. Dicho de otra manera: las modificaciones de una jurisprudencia estable no pueden aplicarse retroactivamente sin con ello lesionar intolerablemente la seguridad jurídica de los ciudadanos (se citan a este respecto algunas decisiones del Tribunal Europeo de Derechos Humanos). </w:t>
      </w:r>
    </w:p>
    <w:p w:rsidR="0052098F" w:rsidRDefault="0052098F" w:rsidP="0052098F">
      <w:pPr>
        <w:pStyle w:val="TextoNormal"/>
      </w:pPr>
      <w:r>
        <w:t xml:space="preserve">3) El demandante de amparo considera también lesionado su derecho a la igualdad ante la Ley por haberse apartado la Sala Segunda, sin motivo alguno que lo justifique, de los numerosos precedentes existentes en relación con supuestos sustancialmente idénticos. A este respecto se citan como términos de comparación las SSTS de 21 de enero de 1993, 26 de febrero de 1993, 6 de julio de 1990 y 31 de mayo de 1997. </w:t>
      </w:r>
    </w:p>
    <w:p w:rsidR="0052098F" w:rsidRDefault="0052098F" w:rsidP="0052098F">
      <w:pPr>
        <w:pStyle w:val="TextoNormal"/>
      </w:pPr>
      <w:r>
        <w:t xml:space="preserve">4) Una nueva vulneración del derecho a la tutela judicial efectiva, esta vez autónoma, se considera cometida por motivo de no haberse dado respuesta en instancia ni en casación a las alegaciones relativas a la existencia de varias cuestiones prejudiciales de naturaleza civil que, a juicio del recurrente, condicionaban la calificación penal de los hechos que le fueron atribuidos, incurriendo de esta suerte los órganos judiciales en una incongruencia omisiva lesiva del indicado derecho. </w:t>
      </w:r>
    </w:p>
    <w:p w:rsidR="0052098F" w:rsidRDefault="0052098F" w:rsidP="0052098F">
      <w:pPr>
        <w:pStyle w:val="TextoNormal"/>
      </w:pPr>
      <w:r>
        <w:t>5) Finalmente se queja el actor de que, al haber sido absuelto en instancia y condenado en casación, se ha vulnerado su derecho a la revisión del fallo condenatorio por un Tribunal superior, exigencia que forma parte del derecho a un proceso con todas las garantías (art. 14.5 PIDCP). En este mismo apartado se queja también, con cita expresa de la STC 167/2002, de la ausencia de oralidad, contradicción e inmediación con que habría sido dictado dicho fallo condenatorio, lo que, entre otras cosas, le habría impedido ejercitar su derecho a la defensa contradictoria en relación con la determinación que de la responsabilidad civil ex delicto se realizó en la Sentencia dictada en sede de casación sobre la base de los perjuicios declarados probados por la Sentencia de instancia, al no haber sido tales extremos impugnados por las partes; pues, según se alega en la demanda, obviamente tales cantidades no fueron impugnadas por la sencilla razón de que, siendo de naturaleza absolutoria la Sentencia dictada en instancia, no podían considerarse declaradas por la misma.</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Por lo que se refiere a la demanda de amparo presentada por don Alberto de Alcocer Torra debe advertirse, con carácter previo, que las vulneraciones de derechos fundamentales </w:t>
      </w:r>
      <w:r>
        <w:lastRenderedPageBreak/>
        <w:t xml:space="preserve">que en ella se invocan coinciden casi exactamente con las aducidas por el Sr. Cortina de Alcocer en el recurso de amparo núm. 1907-2003. Habida cuenta de esta coincidencia en los planteamientos, nos limitaremos a destacar en este punto tan sólo los aspectos diferenciales que presenta el recurso de amparo núm. 1911-2003 respecto de su predecesor. </w:t>
      </w:r>
    </w:p>
    <w:p w:rsidR="0052098F" w:rsidRDefault="0052098F" w:rsidP="0052098F">
      <w:pPr>
        <w:pStyle w:val="TextoNormal"/>
      </w:pPr>
      <w:r>
        <w:t xml:space="preserve">Formula el demandante de amparo sus quejas a través de nueve motivos de amparo, agrupados en la demanda, de acuerdo con el mismo orden expositivo que en ella se acoge, en los siguientes cinco apartados: 1) infracción de su derecho a un proceso con todas las garantías (art. 24.2 CE), en relación con el derecho a la doble instancia en materia penal (art. 14.5 PIDCP), por no haber sido revisada su condena por un Tribunal Superior (motivos de amparo 1 y 2); 2) infracción de sus derechos a la igualdad ante la Ley, a un proceso con todas las garantías y a la legalidad penal (arts. 14, 24.1 y 25.1 CE) por no haber apreciado la Sentencia dictada en sede de casación que los delitos que se le imputaban estaban prescritos (motivos de amparo 3, 4 y 5); 3) infracción de su derecho a la tutela judicial efectiva (art. 24.1 CE) por no haber dado respuesta motivada los órganos judiciales de instancia y de apelación a las pretensiones deducidas al formular cuestión prejudicial civil (motivo de amparo 6); 4) infracción de su derecho a la legalidad penal (art. 25.1 CE) en relación con la tipificación del delito de estafa (motivo de amparo 7); y 5) infracción de su derecho a la presunción de inocencia (art.24.2 CE) por haber sido condenado en ausencia de prueba de cargo suficiente para desvirtuar dicha presunción (motivos de amparo 8 y 9). </w:t>
      </w:r>
    </w:p>
    <w:p w:rsidR="0052098F" w:rsidRDefault="0052098F" w:rsidP="0052098F">
      <w:pPr>
        <w:pStyle w:val="TextoNormal"/>
      </w:pPr>
      <w:r>
        <w:t xml:space="preserve">1) El demandante de amparo considera lesionado su derecho a un proceso con todas las garantías por razón de que, habiendo sido absuelto en instancia, su condena en casación habría vulnerado su derecho, reconocido en el art. 14.5 del Pacto internacional de derechos civiles y políticos (PIDCP), a que “el fallo condenatorio y la pena que se le haya impuesto sean sometidos a un Tribunal superior”, ya que dicha condena no pudo ser objeto de un ulterior recurso ni, por consiguiente, pudo ser revisada la interpretación dada por la Sala Segunda del Tribunal Supremo al art. 114 CP 73. </w:t>
      </w:r>
    </w:p>
    <w:p w:rsidR="0052098F" w:rsidRDefault="0052098F" w:rsidP="0052098F">
      <w:pPr>
        <w:pStyle w:val="TextoNormal"/>
      </w:pPr>
      <w:r>
        <w:t xml:space="preserve">En este mismo orden de ideas y con cita expresa de la STC 167/2002, considera contrario a su derecho a un proceso con todas las garantías, tanto el hecho de que la Sentencia dictada en sede de casación le condenara por primera vez sin respetar los principios de inmediación y de contradicción que rigen la actividad judicial en materia de valoración de las pruebas, como la remisión que en ella se hace a la Sentencia de instancia en materia de determinación del quantum de la responsabilidad civil, ya que, a su juicio, dicha determinación no formó parte del fallo de esta última; de tal manera que el hecho de que, como indica la Sala Segunda, dicho quantum no fuera recurrido en casación obedeció, precisamente, a esa falta de reflejo en el fallo absolutorio alcanzado en instancia. Dicho con otras palabras: en la Sentencia de instancia no se contenía pronunciamiento alguno acerca de la responsabilidad civil, por lo que su determinación “por remisión” en casación se produjo sin haberse desarrollado el correspondiente debate contradictorio, lo que sería asimismo lesivo del derecho a un proceso con todas las garantías; lesión esta última que, por lo demás, aparece confirmada por el Auto aclaratorio de 18 de marzo de 2003. </w:t>
      </w:r>
    </w:p>
    <w:p w:rsidR="0052098F" w:rsidRDefault="0052098F" w:rsidP="0052098F">
      <w:pPr>
        <w:pStyle w:val="TextoNormal"/>
      </w:pPr>
      <w:r>
        <w:t xml:space="preserve">2) La argumentación relativa a la pretendida vulneración de los derechos del actor a la igualdad ante la Ley, a un proceso con todas las garantías y a la legalidad penal se inicia invocándose asimismo como lesionado su derecho a la libertad personal (vulneración que, por otra parte, se considera común a todos los motivos de amparo aducidos) por haber sido condenado a una pena privativa de libertad como resultado de haber revocado la Sala Segunda del Tribunal Supremo la apreciación de prescripción llevada a cabo por el Tribunal de instancia sobre la base de una interpretación contraria a sus derechos a la igualdad ante </w:t>
      </w:r>
      <w:r>
        <w:lastRenderedPageBreak/>
        <w:t xml:space="preserve">la Ley y a la legalidad penal y de una motivación arbitraria y manifiestamente irrazonable que, a su vez, sería lesiva del derecho a la tutela judicial efectiva sin indefensión. </w:t>
      </w:r>
    </w:p>
    <w:p w:rsidR="0052098F" w:rsidRDefault="0052098F" w:rsidP="0052098F">
      <w:pPr>
        <w:pStyle w:val="TextoNormal"/>
      </w:pPr>
      <w:r>
        <w:t xml:space="preserve">Por lo que se refiere a la queja relativa a la infracción del derecho del recurrente a la legalidad penal por motivo de la interpretación dada por el órgano casacional al contenido del art. 114.2 CP 1973, la argumentación es muy similar a la esgrimida en este mismo sentido por la representación del Sr. Cortina de Alcocer. En cuanto a la pretendida infracción de su derecho a la igualdad en la aplicación de la Ley, se considera cometida por haberse apartado la Sala Segunda en la Sentencia recurrida, sin razón jurídica suficiente, de sus propios criterios jurisprudenciales en materia de interrupción del plazo de prescripción (se citan a este respecto, como término de comparación un abundante número de resoluciones emanadas de dicho órgano judicial). El fundamento de dicha queja radica en que, según el demandante de amparo, por más que, como se indicaba en la Sentencia dictada en instancia, existan dos líneas jurisprudenciales distintas en materia de interpretación del art. 114.2 CP 1973 —la que entiende que basta con la presentación de la querella o denuncia para considerar que el procedimiento se dirige contra el culpable, por una parte y, por otra, la que no se conforma con esa simple presentación física sino que exige una actuación procesal de admisión de la querella o de incoación de diligencias previas—, no existe precedente alguno que pueda justificar la nueva línea inaugurada por la Sala Segunda del Tribunal Supremo con su Sentencia de 14 de marzo de 2003 (que aquí se recurre), puesto que en ninguna de sus anteriores resoluciones se admite que el plazo de prescripción penal pueda verse interrumpido por una actuación de parte que, por sus propias características, resulta inidónea para poner en marcha el procedimiento. </w:t>
      </w:r>
    </w:p>
    <w:p w:rsidR="0052098F" w:rsidRDefault="0052098F" w:rsidP="0052098F">
      <w:pPr>
        <w:pStyle w:val="TextoNormal"/>
      </w:pPr>
      <w:r>
        <w:t xml:space="preserve">3) La argumentación relativa a la pretendida vulneración del derecho del actor a la tutela judicial efectiva sin indefensión —que en esta ocasión se invoca en forma autónoma, y no en relación con otros, por no haber dado respuesta los órganos judiciales a las cuestiones de naturaleza prejudicial civil formuladas por el demandante de amparo— coincide exactamente con la esgrimida por el Sr. Cortina de Alcocer, a la que nos remitimos en este punto. </w:t>
      </w:r>
    </w:p>
    <w:p w:rsidR="0052098F" w:rsidRDefault="0052098F" w:rsidP="0052098F">
      <w:pPr>
        <w:pStyle w:val="TextoNormal"/>
      </w:pPr>
      <w:r>
        <w:t xml:space="preserve">4) Idéntica remisión hemos de efectuar en relación con lo alegado por el Sr. de Alcocer Torra acerca de la pretendida vulneración de su derecho a la legalidad penal por razón de la interpretación por la resolución recurrida de algunos de los elementos típicos constitutivos del delito de estafa. </w:t>
      </w:r>
    </w:p>
    <w:p w:rsidR="0052098F" w:rsidRDefault="0052098F" w:rsidP="0052098F">
      <w:pPr>
        <w:pStyle w:val="TextoNormal"/>
      </w:pPr>
      <w:r>
        <w:t xml:space="preserve">5) Invoca finalmente el recurrente, en forma interrelacionada, la lesión de sus derechos a la presunción de inocencia y a la legalidad penal por haberse basado la condena que le fue impuesta en “deducciones indiciarias contrarias a las reglas de la lógica y de la experiencia para el establecimiento de los hechos probados, especialmente (pero no exclusivamente) en relación con la imputación a mi representado de la falsificación de determinada carta de 23 de noviembre de 1987, y no existir la mínima prueba de cargo suficiente”. </w:t>
      </w:r>
    </w:p>
    <w:p w:rsidR="0052098F" w:rsidRDefault="0052098F" w:rsidP="0052098F">
      <w:pPr>
        <w:pStyle w:val="TextoNormal"/>
      </w:pPr>
      <w:r>
        <w:t xml:space="preserve">Entre esas “deducciones indiciarias” o “inferencias” contrarias a “las reglas de la lógica, del criterio humano o de la experiencia en los términos exigidos para desvirtuar la presunción de inocencia” se destacan las que habría llevado a cabo la Sentencia de instancia para imputar al demandante de amparo, junto al coprocesado Sr. Cortina de Alcocer, la falsificación de una carta, de fecha 23 de noviembre de 1987, pese a que dicho documento, del que únicamente obra en autos una fotocopia, no había sido objeto de prueba alguna que hubiera permitido identificar y objetivar cuál había sido la “manipulación” atribuible al recurrente. </w:t>
      </w:r>
    </w:p>
    <w:p w:rsidR="0052098F" w:rsidRDefault="0052098F" w:rsidP="0052098F">
      <w:pPr>
        <w:pStyle w:val="TextoNormal"/>
      </w:pPr>
      <w:r>
        <w:t>También se combate, “más allá del ámbito de lo indiciario”, el proceso de valoración de la prueba que condujo a los órganos judiciales de instancia y de casación, o bien a “prescindir por completo de determinados medios probatorios”, o bien a optar por otros “ampliamente contradichos”.</w:t>
      </w:r>
    </w:p>
    <w:p w:rsidR="0052098F" w:rsidRDefault="0052098F" w:rsidP="0052098F">
      <w:pPr>
        <w:pStyle w:val="TextoNormal"/>
      </w:pPr>
    </w:p>
    <w:p w:rsidR="0052098F" w:rsidRDefault="0052098F" w:rsidP="0052098F">
      <w:pPr>
        <w:pStyle w:val="TextoNormal"/>
      </w:pPr>
      <w:r w:rsidRPr="0052098F">
        <w:rPr>
          <w:rStyle w:val="NumeroAFNegritaCaracter"/>
        </w:rPr>
        <w:t>5</w:t>
      </w:r>
      <w:r>
        <w:t>. Por escrito presentado con fecha de 9 de julio de 2003 el entonces Magistrado de este Tribunal don Tomás S. Vives Antón manifestó su intención de abstenerse de intervenir en la presente causa por motivo del trabajo de un familiar en el despacho de uno de los Letrados que habían asumido la defensa de los intereses de los demandantes de amparo. Dicha abstención fue aceptada por Acuerdo de fecha 10 de julio de 2003, quedando consiguientemente modificada la composición de la Sala para conocer de los presentes recursos de amparo.</w:t>
      </w:r>
    </w:p>
    <w:p w:rsidR="0052098F" w:rsidRDefault="0052098F" w:rsidP="0052098F">
      <w:pPr>
        <w:pStyle w:val="TextoNormal"/>
      </w:pPr>
    </w:p>
    <w:p w:rsidR="0052098F" w:rsidRDefault="0052098F" w:rsidP="0052098F">
      <w:pPr>
        <w:pStyle w:val="TextoNormal"/>
      </w:pPr>
      <w:r w:rsidRPr="0052098F">
        <w:rPr>
          <w:rStyle w:val="NumeroAFNegritaCaracter"/>
        </w:rPr>
        <w:t>6</w:t>
      </w:r>
      <w:r>
        <w:t>. Por medio de dos providencias, de fecha 15 de julio de 2003, la Sala Segunda acordó conocer de los recursos de amparo núms. 1907-2003 y 1911-2003, interpuestos ambos por el Procurador de los Tribunales don Argimiro Vázquez Guillén en nombre de don Alberto Cortina de Alcocer y don Alberto de Alcocer Torra, respectivamente, así como dirigir atenta comunicación a los órganos judiciales de instancia y de casación a fin de que, en un plazo no superior a diez días, remitieran fotocopia adverada del conjunto de las actuaciones ante ellos practicadas, solicitando al propio tiempo a la Sección Séptima de la Audiencia Provincial de Madrid que procediera a emplazar a quienes, a excepción de los demandantes de amparo, fueron parte en el procedimiento para que, también en un plazo máximo de diez días, pudiesen comparecer en los presentes recursos de amparo si ese fuera su deseo.</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Por otras dos providencias de esa misma fecha la Sala Segunda acordó, de conformidad con lo dispuesto en el art. 56 LOTC, conceder un plazo común de tres días al Ministerio Fiscal y a los demandantes de amparo para que, dentro de dicho término, alegaran cuanto estimasen procedente en relación con la petición de suspensión interesada. </w:t>
      </w:r>
    </w:p>
    <w:p w:rsidR="0052098F" w:rsidRDefault="0052098F" w:rsidP="0052098F">
      <w:pPr>
        <w:pStyle w:val="TextoNormal"/>
      </w:pPr>
      <w:r>
        <w:t xml:space="preserve">El Ministerio Fiscal evacuó el trámite de alegaciones mediante dos escritos registrados en este Tribunal con fecha de 21 de julio de 2003, en los que, de conformidad con la reiterada doctrina dictada al respecto por este Tribunal, consideraba procedente acordar la suspensión de la ejecución de las penas privativas de libertad impuestas a los demandantes de amparo, así como de las correspondientes penas accesorias, no debiendo alcanzar, por el contrario, tal efecto al resto de los pronunciamientos contenidos en la Sentencia dado que, al ser de contenido económico, su no suspensión no ocasionaría perjuicios de imposible reparación. </w:t>
      </w:r>
    </w:p>
    <w:p w:rsidR="0052098F" w:rsidRDefault="0052098F" w:rsidP="0052098F">
      <w:pPr>
        <w:pStyle w:val="TextoNormal"/>
      </w:pPr>
      <w:r>
        <w:t xml:space="preserve">La representación de los recurrentes, por su parte, evacuó idéntico trámite mediante dos escritos registrado en este Tribunal el día 19 de julio de 2003, en los que insistía, en primer lugar, en la solicitud, ya formulada en la demanda de amparo, de que fuera suspendida la ejecución de las penas privativas de libertad que les habían sido impuestas, por considerar que, dada su breve duración, la ejecución de las mismas haría perder al amparo su finalidad caso de ser finalmente concedido, sin que, por otra parte, de la no ejecución de dichas penas se derivase una grave perturbación de los intereses generales o de los derechos fundamentales o libertades públicas de un tercero. Se aducía, por otra parte, que a dicha petición de suspensión no cabría oponer el hecho de que la ejecución de las mencionadas penas privativas de libertad se encontrase ya suspendida por Auto de la Sección Séptima de la Audiencia Provincial de Madrid de 10 de abril de 2003, en virtud de lo dispuesto en el art. 4.4 del Código penal para supuestos de petición de indulto, pues, aunque en ambos casos el efecto final fuese coincidente, se trataba de dos incidentes procesales distintos, con finalidades y plazos diferentes, tal y como ya habría afirmado este Tribunal en anteriores ocasiones similares (se citan, a este respecto, los AATC 126/1998, 206/2000, 8/2003 y 9/2003). Igualmente </w:t>
      </w:r>
      <w:r>
        <w:lastRenderedPageBreak/>
        <w:t xml:space="preserve">solicitaban los demandantes de amparo la suspensión de la ejecución de la responsabilidad civil derivada de los delitos por los que habían sido condenados al entender que su no suspensión podría también irrogarles un perjuicio irreparable dada su elevada cuantía (se citaban a este respecto otras resoluciones de este Tribunal en las que había procedido a acordar la suspensión de la ejecución de condenas pecuniarias como, entre otros, los AATC 13/1999 y 226/2000). Finalmente solicitaban por primera vez en este trámite procesal que se suspendiera el contenido declarativo de la Sentencia recurrida en amparo dado que, de no hacerse, se les estaría ocasionando un perjuicio irreparable que haría perder al amparo, caso de concederse, su finalidad puesto que, a la vista de la legislación disciplinaria de las entidades de crédito, esa no suspensión podría acarrear graves efectos para su actividad profesional. </w:t>
      </w:r>
    </w:p>
    <w:p w:rsidR="0052098F" w:rsidRDefault="0052098F" w:rsidP="0052098F">
      <w:pPr>
        <w:pStyle w:val="TextoNormal"/>
      </w:pPr>
      <w:r>
        <w:t>Por medio de dos Autos de fecha 23 de julio de 2003 (AATC 274/2003 y 275/2003) la Sala Segunda acordó conceder la suspensión solicitada exclusivamente en lo que a la ejecución de las penas privativas de libertad y a sus correspondientes accesorias se refiere, así como en lo relativo al arresto sustitutorio para el caso de impago de la pena de multa, denegándola en relación con todo lo demás.</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Por medio de dos escritos, registrados en este Tribunal con fecha 23 de julio de 2003, el Procurador de los Tribunales don Victorio Venturini Medina solicitó ser tenido por comparecido y parte en ambos recursos de amparo en nombre y representación de don Pedro Sentieri Cardillo. Por otros cuatro escritos de fecha 31 de julio de 2003 ese mismo Procurador formuló idéntica solicitud en nombre de don Luis García Alarcón y de don Francisco Castelló Piera. Por dos escritos de fecha 1 de agosto de 2003, el Procurador de los Tribunales don Manuel Sánchez-Puelles y González-Carvajal se personó en ambos recursos de amparo en nombre de doña Paloma San Martín Martín-Pozuelo y de don Eduardo Benzo Perea. Lo mismo hicieron el Procurador de los Tribunales don Ramón Rodríguez Nogueira, en nombre y representación de doña María Pilar San Martín Abad, don Ángel Odériz Divassón, doña María Teresa San Martín Abad y don Alberto Sagües Agudo, por medio de dos escritos de fecha 8 de agosto de 2003, y el Procurador de los Tribunales don Florencio Aráez Martínez en nombre y representación de Fomento de Construcciones y Contratas, S.A,. y Corporación Financiera Hispánica, S.A, por medio de dos escritos de fecha 4 de septiembre de 2003. </w:t>
      </w:r>
    </w:p>
    <w:p w:rsidR="0052098F" w:rsidRDefault="0052098F" w:rsidP="0052098F">
      <w:pPr>
        <w:pStyle w:val="TextoNormal"/>
      </w:pPr>
      <w:r>
        <w:t>Por medio de dos diligencias de ordenación de la Secretaria de Justicia de la Sala Segunda, de fecha 16 de octubre de 2003, se acordó tener por personados y partes en los recursos de amparo núms. 1907-2003 y 1911-2003 a los Procuradores de los Tribunales más arriba mencionados en nombre de sus respectivos representados, a condición de que subsanaran algunas deficiencias formales. Por otras dos diligencias de ordenación de esa misma Secretaria, de fecha 29 de enero de 2004, se les tuvo definitivamente por personados, concediéndose a todas las partes y al Ministerio Fiscal, de conformidad con lo establecido en el art. 52.1 de la Ley Orgánica de este Tribunal, un plazo común de veinte días para que en dicho término formulasen cuantas alegaciones estimaran convenientes.</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Por medio de dos escritos, de fecha 4 de marzo de 2004, el Procurador de los Tribunales don Victorio Venturini Medina presentó, en nombre de don Pedro Sentieri Cardillo, sus alegaciones a los recursos de amparo núms. 1907-2003 y 1911-2003, en las que concluía interesando la denegación del amparo solicitado por don Alberto Cortina de Alcocer y por don Alberto de Alcocer Torra.. </w:t>
      </w:r>
    </w:p>
    <w:p w:rsidR="0052098F" w:rsidRDefault="0052098F" w:rsidP="0052098F">
      <w:pPr>
        <w:pStyle w:val="TextoNormal"/>
      </w:pPr>
      <w:r>
        <w:t xml:space="preserve">Las alegaciones formuladas en relación con el primero de dichos recursos de amparo pueden resumirse de la siguiente manera: 1) no cabe estimar el motivo de amparo consistente en la vulneración del derecho del Sr. Cortina a la presunción de inocencia, a un proceso </w:t>
      </w:r>
      <w:r>
        <w:lastRenderedPageBreak/>
        <w:t xml:space="preserve">con todas las garantías y a la utilización de los medios de prueba pertinentes para su defensa toda vez que la declaración sumarial prestada por el testigo Sr. Robinson cumplía todos los requisitos legales para ser valorada como prueba preconstituida, existiendo además pruebas indiciarias respecto del delito de falsedad documental por el que fue condenado que satisfacían asimismo todos los requisitos constitucionalmente exigibles para su valoración como prueba de cargo; 2) asimismo ha de desestimarse el motivo de amparo consistente en la pretendida lesión del derecho del Sr. Cortina a la legalidad penal por razón de la incorrecta interpretación de los elementos típicos del delito de estafa, toda vez que de los hechos probados se desprende inequívocamente la existencia en su actuación de engaño bastante para producir un perjuicio patrimonial así como la producción efectiva de dicho perjuicio y que, en cualquier caso, se trataría de una cuestión de legalidad ordinaria que compete resolver exclusivamente a los órganos de la jurisdicción penal; 3) en cuanto a la pretendida vulneración de ese mismo derecho y del derecho a la tutela judicial efectiva a consecuencia de la interpretación dada por la Sala Segunda del Tribunal Supremo al art.114 CP 1973 se alega, de una parte, que dicha norma, al no ser de naturaleza sancionadora, queda fuera del ámbito de control propio del derecho reconocido en el art. 25.1 CP, al constituir una cuestión de mera legalidad ordinaria, y, de otra parte, que la interpretación judicial cuestionada fue suficientemente motivada en forma razonable y no arbitraria, sino atenta al texto literal del art. 114 CP, que no impone la exigencia de ningún requisito formal en el sentido de condicionar la apertura del procedimiento a la actuación de los órganos judiciales; 4) la indicada interpretación tampoco vulnera el art. 25.1 CE, en tanto que aplicación retroactiva de una jurisprudencia desfavorable, ya que, no sólo no sería cierto que existiera una jurisprudencia consolidada anterior en sentido diverso, sino que no se trataría de una disposición sancionadora posterior desfavorable, único supuesto al que alude el principio de irretroactividad contenido en el art. 9.3 CE; 5) dicha interpretación del art.114 CP no sería, por otra parte, lesiva del derecho del Sr. Cortina a la igualdad en la aplicación de la ley, ya que obedece a una línea jurisprudencial consolidada en los últimos años; 6) queda asimismo descartada la existencia de una vulneración del derecho a la tutela judicial efectiva por incongruencia omisiva al no haberse pronunciado los órganos judiciales sobre la cuestión prejudicial civil planteada en su día por el demandante de amparo, ya que, ni dicha cuestión tenía esa naturaleza prejudicial puesto que no era decisiva para la resolución sobre el fondo del asunto, ni fue omitida por aquéllos, dado que la resolvieron motivadamente; 7) y finalmente, tampoco podría hablarse de una vulneración del derecho del Sr. Cortina a un proceso con todas las garantías por razón de la aducida infracción del derecho a la doble instancia en materia penal (art. 14.5 PIDCP), toda vez que la Sala Segunda del Tribunal Supremo, no sólo admitió todos los motivos del extenso recurso de casación planteado por el demandante de amparo, no obstante la naturaleza absolutoria de la Sentencia de instancia, sino que procedió a revisar todas las cuestiones de hecho y de Derecho suscitadas por el recurrente, dando a todas ellas una respuesta motivada, por lo que deben entenderse satisfechas las exigencias de doble instancia, así como las de inmediación y contradicción, dado que fue declarado culpable por primera vez por la Audiencia y que la Sala Segunda no procedió a condenarle sobre la base de una valoración de las pruebas de naturaleza personal distinta de la efectuada por el Tribunal a quo, sino sobre la base de una distinta interpretación de la legalidad aplicable al caso, que le llevó a estimar el motivo “por infracción de ley” planteado por el Ministerio Fiscal y por la acusación particular respecto del art. 114 CP. </w:t>
      </w:r>
    </w:p>
    <w:p w:rsidR="0052098F" w:rsidRDefault="0052098F" w:rsidP="0052098F">
      <w:pPr>
        <w:pStyle w:val="TextoNormal"/>
      </w:pPr>
      <w:r>
        <w:t xml:space="preserve">Idénticas son las conclusiones alcanzadas en relación con la demanda de amparo presentada por don Alberto de Alcocer Torra en lo tocante a las cuestiones anteriormente referidas </w:t>
      </w:r>
      <w:r>
        <w:lastRenderedPageBreak/>
        <w:t>en los apartados 1) (prueba de cargo suficiente), 2) (interpretación judicial acerca de la existencia en este caso de los elementos típicos propios del delito de estafa), 3) (prescripción del delito), 4) (aplicación retroactiva de una jurisprudencia desfavorable), 5) (igualdad en la aplicación de la Ley), 6) (incongruencia omisiva por falta de resolución de una cuestión prejudicial civil) y 7) (derecho a la doble instancia y garantías de contradicción e inmediación).</w:t>
      </w:r>
    </w:p>
    <w:p w:rsidR="0052098F" w:rsidRDefault="0052098F" w:rsidP="0052098F">
      <w:pPr>
        <w:pStyle w:val="TextoNormal"/>
      </w:pPr>
    </w:p>
    <w:p w:rsidR="0052098F" w:rsidRDefault="0052098F" w:rsidP="0052098F">
      <w:pPr>
        <w:pStyle w:val="TextoNormal"/>
      </w:pPr>
      <w:r w:rsidRPr="0052098F">
        <w:rPr>
          <w:rStyle w:val="NumeroAFNegritaCaracter"/>
        </w:rPr>
        <w:t>10</w:t>
      </w:r>
      <w:r>
        <w:t xml:space="preserve">. Por medio de dos escritos de fecha 4 de marzo de 2004 el Procurador de los Tribunales don Victorio Venturini Medina formuló, en nombre de don Francisco Castelló Piera, sus alegaciones a los recursos de amparo núms. 1907-2003 y 1911-2003, en las que concluía interesando la desestimación de los mismos por razones sustancialmente similares a las expuestas en el apartado anterior de estos antecedentes. </w:t>
      </w:r>
    </w:p>
    <w:p w:rsidR="0052098F" w:rsidRDefault="0052098F" w:rsidP="0052098F">
      <w:pPr>
        <w:pStyle w:val="TextoNormal"/>
      </w:pPr>
      <w:r>
        <w:t xml:space="preserve">Así, respecto de la pretendida vulneración del derecho de ambos actores a la presunción de inocencia —motivo al que se dedica buena parte de estas alegaciones— por razón de haber sido utilizada como prueba de cargo fundamental para condenarles a título de autores de un delito de falsedad la declaración sumarial de un testigo que no depuso en el plenario, se comienza por sugerir que la incomparecencia a dicho acto del mencionado testigo fue voluntaria y favorable para los demandantes de amparo, que, pudiendo haberla logrado, o cuando menos pedido la suspensión del juicio por tal motivo, prefirieron sin embargo insistir en que se otorgara valor probatorio de descargo a una carta y a una declaración notarial posteriores de ese mismo testigo. En cualquier caso se considera que, además de dicha declaración, perfectamente válida como prueba a tenor de la jurisprudencia constitucional (se citan a este respecto, entre las más recientes, las SSTC 12/2002, de 28 de febrero, 233/2002, de 9 de diciembre, y 80/2003, de 28 de abril, FJ 5), fueron practicadas en el proceso otras pruebas de cargo de naturaleza testifical, documental y pericial que resultaban suficientes para avalar la condena de los recurrentes. </w:t>
      </w:r>
    </w:p>
    <w:p w:rsidR="0052098F" w:rsidRDefault="0052098F" w:rsidP="0052098F">
      <w:pPr>
        <w:pStyle w:val="TextoNormal"/>
      </w:pPr>
      <w:r>
        <w:t>Por lo que se refiere a la pretendida vulneración del derecho de los demandantes de amparo a la legalidad penal se aduce que, de los hechos declarados probados por la Sentencia de instancia, se infiere la presencia en el comportamiento de los recurrentes de “engaño bastante” —tanto de naturaleza activa como omisiva— para producir un perjuicio patrimonial a los querellantes. Tampoco se considera vulnerado ese derecho, en relación con el derecho a la tutela judicial efectiva, por haber estimado la Sala Segunda que no se había producido la prescripción de los delitos determinantes de su condena, ya que la interpretación del art.114 CP por dicho órgano judicial era una de las posibilidades que admitía el tenor literal de dicha norma. Siendo dicha interpretación, por otra parte, doctrina jurisprudencial consolidada desde hace tiempo, no cabe entender vulnerado su derecho a la legalidad penal por razón de la aplicación retroactiva de una jurisprudencia desfavorable, ni su derecho a la igualdad en la aplicación de la Ley. Finalmente, sobre la base de los mismos argumentos ya expuestos en el precedente apartado, no se aprecia lesión alguna del derecho de los actores a la tutela judicial efectiva por motivo de una supuesta inconguencia omisiva consistente en no haberse pronunciado los órganos judiciales acerca de la cuestión prejudicial civil planteada, ni de su derecho a un proceso con todas las garantías por razón de la infracción del principio de la doble instancia en materia penal.</w:t>
      </w:r>
    </w:p>
    <w:p w:rsidR="0052098F" w:rsidRDefault="0052098F" w:rsidP="0052098F">
      <w:pPr>
        <w:pStyle w:val="TextoNormal"/>
      </w:pPr>
    </w:p>
    <w:p w:rsidR="0052098F" w:rsidRDefault="0052098F" w:rsidP="0052098F">
      <w:pPr>
        <w:pStyle w:val="TextoNormal"/>
      </w:pPr>
      <w:r w:rsidRPr="0052098F">
        <w:rPr>
          <w:rStyle w:val="NumeroAFNegritaCaracter"/>
        </w:rPr>
        <w:t>11</w:t>
      </w:r>
      <w:r>
        <w:t xml:space="preserve">. Por medio de dos escritos de fecha 8 de marzo de 2004 el Procurador de los Tribunales don Victorio Venturini Medina formuló, en nombre de don Luis García Alarcón, sus alegaciones a los recursos de amparo núms. 1907-2003 y 1911-2003, en las que también </w:t>
      </w:r>
      <w:r>
        <w:lastRenderedPageBreak/>
        <w:t xml:space="preserve">concluía interesando la desestimación de los mismos por razones sustancialmente similares a las ya expuestas. </w:t>
      </w:r>
    </w:p>
    <w:p w:rsidR="0052098F" w:rsidRDefault="0052098F" w:rsidP="0052098F">
      <w:pPr>
        <w:pStyle w:val="TextoNormal"/>
      </w:pPr>
      <w:r>
        <w:t>Comienzan estas alegaciones por precisar los siguientes elementos fácticos: 1) que a la declaración prestada ante el Juez de Instrucción por el testigo inglés Sr. Robinson asistieron los Abogados de los demandantes de amparo, formulando en dicho momento cuantas preguntas estimaron pertinentes; 2) que la denegación judicial de que el mencionado testigo declarara por vía de comisión rogatoria no fue objeto de protesta alguna, ni tampoco se solicitó la suspensión del juicio oral ante su incomparecencia a dicho acto, limitándose la defensa a proponer la lectura de su declaración notarial de 10 de febrero de 1998. Seguidamente se rechaza: 1) la existencia de una vulneración del derecho de los actores a la presunción de inocencia, afirmándose que lo que en verdad discuten los demandantes de amparo es la valoración por los órganos judiciales de instancia y de casación de la extensa prueba de cargo practicada con todas las garantías; 2) la existencia de una vulneración de su derecho a la legalidad penal, por entenderse que la condena de los recurrentes se basó en una interpretación y aplicación motivadas de los elementos típicos del delito de estafa, en particular en lo relativo a la presencia en este caso de engaño bastante y de perjuicio patrimonial; 3) la existencia de una vulneración de este mismo derecho y del derecho a la tutela judicial efectiva por razón de la interpretación dada por la Sala Segunda a la norma reguladora de la prescripción de los delitos (art. 114.2 CP 1973), que los demandantes de amparo consideran manifiestamente irrazonable y que el alegante considera, por el contraria, plenamente adecuada a las exigencias constitucionales; 4) la existencia de una vulneración del derecho a la legalidad penal por aplicación retroactiva de una jurisprudencia desfavorable, puesto que dicha interpretación era ya sustentada por la Sala Segunda con anterioridad a los hechos y, además, la prohibición de retroactividad contenida en el art. 9.3 CE va referida exclusivamente a las normas desfavorables; 5) la producción de una vulneración del principio de igualdad en la aplicación de la Ley, dada la preexistencia de esa línea jurisprudencial consolidada desde mediados de los años noventa del siglo veinte; 6) la existencia de una vulneración del derecho a la tutela judicial efectiva por razón de incongruencia omisiva; 7) la existencia de una vulneración del derecho a un proceso con todas las garantías por infracción del principio de la doble instancia en materia penal, así como la producción de indefensión a los recurrentes por haber sido condenados por primera vez por la Sala Segunda del Tribunal Supremo; y 8) la producción de una quiebra de las garantías de inmediación y de contradicción por el Tribunal ad quem, dado que la condena pronunciada por la Sala Segunda del Tribunal Supremo no se basó en una distinta valoración de los hechos declarados probados en instancia sino de la distinta valoración de una cuestión de Derecho planteada a través del correspondiente motivo de casación por infracción de Ley, lo que hace inaplicable a este caso la doctrina constitucional contenida en la STC 167/2002, de 18 de septiembre.</w:t>
      </w:r>
    </w:p>
    <w:p w:rsidR="0052098F" w:rsidRDefault="0052098F" w:rsidP="0052098F">
      <w:pPr>
        <w:pStyle w:val="TextoNormal"/>
      </w:pPr>
    </w:p>
    <w:p w:rsidR="0052098F" w:rsidRDefault="0052098F" w:rsidP="0052098F">
      <w:pPr>
        <w:pStyle w:val="TextoNormal"/>
      </w:pPr>
      <w:r w:rsidRPr="0052098F">
        <w:rPr>
          <w:rStyle w:val="NumeroAFNegritaCaracter"/>
        </w:rPr>
        <w:t>12</w:t>
      </w:r>
      <w:r>
        <w:t xml:space="preserve">. Por medio de dos escritos de fecha 8 de marzo de 2004 el Procurador de los Tribunales don Manuel Sánchez-Puelles y González Carvajal, en nombre y representación de doña Paloma San Martín Martín-Pozuelo y de don Eduardo Benzo Perea, cumplimentó el trámite de alegaciones correspondiente a ambos recursos de amparo, oponiéndose también a la estimación de los mismos por considerar no concurrentes ninguno de los motivos de amparo aducidos. </w:t>
      </w:r>
    </w:p>
    <w:p w:rsidR="0052098F" w:rsidRDefault="0052098F" w:rsidP="0052098F">
      <w:pPr>
        <w:pStyle w:val="TextoNormal"/>
      </w:pPr>
      <w:r>
        <w:t xml:space="preserve">Respecto de la pretendida vulneración del derecho a la presunción de inocencia se estima que lo que en verdad pretenden los demandantes de amparo es discutir la valoración de la prueba efectuada por los órganos judiciales de instancia y de apelación, ya que la prueba preconstituida aquí cuestionada reunía todos los requisitos constitucionales requeridos para </w:t>
      </w:r>
      <w:r>
        <w:lastRenderedPageBreak/>
        <w:t>otorgarle validez como prueba de cargo (se citan a este respecto numerosas Sentencias de este Tribunal) y, por otra parte, existían otros elementos probatorios distintos para fundamentar la condena que les fue impuesta. Se descarta asimismo la existencia de una vulneración de su derecho a la legalidad penal por motivo de una incorrecta interpretación judicial de los elementos típicos “engaño bastante” y “perjuicio patrimonial” propios del delito de estafa por el que fueron condenados. Tampoco se considera cometida vulneración alguna de este último derecho, en relación con el derecho a la tutela judicial efectiva, por razón de la interpretación dada por la Sala Segunda del Tribunal Supremo al art. 114 CP 1973, norma reguladora del momento interruptivo de la prescripción, ya que, frente a lo que aducen los recurrentes, dicha interpretación no era de naturaleza analógica o extensiva contra el reo, sino una de las posibles que admitía el ciertamente impreciso tenor literal de dicho precepto; por lo demás se trataba de una interpretación, no sólo razonada y razonable de lo que no sería sino una simple cuestión de legalidad ordinaria de naturaleza no sustantiva sino “procesal”, sino también de una interpretación sostenida por una jurisprudencia continuada y, por lo tanto, de una interpretación consolidada ya en el momento de los hechos, razones estas por las que en modo alguno puede considerarse lesiva de los derechos de los actores a la igualdad en la aplicación de la Ley y a no ser condenados sobre la base de una aplicación retroactiva de una jurisprudencia desfavorable. Finalmente se descarta, sobre la base de los mismos argumentos ya expuestos anteriormente, que se haya producido una lesión del derecho de los demandantes de amparo a la tutela judicial efectiva por motivo de incongruencia omisiva, o de su derecho a un proceso con todas las garantías por infracción de su derecho a la doble instancia, resaltando, en relación con este último punto, la doctrina sentada por este Tribunal en la STC 70/2002, de 3 de abril, acerca de la idoneidad de la casación penal para cumplir el principio reconocido en el art. 14.5 PIDCP.</w:t>
      </w:r>
    </w:p>
    <w:p w:rsidR="0052098F" w:rsidRDefault="0052098F" w:rsidP="0052098F">
      <w:pPr>
        <w:pStyle w:val="TextoNormal"/>
      </w:pPr>
    </w:p>
    <w:p w:rsidR="0052098F" w:rsidRDefault="0052098F" w:rsidP="0052098F">
      <w:pPr>
        <w:pStyle w:val="TextoNormal"/>
      </w:pPr>
      <w:r w:rsidRPr="0052098F">
        <w:rPr>
          <w:rStyle w:val="NumeroAFNegritaCaracter"/>
        </w:rPr>
        <w:t>13</w:t>
      </w:r>
      <w:r>
        <w:t>. Por otros dos escritos, de fecha 8 de marzo de 2004, el Procurador de los Tribunales don Ramón Rodríguez Nogueira, en nombre y representación de doña Maria Pilar San Martín Abad y otros, presentó sus alegaciones a los recursos de amparo 1907-2003 y 1911-2003, alegaciones cuya síntesis se omite al ser sustancialmente idénticas a las ya expuestas en estos antecedentes.</w:t>
      </w:r>
    </w:p>
    <w:p w:rsidR="0052098F" w:rsidRDefault="0052098F" w:rsidP="0052098F">
      <w:pPr>
        <w:pStyle w:val="TextoNormal"/>
      </w:pPr>
    </w:p>
    <w:p w:rsidR="0052098F" w:rsidRDefault="0052098F" w:rsidP="0052098F">
      <w:pPr>
        <w:pStyle w:val="TextoNormal"/>
      </w:pPr>
      <w:r w:rsidRPr="0052098F">
        <w:rPr>
          <w:rStyle w:val="NumeroAFNegritaCaracter"/>
        </w:rPr>
        <w:t>14</w:t>
      </w:r>
      <w:r>
        <w:t>. Mediante dos escritos de fecha 8 de marzo de 2004 el Procurador de los Tribunales don Florencio Aráez Martínez cumplimentó el trámite de alegaciones en nombre y representación de Fomento de Construcciones y Contratas y Corporación Financiera Hispánica, entidades condenadas a título de responsables civiles subsidiarias, limitándose a solicitar que se concediera el amparo a los Sres. Cortina y Alcocer.</w:t>
      </w:r>
    </w:p>
    <w:p w:rsidR="0052098F" w:rsidRDefault="0052098F" w:rsidP="0052098F">
      <w:pPr>
        <w:pStyle w:val="TextoNormal"/>
      </w:pPr>
    </w:p>
    <w:p w:rsidR="0052098F" w:rsidRDefault="0052098F" w:rsidP="0052098F">
      <w:pPr>
        <w:pStyle w:val="TextoNormal"/>
      </w:pPr>
      <w:r w:rsidRPr="0052098F">
        <w:rPr>
          <w:rStyle w:val="NumeroAFNegritaCaracter"/>
        </w:rPr>
        <w:t>15</w:t>
      </w:r>
      <w:r>
        <w:t>. Por otros dos escritos, de fecha 8 de marzo de 2004, el Procurador de los Tribunales don Argimiro Vázquez Guillén, en nombre y representación, respectivamente, de don Alberto Cortina de Alcocer y de don Alberto de Alcocer Torra, presentó sus alegaciones, en las que expresamente se remitía a las ya formuladas en las extensas demandas de amparo presentadas por ambos recurrentes, acompañándolas de algunos argumentos adicionales.</w:t>
      </w:r>
    </w:p>
    <w:p w:rsidR="0052098F" w:rsidRDefault="0052098F" w:rsidP="0052098F">
      <w:pPr>
        <w:pStyle w:val="TextoNormal"/>
      </w:pPr>
    </w:p>
    <w:p w:rsidR="0052098F" w:rsidRDefault="0052098F" w:rsidP="0052098F">
      <w:pPr>
        <w:pStyle w:val="TextoNormal"/>
      </w:pPr>
      <w:r w:rsidRPr="0052098F">
        <w:rPr>
          <w:rStyle w:val="NumeroAFNegritaCaracter"/>
        </w:rPr>
        <w:t>16</w:t>
      </w:r>
      <w:r>
        <w:t xml:space="preserve">. El Fiscal ante el Tribunal Constitucional evacuó el trámite de alegaciones correspondiente a los recursos de amparo núms. 1907-2003 y 1911-2003 mediante dos escritos de fecha 9 de marzo de 2004, en los que concluía interesando la desestimación de ambos recursos. </w:t>
      </w:r>
    </w:p>
    <w:p w:rsidR="0052098F" w:rsidRDefault="0052098F" w:rsidP="0052098F">
      <w:pPr>
        <w:pStyle w:val="TextoNormal"/>
      </w:pPr>
      <w:r>
        <w:lastRenderedPageBreak/>
        <w:t xml:space="preserve">Por lo que se refiere al primero de los motivos de amparo aducidos por el demandante en el recurso núm. 1907-2003, estima el Ministerio Fiscal que ninguna vulneración de su derecho a la presunción de inocencia, en conexión con sus derechos a un proceso con todas las garantías y a la utilización de los medios de prueba pertinentes puede estimarse producida por el hecho de que los órganos judiciales de instancia y de casación valoraran como prueba de cargo la declaración prestada ante el Juez de Instrucción por el testigo Sr. Robinson, no obstante su falta de ratificación en el acto del juicio oral, ya que dicha declaración reunía todos los requisitos constitucionalmente exigibles para ser valorada como prueba preconstituida de cargo al haber sido prestada con las debidas garantías de inmediación y de contradicción, dada la asistencia a la misma de los Letrados defensores de los acusados, quienes en dicho momento pudieron interrogar libremente al referido testigo, y la imposibilidad de localizar al Sr. Robinson para que prestase testimonio en el acto del juicio oral, pese a los sucesivos intentos realizados a este respecto por el órgano judicial, por encontrarse éste en paradero desconocido. Tampoco cabría apreciar vulneración alguna de los mencionados derechos por razón de haber denegado la Audiencia la lectura en dicho momento del contenido de la declaración notarial efectuada por dicho testigo en Inglaterra, al no reunir los requisitos necesarios para ser considerada como prueba testifical de descargo. Finalmente, frente a lo que pretende el recurrente, concluye el Ministerio Fiscal que del contenido de la Sentencia de instancia se desprende que no fue ésta la única prueba de cargo que fundamentó la condena, sino que, junto la declaración sumarial del Sr. Robinson, el Tribunal de instancia tuvo en cuenta otros elementos probatorios que, debidamente engarzados a través de un razonamiento lógico, le hicieron llegar a la convicción de la culpabilidad del Sr. Cortina en relación con los delitos de falsedad en documento mercantil y estafa de los que venía acusado. </w:t>
      </w:r>
    </w:p>
    <w:p w:rsidR="0052098F" w:rsidRDefault="0052098F" w:rsidP="0052098F">
      <w:pPr>
        <w:pStyle w:val="TextoNormal"/>
      </w:pPr>
      <w:r>
        <w:t xml:space="preserve">Descarta asimismo el Ministerio Fiscal que quepa reprochar a las Sentencias de instancia y de apelación vulneración alguna del derecho del recurrente a la legalidad penal por razón de una interpretación extensiva y extravagante de dos de los elementos típicos propios del delito de estafa, el “engaño bastante” y el “perjuicio patrimonial”, ya que, ni dicha interpretación se aparta de los criterios comúnmente utilizados por la comunidad jurídica, ni era imprevisible para los acusados, no obstante discrepar de ella, sino que, por el contrario, considera el Ministerio Fiscal que, además de tratarse de una cuestión de mera legalidad ordinaria, no susceptible de revisión en vía de amparo constitucional, la interpretación de referencia era de todo punto razonable a la vista de la prueba practicada. </w:t>
      </w:r>
    </w:p>
    <w:p w:rsidR="0052098F" w:rsidRDefault="0052098F" w:rsidP="0052098F">
      <w:pPr>
        <w:pStyle w:val="TextoNormal"/>
      </w:pPr>
      <w:r>
        <w:t xml:space="preserve">Por lo que se refiere al motivo de amparo consistente en la pretendida vulneración de los derechos del Sr. Cortina a la legalidad penal y a la tutela judicial efectiva, que se atribuye en exclusiva a la Sentencia dictada por la Sala Segunda del Tribunal Supremo por razón de la interpretación dada al art. 114.2 CP 1973 —norma reguladora del momento interruptivo de la prescripción de los delitos—, considera el Ministerio Fiscal que el entendimiento por dicho órgano judicial de que el procedimiento se dirige contra el culpable cuando se presenta denuncia o querella sobre unos determinados hechos contra persona determinada o determinable es una de las interpretaciones posibles que admite el tenor literal de la indicada norma, y que, por consiguiente, ningún reproche constitucional merece tal interpretación; en cuanto a la discusión acerca de si la querella en cuestión, al ser presentada en forma defectuosa, dada la falta de firma del querellante y de presentación por el Procurador de un poder especial, podía interrumpir el referido plazo de prescripción a partir del día mismo en el que fue presentada (6 de enero de 1993) o debía surtir efectos tan sólo desde el momento en que el querellante se ratificó en ella (9 de marzo de 1993), en cuyo caso el delito ya habría </w:t>
      </w:r>
      <w:r>
        <w:lastRenderedPageBreak/>
        <w:t xml:space="preserve">prescrito, el Ministerio Fiscal parece considerar asimismo perfectamente posible la interpretación dada por la Sala Segunda del Tribunal Supremo, en el sentido de admitir que efectivamente la querella era defectuosa pero que, ello no obstante, podía entenderse que interrumpía el plazo de prescripción en tanto que portadora de la notitia criminis, e incluso argumenta que de no seguirse esta interpretación no podrían interrumpir dicho plazo las denuncias anónimas, lo que no le parece pertinente. En suma: en opinión del Ministerio Fiscal no cabe reprochar a la Sentencia dictada en casación vulneración alguna del derecho del recurrente a la legalidad penal por motivo de las indicadas interpretaciones de la legalidad ordinaria, ni tampoco de su derecho a la tutela judicial efectiva, toda vez que en dicha resolución se explicitan las razones por las cuales la Sala Segunda del Tribunal Supremo estima no producida la prescripción, razonamiento que permite apreciar un nexo coherente entre la decisión adoptada, la norma que le sirve de fundamento y los fines que justifican la institución, tal y como exige la jurisprudencia constitucional (se citan a este respecto las SSTC 157/1990, de 18 de octubre, y 67/2001, de 17 de marzo). </w:t>
      </w:r>
    </w:p>
    <w:p w:rsidR="0052098F" w:rsidRDefault="0052098F" w:rsidP="0052098F">
      <w:pPr>
        <w:pStyle w:val="TextoNormal"/>
      </w:pPr>
      <w:r>
        <w:t xml:space="preserve">Tampoco considera el Ministerio Fiscal producida lesión alguna del derecho del actor a la legalidad penal por motivo de la aplicación retroactiva de una jurisprudencia posterior desfavorable en materia de interrupción de los plazos de prescripción, ni de su derecho a la igualdad en la aplicación de la Ley por haberse apartado la Sala Segunda de su jurisprudencia anterior en lo relativo a esta misma cuestión, toda vez que, por lo que se refiere a la primera de dichas invocaciones, con independencia de que el principio de irretroactividad es exclusivamente aplicable a las disposiciones legales o sancionadoras no favorables (art. 9.3 CE), dicho principio no sería invocable en amparo al no estar contenido en el art. 25.1 CE (STC 8/1981 y posteriores); y, por lo que se refiere a la segunda, no puede apreciarse quiebra alguna del principio de igualdad cuando las diferencias existentes entre distintas resoluciones procedentes de un mismo órgano judicial respecto de casos aparentemente iguales tienen su justa razón de ser en la falta de identidad de los hechos declarados probados o en un margen de apreciación del juzgador que es indisociable de su función. En el presente caso la Sentencia dictada en casación se habría hecho eco de las tendencias jurisprudenciales existentes, las habría expuesto y habría resuelto finalmente de acuerdo con la que le parecía más favorable a la seguridad jurídica, sin que tal resolución pueda calificarse de arbitraria o de imprevisible, sino, por el contrario, de perfectamente adecuada a la propia función jurisdiccional. </w:t>
      </w:r>
    </w:p>
    <w:p w:rsidR="0052098F" w:rsidRDefault="0052098F" w:rsidP="0052098F">
      <w:pPr>
        <w:pStyle w:val="TextoNormal"/>
      </w:pPr>
      <w:r>
        <w:t xml:space="preserve">Concluye el Ministerio Fiscal sus alegaciones rechazando asimismo la existencia de los dos últimos motivos de amparo aducidos por el Sr. Cortina, respectivamente consistentes en una pretendida quiebra de su derecho a la tutela judicial efectiva por falta de pronunciamiento de los órganos judiciales acerca de las cuestiones de prejudicialidad civil por él planteadas y en la aducida lesión de su derecho a un proceso con todas las garantías por infracción del principio de doble instancia en materia penal. Respecto de lo primero comienza por señalar que este motivo incurre en la causa de inadmisión prevenida en el art. 50.1 a) en relación con el 44.1.a LOTC, al no haber agotado el recurrente la vía judicial previa mediante la necesaria interposición de un incidente de nulidad de actuaciones por razón de incongruencia omisiva; en cualquier caso considera que la indicada queja carece de contenido constitucional, dado que los órganos judiciales ofrecieron una respuesta suficiente a la indicada cuestión en el noveno fundamento de Derecho de la Sentencia de instancia y en el segundo de la Sentencia de casación. En cuanto a lo segundo afirma el Ministerio Fiscal que, a pesar de la naturaleza absolutoria de la Sentencia de instancia, su contenido era “formalmente” condenatorio, hasta el punto de que fue recurrida por los acusados absueltos, dando ello lugar a que la Sala Segunda del Tribunal Supremo hiciera una completa revisión </w:t>
      </w:r>
      <w:r>
        <w:lastRenderedPageBreak/>
        <w:t>de ese contenido al admitir todos y cada uno de los motivos de casación aducidos por el recurrente. El hecho de que por primera vez resultasen condenados en casación no empece para considerar respetado el derecho a la doble instancia, pues ello sucede siempre que un Tribunal superior revoca una Sentencia absolutoria dictada por un Tribunal inferior. Por lo demás la adecuación de la casación como segunda instancia revisora habría sido afirmada por este Tribunal en la STC 70/2002. En cuanto a la falta de inmediación también denunciada por el recurrente termina el Ministerio Fiscal señalando que el presente caso no coincide con el que dio lugar al cambio de jurisprudencia representado por la STC 167/2002, ya que, a diferencia de aquél, en el presente supuesto la condena pronunciada en segunda instancia por la Sala Segunda no se basó en la distinta valoración de unas pruebas de naturaleza personal que exigirían la presencia de dicha garantía, sino en una distinta calificación jurídica de los mismos hechos declarados probados en instancia. Mutatis mutandi en cuanto al orden seguido en la exposición de los motivos esgrimidos por cada uno de los recurrentes, las alegaciones del Ministerio Fiscal en relación con el recurso de amparo núm. 1911-2003 son sustancialmente las mismas, en todos sus puntos, a las acabadas de exponer, por lo que se omite su reiteración. Únicamente ha de destacarse que, mediante otrosi, proponía la acumulación de este último recurso al registrado bajo el núm. 1907-2003 por invocarse en ambos los mismos derechos fundamentales, cuya vulneración se atribuía a las mismas resoluciones judiciales, estando en consecuencia justificada su resolución en una única Sentencia.</w:t>
      </w:r>
    </w:p>
    <w:p w:rsidR="0052098F" w:rsidRDefault="0052098F" w:rsidP="0052098F">
      <w:pPr>
        <w:pStyle w:val="TextoNormal"/>
      </w:pPr>
    </w:p>
    <w:p w:rsidR="0052098F" w:rsidRDefault="0052098F" w:rsidP="0052098F">
      <w:pPr>
        <w:pStyle w:val="TextoNormal"/>
      </w:pPr>
      <w:r w:rsidRPr="0052098F">
        <w:rPr>
          <w:rStyle w:val="NumeroAFNegritaCaracter"/>
        </w:rPr>
        <w:t>17</w:t>
      </w:r>
      <w:r>
        <w:t xml:space="preserve">. Por providencia de 18 de marzo de 2004 la Sala Segunda acordó unir a las actuaciones los precedentes escritos, y, de conformidad con lo dispuesto en el art. 83 LOTC, conceder a las partes personadas y al Ministerio Fiscal un plazo común de diez días para que en dicho término alegasen cuanto estimaran pertinente acerca de la posible acumulación al recurso de amparo núm. 1907-2003, promovido por don Alberto Cortina de Alcocer, del recurso de amparo núm. 1911-2003, promovido por don Alberto de Alcocer Torra. </w:t>
      </w:r>
    </w:p>
    <w:p w:rsidR="0052098F" w:rsidRDefault="0052098F" w:rsidP="0052098F">
      <w:pPr>
        <w:pStyle w:val="TextoNormal"/>
      </w:pPr>
      <w:r>
        <w:t>Por escrito de fecha 31 de marzo de 2004 el Fiscal ante el Tribunal Constitucional manifestó su conformidad con dicha acumulación, por entenderla justificada. Lo mismo hizo el Procurador de los Tribunales don Argimiro Vázquez Guillén, en nombre y representación de don Alberto Cortina de Alcocer y de don Alberto de Alcocer Torra, mediante dos escritos de fechas 1 y 5 de abril de 2004. Por Auto de fecha 2 de noviembre de 2004 la Sala Segunda acordó la acumulación de ambos recursos por razón de su conexión, dada la coincidencia en las resoluciones recurridas y en los motivos de amparo aducidos, así como en la formulación de idénticas pretensiones, debiendo acumularse el más moderno al más antiguo.</w:t>
      </w:r>
    </w:p>
    <w:p w:rsidR="0052098F" w:rsidRDefault="0052098F" w:rsidP="0052098F">
      <w:pPr>
        <w:pStyle w:val="TextoNormal"/>
      </w:pPr>
    </w:p>
    <w:p w:rsidR="0052098F" w:rsidRDefault="0052098F" w:rsidP="0052098F">
      <w:pPr>
        <w:pStyle w:val="TextoNormal"/>
      </w:pPr>
      <w:r w:rsidRPr="0052098F">
        <w:rPr>
          <w:rStyle w:val="NumeroAFNegritaCaracter"/>
        </w:rPr>
        <w:t>18</w:t>
      </w:r>
      <w:r>
        <w:t xml:space="preserve">. Por escrito de fecha 24 de noviembre de 2004 el Procurador de los Tribunales don Argimiro Vázquez Guillén, en nombre y representación de don Alberto Cortina de Alcocer, manifestaba que, después de evacuado el trámite de alegaciones, se habían producido hechos nuevos que deseaba poner en conocimiento de este Tribunal a fin de que, de conformidad con lo dispuesto en el art. 84 de su Ley Orgánica, abriese al respecto el correspondiente trámite de audiencia a las partes si así lo consideraba oportuno. </w:t>
      </w:r>
    </w:p>
    <w:p w:rsidR="0052098F" w:rsidRDefault="0052098F" w:rsidP="0052098F">
      <w:pPr>
        <w:pStyle w:val="TextoNormal"/>
      </w:pPr>
      <w:r>
        <w:t xml:space="preserve">El hecho nuevo que se invocaba en dicho escrito era la STS de 12 de julio de 2004, dictada por la Sala Segunda del Tribunal Supremo, en la que, en materia de prescripción del delito, al parecer se afirmaba que el procedimiento debe entenderse dirigido contra el culpable —según la expresión contenida en el art. 132.3 CP— desde que el órgano jurisdiccional “que recibe la denuncia o querella manda proceder contra el presunto autor, acordando la incoación de un proceso penal y la práctica de diligencias”. Dicho criterio sería contrario al sustentado por la Sentencia de la Sala Segunda recurrida en amparo, lo que vendría a </w:t>
      </w:r>
      <w:r>
        <w:lastRenderedPageBreak/>
        <w:t>demostrar que en esta última se había aplicado a los demandantes de amparo una fundamentación ad hoc para justificar su condena y a reforzar la fundamentación del motivo de amparo relativo a la lesión de su derecho a la igualdad en la aplicación de la Ley. Para justificar que un cambio jurisprudencial como el aludido tuviese naturaleza de hecho nuevo, se hacía valer la doctrina contenida en la STC 150/1997, de 29 de septiembre, respecto del carácter de “hecho nuevo” de la a su vez contenida en la STC 111/1993 respecto del delito de intrusismo y, seguidamente, se procedía a una reconsideración de los elementos fundamentadores de la condena de los recurrentes al efecto de avalar, con argumentos esencialmente semejantes a los ya expuestos en la demanda de amparo, la tesis expuesta acerca de que habían sido condenados en virtud de una doctrina jurisprudencial creada ad casum.</w:t>
      </w:r>
    </w:p>
    <w:p w:rsidR="0052098F" w:rsidRDefault="0052098F" w:rsidP="0052098F">
      <w:pPr>
        <w:pStyle w:val="TextoNormal"/>
      </w:pPr>
    </w:p>
    <w:p w:rsidR="0052098F" w:rsidRDefault="0052098F" w:rsidP="0052098F">
      <w:pPr>
        <w:pStyle w:val="TextoNormal"/>
      </w:pPr>
      <w:r w:rsidRPr="0052098F">
        <w:rPr>
          <w:rStyle w:val="NumeroAFNegritaCaracter"/>
        </w:rPr>
        <w:t>19</w:t>
      </w:r>
      <w:r>
        <w:t>. Por providencia de fecha 2 de diciembre de 2004 la Sala Segunda acordó incorporar a lo actuado el escrito presentado por el Procurador de los Tribunales don Argimiro Vázquez Guillén y conceder a las partes personadas y al Ministerio Fiscal un plazo común de diez días para que formulasen cuantas alegaciones estimasen oportunas en relación con el contenido de dicho escrito.</w:t>
      </w:r>
    </w:p>
    <w:p w:rsidR="0052098F" w:rsidRDefault="0052098F" w:rsidP="0052098F">
      <w:pPr>
        <w:pStyle w:val="TextoNormal"/>
      </w:pPr>
    </w:p>
    <w:p w:rsidR="0052098F" w:rsidRDefault="0052098F" w:rsidP="0052098F">
      <w:pPr>
        <w:pStyle w:val="TextoNormal"/>
      </w:pPr>
      <w:r w:rsidRPr="0052098F">
        <w:rPr>
          <w:rStyle w:val="NumeroAFNegritaCaracter"/>
        </w:rPr>
        <w:t>20</w:t>
      </w:r>
      <w:r>
        <w:t xml:space="preserve">. Por escrito de fecha 7 de diciembre de 2004 el Procurador de los Tribunales don Ramón Rodríguez Nogueira comunicó a este Tribunal que, por motivo de incompatibilidad, renunciaba a la representación de sus mandantes en el presente proceso constitucional. </w:t>
      </w:r>
    </w:p>
    <w:p w:rsidR="0052098F" w:rsidRDefault="0052098F" w:rsidP="0052098F">
      <w:pPr>
        <w:pStyle w:val="TextoNormal"/>
      </w:pPr>
      <w:r>
        <w:t>Por otro escrito de fecha 30 de diciembre de 2004 el Procurador de los Tribunales don Isidro Orquín Cedenilla, en nombre y representación de doña María Pilar y doña María Teresa San Martín Abad, don Ángel Oderiz Divasson y don Alberto Sagües Agudo, compareció en el presente proceso constitucional en sustitución de su compañero don Ramón Rodríguez Nogueira, solicitando ser tenido por personado y parte en el mismo.</w:t>
      </w:r>
    </w:p>
    <w:p w:rsidR="0052098F" w:rsidRDefault="0052098F" w:rsidP="0052098F">
      <w:pPr>
        <w:pStyle w:val="TextoNormal"/>
      </w:pPr>
    </w:p>
    <w:p w:rsidR="0052098F" w:rsidRDefault="0052098F" w:rsidP="0052098F">
      <w:pPr>
        <w:pStyle w:val="TextoNormal"/>
      </w:pPr>
      <w:r w:rsidRPr="0052098F">
        <w:rPr>
          <w:rStyle w:val="NumeroAFNegritaCaracter"/>
        </w:rPr>
        <w:t>21</w:t>
      </w:r>
      <w:r>
        <w:t xml:space="preserve">. El trámite de alegaciones abierto por la providencia de la Sala Segunda de 2 de diciembre de 2004 fue evacuado por el Procurador de los Tribunales don Argimiro Vázquez Guillén, en nombre y representación de don Alberto Cortina de Alcocer, mediante un escrito de fecha 27 de diciembre de 2004 en el que sustancialmente reiteraba lo ya anteriormente argumentado respecto de la aparición de un hecho nuevo con relevancia para decidir sobre algunas de las vulneraciones de derechos fundamentales invocadas en el recurso de amparo núm. 1907-2003, añadiendo la sospecha de falta de imparcialidad en el ponente de la Sentencia de la Sala Segunda recurrida, por cuanto ese mismo ponente se había manifestado en esa nueva Sentencia en forma contradictoria con lo antes sostenido respecto del momento interruptivo de la prescripción. </w:t>
      </w:r>
    </w:p>
    <w:p w:rsidR="0052098F" w:rsidRDefault="0052098F" w:rsidP="0052098F">
      <w:pPr>
        <w:pStyle w:val="TextoNormal"/>
      </w:pPr>
      <w:r>
        <w:t xml:space="preserve">Por escrito de fecha 10 de enero de 2005, el Fiscal ante el Tribunal Constitucional presentó sus alegaciones a este respecto, en las que consideraba que, tanto el escrito presentado en nombre del Sr. Cortina acerca de la aparición de un supuesto “hecho nuevo”, cuanto lo que en él se interesaba resultaban inadmisibles, ya que en la STS 905/2004 no se modificaba el criterio sostenido en la Sentencia de la Sala Segunda recurrida en amparo, sino que el recurrente aprovechaba un obiter dicta para, sacándolo de contexto, pretender que en aquella resolución se sentaba el diferente criterio de que la prescripción únicamente se interrumpía por mediación de un acto judicial y no con la simple presentación de una querella o denuncia, lo que venía contradicho por la lectura integral de dicha Sentencia. En cualquier caso, en modo alguno cabría afirmar que la Sentencia recurrida en amparo constituyó un hecho aislado representativo de una doctrina creada ad hoc para condenar a los recurrentes, pues </w:t>
      </w:r>
      <w:r>
        <w:lastRenderedPageBreak/>
        <w:t xml:space="preserve">con anterioridad a la misma ya se había producido numerosos precedentes en ese mismo sentido. </w:t>
      </w:r>
    </w:p>
    <w:p w:rsidR="0052098F" w:rsidRDefault="0052098F" w:rsidP="0052098F">
      <w:pPr>
        <w:pStyle w:val="TextoNormal"/>
      </w:pPr>
      <w:r>
        <w:t>En esta misma línea de considerar improcedente la cuestión planteada respecto de la existencia de un “hecho nuevo” demostrativo de que la Sentencia recurrida constituyó una resolución dictada ad casum o ad personam formularon sus alegaciones el Procurador de los Tribunales don Victorio Venturini Medina, en nombre y representación de don Luis García Alarcón, don Francisco Castelló Piera y don Pedro Sentieri Cardillo, mediante tres escritos de fecha 27 de diciembre de 2004; el Procurador de los Tribunales don Manuel Sánchez-Puelles y González-Carvajal, en nombre y representación de doña Paloma San Martín-Pozuelo y otros, mediante escrito de fecha 28 de diciembre de 2004; y el Procurador de los Tribunales don Ramón Rodríguez Nogueira, en nombre y representación de doña María Pilar San Martín Abad y otros, mediante escrito asimismo de fecha 28 de diciembre de 2004. Por el contrario el Procurador de los Tribunales don Argimiro Vázquez Guillén, en nombre y representación de don Alberto de Alcocer Torra, presentó con fecha de 28 de diciembre de 2004 un escrito de alegaciones en el que se mostraba sustancialmente de acuerdo con la argumentación desarrollada por el otro demandante de amparo, Sr. Cortina de Alcocer, respecto de la existencia de un hecho nuevo relevante para resolver sobre el presente asunto.</w:t>
      </w:r>
    </w:p>
    <w:p w:rsidR="0052098F" w:rsidRDefault="0052098F" w:rsidP="0052098F">
      <w:pPr>
        <w:pStyle w:val="TextoNormal"/>
      </w:pPr>
    </w:p>
    <w:p w:rsidR="0052098F" w:rsidRDefault="0052098F" w:rsidP="0052098F">
      <w:pPr>
        <w:pStyle w:val="TextoNormal"/>
      </w:pPr>
      <w:r w:rsidRPr="0052098F">
        <w:rPr>
          <w:rStyle w:val="NumeroAFNegritaCaracter"/>
        </w:rPr>
        <w:t>22</w:t>
      </w:r>
      <w:r>
        <w:t>. Por providencia de 20 de enero de 2005 la Sala Segunda acordó incorporar a lo actuado los precedentes escritos presentados por las partes personadas y por el Ministerio Fiscal, así como tener por personado y parte al Procurador de los Tribunales don Isidro Orquín Cedenilla, en nombre y representación de doña María Pilar y doña María Teresa San Martín Abad, don Ángel Oderiz Divasson y don Alberto Sagües Agudo, en sustitución de su compañero don Ramón Rodríguez Nogueira.</w:t>
      </w:r>
    </w:p>
    <w:p w:rsidR="0052098F" w:rsidRDefault="0052098F" w:rsidP="0052098F">
      <w:pPr>
        <w:pStyle w:val="TextoNormal"/>
      </w:pPr>
    </w:p>
    <w:p w:rsidR="0052098F" w:rsidRDefault="0052098F" w:rsidP="0052098F">
      <w:pPr>
        <w:pStyle w:val="TextoNormal"/>
      </w:pPr>
      <w:r w:rsidRPr="0052098F">
        <w:rPr>
          <w:rStyle w:val="NumeroAFNegritaCaracter"/>
        </w:rPr>
        <w:t>23</w:t>
      </w:r>
      <w:r>
        <w:t>. Mediante escrito del Procurador Sr. Venturini Medina, en nombre de don Francisco Castelló Piera, de fecha 1 de julio de 2005, al haberse producido, según su criterio, un hecho nuevo, cual era la Sentencia 65/2005, que suponía “una ruptura constitucional respecto de la actuación mantenida hasta la fecha por ese Alto Tribunal (art. 13 LOTC)” (sic), se solicitó la unión del escrito a los autos y se vieran en Pleno los recursos de amparo aquí acumulados, escrito el referido que, en virtud de diligencia de ordenación de 7 de julio de 2005, quedó unido a los autos. Por su parte el Procurador Sr. Sánchez-Puelles y González Carvajal, por escrito de 11 de julio de 2005, interesó asimismo se vieran por el Pleno los recursos de referencia, quedando este escrito unido a los autos conforme a lo determinado por diligencia de ordenación de 18 de julio de 2005. El Procurador don Argimiro Vázquez Guillén, en escrito de 29 de julio de 2005, contestó las alegaciones precedentes y acabó suplicando a la Sala el rechazo de las nuevas pretensiones deducidas de contrario.</w:t>
      </w:r>
    </w:p>
    <w:p w:rsidR="0052098F" w:rsidRDefault="0052098F" w:rsidP="0052098F">
      <w:pPr>
        <w:pStyle w:val="TextoNormal"/>
      </w:pPr>
    </w:p>
    <w:p w:rsidR="0052098F" w:rsidRDefault="0052098F" w:rsidP="0052098F">
      <w:pPr>
        <w:pStyle w:val="TextoNormal"/>
      </w:pPr>
      <w:r w:rsidRPr="0052098F">
        <w:rPr>
          <w:rStyle w:val="NumeroAFNegritaCaracter"/>
        </w:rPr>
        <w:t>24</w:t>
      </w:r>
      <w:r>
        <w:t>. Dada cuenta de los anteriores escritos y alegaciones, por proveído de la Sala en el que se hace mención a haberse dado traslado a las partes personadas y al Ministerio Fiscal de las nuevas alegaciones producidas en torno al dictado de la Sentencia de esta Sala 65/2005, se resolvió que en su día se acordaría en punto a las nuevas pretensiones interesadas en los referidos escritos.</w:t>
      </w:r>
    </w:p>
    <w:p w:rsidR="0052098F" w:rsidRDefault="0052098F" w:rsidP="0052098F">
      <w:pPr>
        <w:pStyle w:val="TextoNormal"/>
      </w:pPr>
    </w:p>
    <w:p w:rsidR="0052098F" w:rsidRDefault="0052098F" w:rsidP="0052098F">
      <w:pPr>
        <w:pStyle w:val="TextoNormal"/>
      </w:pPr>
      <w:r w:rsidRPr="0052098F">
        <w:rPr>
          <w:rStyle w:val="NumeroAFNegritaCaracter"/>
        </w:rPr>
        <w:t>25</w:t>
      </w:r>
      <w:r>
        <w:t>. Mediante proveído de la Sala de fecha 19 de febrero de 2008 se acordó la resolución del recurso por la Sala y no por el Pleno y se señaló al efecto la audiencia del día 20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Los presentes recursos de amparo acumulados núms. 1907-2003 y 1911-2003 tienen por común objeto una Sentencia dictada por la Sala Segunda del Tribunal Supremo en la que, anulando la Sentencia absolutoria pronunciada por la Sección Séptima de la Audiencia Provincial de Madrid, se condenaron a distintas penas a los recurrentes en tanto que autores responsables de un delito de falsedad en documento mercantil en concurso medial con un delito de estafa.</w:t>
      </w:r>
    </w:p>
    <w:p w:rsidR="0052098F" w:rsidRDefault="0052098F" w:rsidP="0052098F">
      <w:pPr>
        <w:pStyle w:val="TextoNormal"/>
      </w:pPr>
      <w:r>
        <w:t>Los demandantes de amparo atribuyen a dicha Sentencia la lesión de sus derechos a la igualdad en la aplicación de la Ley (art. 14 CE), a la tutela judicial efectiva (art. 24.1 CE), a la presunción de inocencia en conexión con sus derechos a un proceso con todas las garantías y a la utilización de los medios de prueba pertinentes (art. 24.2 CE) y a la legalidad penal (art. 25.1 CE). Algunas de esas vulneraciones se imputan asimismo a la Sentencia de instancia, toda vez que, aun siendo de naturaleza absolutoria, formuló una valoración completa del comportamiento de los actores, en el sentido de considerarlos efectivamente responsables de los delitos de los que venían acusados, por más que finalmente los considerara exonerados de dicha responsabilidad por motivo de prescripción.</w:t>
      </w:r>
    </w:p>
    <w:p w:rsidR="0052098F" w:rsidRDefault="0052098F" w:rsidP="0052098F">
      <w:pPr>
        <w:pStyle w:val="TextoNormal"/>
      </w:pPr>
      <w:r>
        <w:t>El Ministerio Fiscal y las demás partes personadas estiman, por el contrario, que no cabe apreciar ninguna de las vulneraciones de derechos fundamentales invocadas en las demandas de amparo al entender, sobre la base de las extensas argumentaciones expuestas con detalle en los antecedentes de esta Sentencia, que hubo prueba de cargo suficiente en el proceso para fundamentar la condena de los recurrentes; que dicha prueba fue practicada con las debidas garantías; que ningún reproche cabe dirigir a los órganos judiciales de instancia y de casación en razón de la interpretación por ellos dada a ciertos elementos constitutivos del delito de estafa; que tampoco merece reproche alguno la motivada interpretación dada por la Sala Segunda del Tribunal Supremo a la norma penal reguladora del momento interruptivo de la prescripción de los delitos y faltas; que tal interpretación es exponente de una línea jurisprudencial preexistente y consolidada, por lo que tampoco cabe imputar a la Sentencia dictada en casación lesión alguna del derecho de los actores a la igualdad en la aplicación de la Ley ni de su derecho a la legalidad penal al haber sido condenados en aplicación de una jurisprudencia posterior a los hechos de naturaleza desfavorable; que igualmente ha de descartarse la aducida vulneración de su derecho a la tutela judicial efectiva por motivo de incongruencia omisiva, ya que, frente a lo que pretenden los recurrentes, los órganos judiciales de instancia y de casación se pronunciaron escueta pero suficientemente acerca de las cuestiones prejudiciales de naturaleza civil que habían planteado; y, finalmente, que, ni cabe afirmar que la Sala Segunda del Tribunal Supremo incumplió el principio de doble instancia, dado que admitió todos los motivos de casación esgrimidos por los demandantes de amparo resolviendo sobre cada uno de ellos en forma motivada, ni que les condenó en ausencia de la necesaria garantía de inmediación, toda vez que la misma no era en este caso exigible al no haber procedido el mencionado órgano judicial a condenarles sobre la base de una valoración de la prueba distinta a la llevada a cabo por el Tribunal de instancia.</w:t>
      </w:r>
    </w:p>
    <w:p w:rsidR="0052098F" w:rsidRDefault="0052098F" w:rsidP="0052098F">
      <w:pPr>
        <w:pStyle w:val="TextoNormal"/>
      </w:pPr>
      <w:r>
        <w:t xml:space="preserve">Coinciden igualmente el Ministerio Fiscal y el resto de las partes personadas en que el hecho nuevo planteado por la representación de uno de los demandantes de amparo con posterioridad a haber finalizado el trámite de alegaciones —el dictado de la STS 905/2004, </w:t>
      </w:r>
      <w:r>
        <w:lastRenderedPageBreak/>
        <w:t>de 12 de julio, que sostendría que el procedimiento debe entenderse dirigido contra el culpable desde que el órgano jurisdiccional manda proceder contra el presunto autor, acordando la incoación de un proceso penal y la práctica de diligencias— no constituye tal novedad, lo que les lleva a considerar inadmisibles, en tanto que extemporáneas, todas las alegaciones formuladas con tal motivo. Sobre este extremo nos extenderemos más adelante, al examinar la interpretación dada por la Sala Segunda del Tribunal Supremo al art. 114 del Código penal de 1973 (art. 132.2 del Código penal vigente).</w:t>
      </w:r>
    </w:p>
    <w:p w:rsidR="0052098F" w:rsidRDefault="0052098F" w:rsidP="0052098F">
      <w:pPr>
        <w:pStyle w:val="TextoNormal"/>
      </w:pPr>
    </w:p>
    <w:p w:rsidR="0052098F" w:rsidRDefault="0052098F" w:rsidP="0052098F">
      <w:pPr>
        <w:pStyle w:val="TextoNormal"/>
      </w:pPr>
      <w:r w:rsidRPr="0052098F">
        <w:rPr>
          <w:rStyle w:val="NumeroAFNegritaCaracter"/>
        </w:rPr>
        <w:t>2</w:t>
      </w:r>
      <w:r>
        <w:t>. Con ser prácticamente idénticas las vulneraciones de derechos fundamentales aducidas por cada uno de los demandantes de amparo, así como sus respectivos fundamentos argumentales, no lo es sin embargo el orden seguido en cada una de las dos demandas en lo relativo a su exposición. No acogeremos aquí ni uno ni otro de esos dos esquemas de ordenación, sino que, de acuerdo con el criterio lógico de ordenación que hemos venido adoptando en otras ocasiones, comenzaremos el examen de los mencionados motivos de amparo por el relativo a la vulneración del derecho de los actores a la tutela judicial efectiva, que se atribuye tanto a la Sentencia de instancia como a la dictada por la Sala Segunda del Tribunal Supremo en razón a la supuesta incongruencia omisiva en que habrían incurrido al no haberse pronunciado acerca de las cuestiones prejudiciales de naturaleza civil que habían planteado. Esta prioridad de análisis se debe a que la hipotética estimación de la queja generaría una retroacción de actuaciones que convertiría en prematuro el análisis del resto de las quejas de la demanda.</w:t>
      </w:r>
    </w:p>
    <w:p w:rsidR="0052098F" w:rsidRDefault="0052098F" w:rsidP="0052098F">
      <w:pPr>
        <w:pStyle w:val="TextoNormal"/>
      </w:pPr>
      <w:r>
        <w:t>En relación con supuestos de “incongruencia omisiva”, como el aquí invocado, este Tribunal ha declarado en forma constante —desde la STC 20/1982, de 5 de mayo, FJ 2—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y que “a estos efectos es preciso distinguir entre las alegaciones aducidas por las partes para fundamentar sus pretensiones y las pretensiones en sí mismas consideradas. De tal modo que, si bien respecto de las primeras no sería necesaria una contestación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Concretamente respecto de esta última y para poder concluir que la omisión no alcanza relevancia constitucional, es preciso que del conjunto de los razonamientos contenidos en la resolución pueda razonablemente deducirse, no sólo que el órgano judicial ha valorado la pretensión deducida, sino además los motivos en que se fundamenta la respuesta tácita” (STC 5/2001, de 15 de enero, FJ 4; vid. asimismo las Sentencias que en ese mismo lugar se citan).</w:t>
      </w:r>
    </w:p>
    <w:p w:rsidR="0052098F" w:rsidRDefault="0052098F" w:rsidP="0052098F">
      <w:pPr>
        <w:pStyle w:val="TextoNormal"/>
      </w:pPr>
      <w:r>
        <w:t xml:space="preserve">Aplicada esta doctrina al caso de autos forzoso es reconocer que no cabe reprochar a los órganos judiciales, por el indicado motivo, vulneración alguna del derecho de los demandantes de amparo a la tutela judicial efectiva. Pues, no sólo se refiere expresamente la Sentencia de instancia, en su noveno fundamento de Derecho, a las cuestiones de prejudicialidad civil planteadas por las defensas de los Sres. Cortina y Alcocer, sino que explica su falta de pronunciamiento acerca de ellas en los siguientes términos: las defensas de los acusados pretendían “que este Tribunal antes de entrar en el examen de las cuestiones penales que se planteaban hiciera una serie de pronunciamientos de carácter civil, más de quince, pues entendían que eran necesarios para posteriormente analizar el aspecto penal de los hechos. No lo entiende así este Tribunal que desde luego ha podido resolver todo aquello que se </w:t>
      </w:r>
      <w:r>
        <w:lastRenderedPageBreak/>
        <w:t>planteaba sin necesidad de pronunciarse con carácter previo sobre todos los extremos que se solicitaban por no ser necesario para el correcto enjuiciamiento de los hechos”. Y también la Sentencia dictada en casación se refiere a dichas cuestiones prejudiciales al declarar, en su fundamento de Derecho segundo, que en el citado fundamento de Derecho noveno el Tribunal a quo “se pronuncia de una manera escueta, pero contundente, acerca de las cuestiones prejudiciales planteadas”; de manera que “hubo denegación, con argumentos ciertamente escuetos, pero suficientes”.</w:t>
      </w:r>
    </w:p>
    <w:p w:rsidR="0052098F" w:rsidRDefault="0052098F" w:rsidP="0052098F">
      <w:pPr>
        <w:pStyle w:val="TextoNormal"/>
      </w:pPr>
    </w:p>
    <w:p w:rsidR="0052098F" w:rsidRDefault="0052098F" w:rsidP="0052098F">
      <w:pPr>
        <w:pStyle w:val="TextoNormal"/>
      </w:pPr>
      <w:r w:rsidRPr="0052098F">
        <w:rPr>
          <w:rStyle w:val="NumeroAFNegritaCaracter"/>
        </w:rPr>
        <w:t>3</w:t>
      </w:r>
      <w:r>
        <w:t>. Todavía en el plano de los vicios in procedendo denunciados los demandantes de amparo consideran vulnerado su derecho a un proceso con todas las garantías en una doble vía: en primer lugar, por haber incumplido la Sentencia recurrida el principio de doble instancia en materia penal, consagrado por el art. 14.5 del Pacto internacional de derechos civiles y políticos (PIDCP), ya que la condena que les fue impuesta por primera vez en casación no pudo ser objeto de revisión; en segundo lugar, por haber sido dictada dicha Sentencia condenatoria en ausencia de las debidas garantías de oralidad, inmediación y contradicción, en contra de la doctrina establecida por este Tribunal a partir de la STC 167/2002, de 18 de septiembre.</w:t>
      </w:r>
    </w:p>
    <w:p w:rsidR="0052098F" w:rsidRDefault="0052098F" w:rsidP="0052098F">
      <w:pPr>
        <w:pStyle w:val="TextoNormal"/>
      </w:pPr>
      <w:r>
        <w:t>a) La primera de dichas quejas carece de fundamento, a la vista de que este Tribunal ha venido declarando en forma constante, a partir de la STC 70/2002, de 3 de abril, que el mencionado precepto del Pacto internacional de derechos civiles y políticos es perfectamente compatible con la revisión en casación de las sentencias condenatorias dictadas en instancia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 (FJ 7; en el mismo sentido, SSTC 80/2003, de 28 de abril; 105/2003, de 2 de junio; 123/2005, de 12 de mayo; 296/2005, de 21 de noviembre; y 136/2006, de 8 de mayo).</w:t>
      </w:r>
    </w:p>
    <w:p w:rsidR="0052098F" w:rsidRDefault="0052098F" w:rsidP="0052098F">
      <w:pPr>
        <w:pStyle w:val="TextoNormal"/>
      </w:pPr>
      <w:r>
        <w:t xml:space="preserve">A lo anterior ha de añadirse que el art. 2 del Protocolo núm. 7 al Convenio europeo de derechos humanos, de 22 de noviembre de 1984, introduce ciertas excepciones al derecho reconocido en el precepto primeramente citado, al establecer que el art.  14.5 PIDCP “podrá ser objeto de excepciones en caso de infracciones de menor gravedad según las define la Ley, o cuando el interesado haya sido juzgado en primera instancia por el más alto Tribunal o haya sido declarado culpable o condenado al resolverse un recurso contra su absolución”; sin que a ello quepa oponer la objeción formulada por los demandantes de amparo en el sentido de que el hecho de que España no haya procedido aún a la ratificación del mencionado Protocolo supone que las excepciones acabadas de mencionar no rigen en nuestro país debiendo estarse, por consiguiente, a la regla general del citado art. 14.5 PIDCP, que en consecuencia habría de considerarse infringida en el presente supuesto. Es posible que tal </w:t>
      </w:r>
      <w:r>
        <w:lastRenderedPageBreak/>
        <w:t>conclusión no sea incorrecta desde una óptica rigurosamente formalista, pero ciertamente lo es a partir de una visión teleológica de dicho precepto, pues lo que en verdad constituye su ratio es conseguir que toda Sentencia condenatoria pueda ser revisada por un Tribunal superior, salvo que sea ese mismo Tribunal superior quien la haya dictado por vez primera a consecuencia de la interposición de un recurso ante él frente a una Sentencia penal absolutoria. Dicho de otra manera: la excepción existe, a nivel europeo, porque obedece a la racionalidad del precepto, y ello con independencia de que el instrumento que la recoge no haya sido aún incorporado a nuestro Ordenamiento jurídico interno.</w:t>
      </w:r>
    </w:p>
    <w:p w:rsidR="0052098F" w:rsidRDefault="0052098F" w:rsidP="0052098F">
      <w:pPr>
        <w:pStyle w:val="TextoNormal"/>
      </w:pPr>
      <w:r>
        <w:t>Así lo afirmábamos recientemente en la STC 296/2005, de 21 de noviembre: “No forma parte esencial de la que incorpora el art. 14.5 PIDCP como instrumento de interpretación del derecho a un proceso con todas las garantías (art. 24.2 CE) la constituida por la existencia en todo caso tras una condena penal de la posibilidad de un pronunciamiento posterior de un Tribunal superior, pronunciamiento que podría ser el tercero en caso de que la resolución inicial fuera absolutoria o incluso en caso de que la de revisión aumentase la pena inicialmente impuesta. Lo que en este contexto exige el contenido de la garantía, que se ordena tanto al ejercicio de la defensa como a la ausencia de error en la decisión judicial, es que en el enjuiciamiento de los asuntos penales se disponga de dos instancias. … Esta doctrina jurisprudencial es coherente con la previsión del art. 2 del Protocolo núm. 7 al Convenio europeo para la protección de los derechos humanos y de las libertades fundamentales, firmado aunque no ratificado por España, que considera conforme con el derecho al recurso en materia penal que no se prevea el acceso a la revisión por un Tribunal superior para quienes hayan sido declarados culpables y condenados a resultas de un recurso contra su absolución. Tal compatibilidad —y las demás que incluye el apartado 2— no debe entenderse en rigor como una excepción al derecho de acceso al recurso en materia penal que proclama el apartado 1 —y el art. 14.5 PIDCP—, sino como una delimitación de su contenido esencial. En este contexto resulta procedente reseñar que no es misión de este Tribunal proponer una regulación constitucionalmente óptima de los recursos en el procedimiento penal ni valorar la vigente en términos de mayor o menor adecuación a los valores constitucionales, sino simplemente determinar si el recurso invocado por los recurrentes constituye una garantía exigida por el art. 24.2 de la Constitución. Para la mejor comprensión de nuestra respuesta negativa a esta cuestión y de nuestra doctrina jurisprudencial al respecto es de señalar también que los instrumentos procesales que abundan en las garantías de defensa de las partes y en las de acierto judicial, como es la previsión de nuevos recursos frente a decisiones previas, pueden colisionar con otros intereses de rango constitucional, como son la seguridad jurídica y la celeridad en la Administración de la justicia, y pueden también perder parte de su virtualidad tutelar, al separar excesivamente en el tiempo el juicio y el hecho enjuiciado. Tampoco es ocioso recordar en este contexto que ni la Corte Penal Internacional (arts. 81 y ss. del Estatuto de Roma de la Corte Penal Internacional, hecho  en Roma el 17 de julio de 1998), ni los Tribunales internacionales para el castigo de los crímenes internacionales perpetrados en la antigua Yugoslavia [art. 25 de su Estatuto, aprobado por Resolución 827 (1993) del Consejo de Seguridad de las Naciones Unidas] y para el enjuiciamiento de los crímenes internacionales perpetrados en Ruanda [art. 25 de su Estatuto, aprobado por Resolución 955 (1994) del Consejo de Seguridad de las Naciones Unidas] prevén en los procedimientos penales en los que son competentes un recurso ordinario añadido al de apelación, tampoco para los supuestos en los que la condena se impone en dicha sede tras una primera sentencia absolutoria” (FJ 3).</w:t>
      </w:r>
    </w:p>
    <w:p w:rsidR="0052098F" w:rsidRDefault="0052098F" w:rsidP="0052098F">
      <w:pPr>
        <w:pStyle w:val="TextoNormal"/>
      </w:pPr>
      <w:r>
        <w:lastRenderedPageBreak/>
        <w:t>No sobra señalar, en este punto, que la Sentencia dictada en instancia concluyó en la absolución de los demandantes de amparo por considerar que los delitos objeto de la acusación estaban ya prescritos, pero que estimó como probados los hechos que se atribuía a los acusados. De hecho los propios recurrentes presentaron un recurso de casación contra la misma por, entre otros motivos, infracción de su derecho a la presunción de inocencia, y tanto este motivo como los demás alegados fueron cumplidamente respondidos por la Sala de lo Penal del Tribunal Supremo en la Sentencia recurrida, lo que evidencia, en suma, que todos los aspectos fácticos y jurídicos pudieron ser sometidos al doble filtro que impone la garantía invocada en su relación con el art.  14.5 PIDCP.</w:t>
      </w:r>
    </w:p>
    <w:p w:rsidR="0052098F" w:rsidRDefault="0052098F" w:rsidP="0052098F">
      <w:pPr>
        <w:pStyle w:val="TextoNormal"/>
      </w:pPr>
      <w:r>
        <w:t>b) Respecto a la infracción del derecho a un proceso con todas las garantías, que los recurrentes entienden cometida por haberse dictado Sentencia condenatoria en casación sin haberse observado las debidas garantías de inmediación y de contradicción, ha de recordarse, en primer lugar, que las conclusiones alcanzadas por este Tribunal en la STC 167/2002, de 18 de septiembre —resolución citada a favor de su tesis por los demandantes de amparo— no son directamente extrapolables a la casación penal, dadas las diferencias que cabe establecer entre la revisión que se produce en dicha sede, de carácter limitado y tasado, y la que tiene lugar en apelación a través de un novum iudicium.  A ello ha de añadirse que, al haber admitido íntegramente la Sala Segunda del Tribunal Supremo en su segunda Sentencia los hechos declarados probados en la Sentencia de la Audiencia Provincial, en modo alguno puede decirse que el fallo condenatorio contenido en aquélla se haya basado en una valoración de la prueba de naturaleza personal distinta de la efectuada por el Tribunal de instancia, de manera que los referidos reproches de ausencia de las garantías de inmediación y de contradicción no podrían de ninguna manera alcanzarle. Hubo además, según se hace constar en la Sentencia de 14 de marzo de 2003, vista oral del recurso de casación, celebrada el 20 de febrero de 2003, en la que los representantes de los demandantes de amparo pudieron ejercer su derecho a la defensa contradictoria de sus pretensiones en situación de inmediación con el órgano judicial que dictó la Sentencia condenatoria. Por todas estas razones, no cabe reprochar a tal Sentencia la vulneración del derecho de los actores a un proceso con todas las garantías sobre la base de lo concluido por este Tribunal en su STC 167/2002, de 18 de septiembre, pues, ni se constata déficit alguno de contradicción, ni que la Sala de lo Penal del Tribunal Supremo haya sustentado la condena “sobre su propia apreciación de lo sucedido a partir de su valoración de testimonios a los que no ha asistido” (STC 112/2005, de 9 de mayo, FJ 2). Tampoco se produce la vulneración denunciada por incluir en el fallo condenatorio una determinación del quantum de responsabilidad civil ex delicto directamente derivada, sin introducción de corrección alguna, de las cantidades declaradas probadas por la Sentencia de instancia, en concepto de perjuicios, dado que dichas cantidades, referentes al aspecto civil del proceso, no sólo pudieron ser objeto de debate contradictorio en instancia sino que también podrían haberlo sido en casación de haber sido impugnadas a través de los correspondientes motivos, sin que a este respecto resulte razonable la explicación ofrecida por los demandantes de amparo en el sentido de que no las impugnaron por no haber formado parte dichas cantidades del fallo absolutorio contenido en la Sentencia de instancia, dado que tampoco formaban parte de dicho fallo las restantes conclusiones que, en relación con la comisión de los delitos de falsedad y estafa por el demandante de amparo, se expresaban en el relato de hechos probados de la mencionada Sentencia, no obstante lo cual ello no representó un obstáculo para que las combatieran ante la Sala Segunda del Tribunal Supremo.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4</w:t>
      </w:r>
      <w:r>
        <w:t>. Los demandantes estiman que se ha vulnerado su derecho a la presunción de inocencia, en conexión con la vulneración de sus derechos a un proceso con todas las garantías y a la utilización de los medios de prueba pertinentes para la defensa, por la supuesta existencia de irregularidades en la forma en que los órganos judiciales de instancia y de casación procedieron a otorgar validez como prueba de cargo a la declaración inicial del testigo Sr. Robinson ante el Juez de Instrucción, dándole valor de prueba anticipada, en patente contraste con su negativa a valorar como prueba de descargo las posteriores afirmaciones de ese mismo testigo, sucesivamente incorporadas a una carta y a una declaración notarial, en las que se desdecía de esa primera declaración incriminatoria. Pues, si bien reconocen que, ante declaraciones contradictorias por parte de un testigo, los órganos judiciales pueden optar por dar credibilidad a unas u otras, consideran que ello es así sólo en la medida en que, en el acto del juicio oral, se haya dado a dicho testigo oportunidad de explicar en forma contradictoria las diferencias detectables entre sus sucesivas declaraciones. Resulta evidente sin embargo, a su entender, que en el caso de autos, no sólo no se dio esa oportunidad, sino que se procedió a blindar la primera de dichas declaraciones mediante la adjudicación a la misma de una discutible naturaleza de prueba anticipada, en contraste, por lo demás, con la negativa del órgano judicial de instancia a valorar las citadas carta y declaración notarial del Sr. Robinson por motivo de no haber sido sometidas a contradicción por las partes, siendo así que habría sido el propio órgano judicial quien habría impedido que dicho debate contradictorio hubiera tenido lugar, al denegar la comisión rogatoria solicitada y al rechazar su lectura en el plenario no obstante haber sido interesada por la defensa .</w:t>
      </w:r>
    </w:p>
    <w:p w:rsidR="0052098F" w:rsidRDefault="0052098F" w:rsidP="0052098F">
      <w:pPr>
        <w:pStyle w:val="TextoNormal"/>
      </w:pPr>
      <w:r>
        <w:t>A la queja articulada por los actores en torno a esta falta de consideración por el Tribunal de instancia de las mencionadas declaraciones posteriores del Sr. Robinson opuso la Sala Segunda del Tribunal Supremo distintos argumentos en la Sentencia recurrida, varios de los cuales han sido asimismo esgrimidos por el Ministerio Fiscal y por las demás partes personadas en sus respectivos escritos de alegaciones. Entre ellos cabe destacar los siguientes: que los demandantes de amparo no formularon protesta alguna ante la denegación de la comisión rogatoria que habían solicitado; que no facilitaron la dirección del testigo en el Reino Unido; que no interesaron la suspensión del juicio para que se llevara a cabo la indicada declaración testifical; que no formularon las preguntas que pretendían plantear al testigo al efecto de que el órgano judicial pudiera decidir acerca de su relevancia; y, finalmente, que la declaración notarial en cuestión no había sido sometida en ningún momento a contradicción en tanto que sí lo había sido la prestada ante el Instructor. Frente a ello recordaban los recurrentes en sus demandas de amparo, con cita de la STC 111/1999, de 14 de junio, FJ 2, que es a la acusación a la que corresponde la carga de la prueba y que, por consiguiente, la obligación de hacer todo lo posible para que el testigo de cargo compareciera al acto del juicio oral correspondía a las acusaciones y no a la defensa, pues lo contrario supondría una inversión de la carga de la prueba y una lesión del principio de igualdad de armas en el proceso, al cargar a la defensa con una actividad que no se habría puesto a cargo de la acusación.</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La compleja argumentación desarrollada por los demandantes de amparo en apoyo de la denuncia de la vulneración de su derecho a la presunción de inocencia, en conexión con sus derechos a un proceso con todas las garantías y a la utilización de los medios de prueba pertinentes para su defensa, no puede ser examinada por este Tribunal sin una previa consideración individualizada de algunos de sus distintos elementos integrantes. Así, en primer lugar, hemos de analizar si la declaración prestada por el testigo Sr. Robinson ante el Juez de Instrucción podía ser valorada como prueba de cargo no obstante su falta de ratificación </w:t>
      </w:r>
      <w:r>
        <w:lastRenderedPageBreak/>
        <w:t>en el acto del juicio oral. Y seguidamente tenemos que afrontar la cuestión relativa a la naturaleza de las declaraciones de ese mismo testigo contenidas en una carta y en un documento notarial, al efecto de determinar si cabe dirigir algún reproche al Tribunal de instancia por no haber permitido que dichos escritos fueran leídos en el acto del juicio oral.  Sólo una vez resueltos los anteriores extremos estaremos en condiciones de pronunciarnos acerca de si la condena de los demandantes de amparo se basó en una auténtica prueba de cargo practicada con todas las garantías constitucionalmente exigibles.</w:t>
      </w:r>
    </w:p>
    <w:p w:rsidR="0052098F" w:rsidRDefault="0052098F" w:rsidP="0052098F">
      <w:pPr>
        <w:pStyle w:val="TextoNormal"/>
      </w:pPr>
      <w:r>
        <w:t>a) Por lo que se refiere al valor de prueba preconstituida otorgado por el órgano judicial de instancia a la declaración sumarial prestada ante el Juez de Instrucción por el testigo Sr.  Robinson ha de observarse que, como hemos tenido ocasión de reiterar recientemente —en la STC 92/2006, de 27 de marzo, FJ 2— que, “de acuerdo con la doctrina mantenida en forma constante por este Tribunal a partir de la STC 31/1981, de 28 de julio, únicamente pueden considerarse auténticas pruebas que vinculen a los órganos de la justicia penal en el momento de dictar Sentencia las practicadas en el juicio oral, tal y como establece el art. 741 de la Ley de enjuiciamiento criminal (LECrim), pues el procedimiento probatorio ha de tener lugar necesariamente en el debate contradictorio que, en forma oral, ha de desarrollarse ante el mismo Juez o Tribunal que debe dictar Sentencia; por el contrario las diligencias sumariales son actos de investigación encaminados a la averiguación del delito e identificación del delincuente (art. 299 LECrim) que no constituyen en sí mismos pruebas de cargo, pues su finalidad específica no es la fijación definitiva de los hechos para que éstos trasciendan a la resolución judicial, sino la de preparar el juicio oral, proporcionando a tal efecto los elementos necesarios para la acusación y defensa y para la dirección del debate contradictorio atribuido al juzgador. Sólo cuando las diligencias o actuaciones sumariales son de imposible o muy difícil reproducción en el juicio oral es posible traerlas al mismo como prueba anticipada o preconstituida, puesto que, estando sujeto también el proceso penal al principio de búsqueda de la verdad material, resulta preciso asegurar que no se pierden datos o elementos de convicción. De esta manera la prueba preconstituida o anticipada poseerá virtualidad para destruir la presunción de inocencia siempre y cuando se haya practicado con observancia de las garantías establecidas en la Constitución y en el ordenamiento procesal y haya sido incorporada al juicio oral mediante su lectura, de tal manera que se permita a la defensa del acusado someterla a contradicción, no bastando con la utilización de simples fórmulas de estilo como la consistente en darla por reproducida” (vid. también SSTC 195/2002, de 28 de octubre, FJ 2, y 80/2003, de 28 de abril, FJ 5). Así, la STC 280/2005, de 7 de noviembre, recordaba que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y la asistencia letrada al imputado, a fin  de que pueda interrogar al testigo) y formales (la introducción del contenido de la declaración sumarial a través de la lectura del acta en que se documenta, conforme al art. 730 LECrim, o a través de los interrogatorios), lo que posibilita que su contenido acceda al debate procesal público y se someta a contradicción en el juicio oral ante el Juez o Tribunal sentenciador (entre otras SSTC 80/1986, de 17 de junio, FJ 1; 40/1997, de 27 de febrero, FJ 2; 153/1997, de 29 de septiembre, FJ 5; 2/2002, de 14 de enero, FJ 7; 12/2002, de 28 de enero, FJ 4; 155/2002, de 22 de julio, FJ 10; 80/2003, de 28 de abril, FJ 5, y 187/2003, de 27 de octubre, FJ 3)” (FJ 2).</w:t>
      </w:r>
    </w:p>
    <w:p w:rsidR="0052098F" w:rsidRDefault="0052098F" w:rsidP="0052098F">
      <w:pPr>
        <w:pStyle w:val="TextoNormal"/>
      </w:pPr>
      <w:r>
        <w:t xml:space="preserve">Aplicada la anterior doctrina al presente caso, y una vez examinadas las actuaciones, ha de concluirse que ninguna vulneración del derecho a un proceso con todas las garantías cabe </w:t>
      </w:r>
      <w:r>
        <w:lastRenderedPageBreak/>
        <w:t>atribuir al órgano judicial de instancia por la forma en que fue traída al proceso e incorporada al mismo la indicada prueba testifical de cargo, ya que, por una parte, la declaración prestada por el Sr. Robinson lo fue ante el Juez de Instrucción y en presencia de los Letrados de los acusados, quienes pudieron interrogar libremente al declarante en dicho momento, gozando así de las debidas garantías de inmediación y de contradicción; y, por otra parte, concurría también respecto de la misma el requisito de ser imposible o muy difícil su reproducción en el juicio oral, dado que el mencionado testigo se encontraba en paradero desconocido, lo que había hecho fracasar los distintos intentos hechos por la Audiencia Provincial para su localización y convocatoria a dicho acto, así como el requisito de que la declaración en cuestión fuese leída en ese momento al efecto de posibilitar el correspondiente debate contradictorio. En consecuencia la indicada prueba testifical reunía todas las condiciones constitucionalmente establecidas para ser elevada a la categoría de prueba preconstituida susceptible de ser valorada como prueba de cargo.</w:t>
      </w:r>
    </w:p>
    <w:p w:rsidR="0052098F" w:rsidRDefault="0052098F" w:rsidP="0052098F">
      <w:pPr>
        <w:pStyle w:val="TextoNormal"/>
      </w:pPr>
      <w:r>
        <w:t>b) Insisten los recurrentes en sus respectivas demandas en la apreciación de que la negativa por parte del Tribunal a quo a dar lectura a la declaración de ese mismo testigo, incorporada a un documento notarial suscrito en Londres, lesionó sus derechos a un proceso con todas las garantías y a la utilización de los medios de prueba pertinentes, vulnerando además su derecho a la presunción de inocencia tal rechazo, expresamente motivado por la ausencia de contradicción en torno a lo allí declarado al no haber facilitado los acusados la dirección londinense del Sr. Robinson, supuso una inversión de la carga de la prueba contraria a la indicada presunción al hacer recaer en los demandantes de amparo la obligación de presentar a juicio a un testigo de cargo.</w:t>
      </w:r>
    </w:p>
    <w:p w:rsidR="0052098F" w:rsidRDefault="0052098F" w:rsidP="0052098F">
      <w:pPr>
        <w:pStyle w:val="TextoNormal"/>
      </w:pPr>
      <w:r>
        <w:t>Confunden en este punto los actores lo que fue un verdadero y propio testimonio de cargo —el prestado por el Sr. Robinson, con todas las garantías, ante el Juez de Instrucción—con lo que no puede considerarse un verdadero testimonio —dada la imposibilidad de interrogar en forma contradictoria al testigo acerca del mismo— pero que, en todo caso, no sería de cargo sino de descargo, por lo que su presentación correspondía a quien pretendía hacerla valer en su favor.</w:t>
      </w:r>
    </w:p>
    <w:p w:rsidR="0052098F" w:rsidRDefault="0052098F" w:rsidP="0052098F">
      <w:pPr>
        <w:pStyle w:val="TextoNormal"/>
      </w:pPr>
      <w:r>
        <w:t xml:space="preserve">Es cierto en cualquier caso que esta prueba fue solicitada por los acusados de diversos modos —como documental, como testifical anticipada y como testifical—; tanto como que ninguno de los rechazos puede catalogarse de lesivo de su derecho a la prueba a la luz de una consolidada doctrina jurisprudencial, la cual señala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ésta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(STC 1/2004, de 14 de enero, FJ 2).  Si, como prueba documentada, el testimonio adolecía del vicio de falta de contradicción debe repararse, no sólo en que la comisión rogatoria se rechazó con la aceptación de la testifical en la vista oral, que es, como se ha indicado, el lugar propio para su práctica con plenas garantías, sino también en que los propios recurrentes han reconocido que la comisión rogatoria al Reino Unido, caso de haberse admitido, posiblemente no hubiera podido realizarse, dada la dificultad aparentemente insalvable de localizar al testigo. </w:t>
      </w:r>
      <w:r>
        <w:lastRenderedPageBreak/>
        <w:t>Debe asimismo subrayarse que, en cualquier caso, los acusados no presentaron protesta alguna frente a la indicada denegación, ni solicitaron la suspensión del juicio oral hasta tanto, de una u otra manera, pudiera darse con el paradero de quien la defensa consideraba tan importante testigo.</w:t>
      </w:r>
    </w:p>
    <w:p w:rsidR="0052098F" w:rsidRDefault="0052098F" w:rsidP="0052098F">
      <w:pPr>
        <w:pStyle w:val="TextoNormal"/>
      </w:pPr>
      <w:r>
        <w:t>Con el acervo probatorio disponible, ajeno a todo reproche constitucional, ninguno merece tampoco el órgano judicial de instancia por no haber permitido, en forma razonablemente motivada, la lectura en el acto del juicio oral de lo supuestamente testimoniado por el Sr. Robinson, o por no haberle dado la misma consideración a esta prueba documental que al anterior testimonio de cargo prestado por ese mismo testigo, dadas las apuntadas diferencias entre ambas declaraciones respecto al esencial elemento de no haber sido la posteriormente realizada por el Sr. Robinson, por medio de una carta y de un documento notarial, ni efectuada ante un Juez ni sometida a la debida contradicción. En tales condiciones es obvio que el Tribunal de instancia podía no otorgarle el valor de testimonio contradictorio con el vertido en fase sumarial al efecto de decidir a cuál de ambos concedía mayor credibilidad, sino sólo el de simple documento incorporado a las actuaciones, cuyo contenido no consideró que pudiera prevalecer sobre el integrante de la declaración inicialmente prestada ante el Juez de Instrucción. No cabe, en consecuencia, atribuir a la Sección Séptima de la Audiencia Provincial de Madrid responsabilidad alguna en la falta de valoración de la prueba documental, por no reunir la mencionada prueba de descargo los requisitos necesarios para ser incorporada al proceso en igualdad de condiciones con el testimonio de cargo del Sr.  Robinson ante el Juez de Instrucción.</w:t>
      </w:r>
    </w:p>
    <w:p w:rsidR="0052098F" w:rsidRDefault="0052098F" w:rsidP="0052098F">
      <w:pPr>
        <w:pStyle w:val="TextoNormal"/>
      </w:pPr>
      <w:r>
        <w:t>c) Del examen de las actuaciones se desprende, finalmente, que no fue la declaración sumarial del indicado testigo la única prueba de cargo que el órgano judicial de instancia tuvo en cuenta para fundamentar su conclusión acerca de la culpabilidad de los recurrentes en relación con los delitos de falsedad en documento mercantil y estafa de los que venían acusados, sino que, junto a dicho testimonio, tomó en consideración la existencia de otras pruebas de naturaleza personal —declaraciones de los querellantes y otros testigos—, pericial —informes y evaluaciones de mercado— y documental que, debidamente engarzadas a través de un razonamiento lógico, avalaron tal convicción. Desde el control externo que a este Tribunal le corresponde a la hora de verificar si hubo en el proceso prueba de cargo suficiente para fundamentar la condena no cabe, por consiguiente, duda alguna de que la hubo, de que fue practicada con todas las garantías y de que, por todo ello, ninguna vulneración del derecho de los recurrentes a la presunción de inocencia cabe estimar producida en este caso.</w:t>
      </w:r>
    </w:p>
    <w:p w:rsidR="0052098F" w:rsidRDefault="0052098F" w:rsidP="0052098F">
      <w:pPr>
        <w:pStyle w:val="TextoNormal"/>
      </w:pPr>
    </w:p>
    <w:p w:rsidR="0052098F" w:rsidRDefault="0052098F" w:rsidP="0052098F">
      <w:pPr>
        <w:pStyle w:val="TextoNormal"/>
      </w:pPr>
      <w:r w:rsidRPr="0052098F">
        <w:rPr>
          <w:rStyle w:val="NumeroAFNegritaCaracter"/>
        </w:rPr>
        <w:t>6</w:t>
      </w:r>
      <w:r>
        <w:t>. En otro orden de ideas son varias las razones por las que los demandantes de amparo consideran vulnerado su derecho a la legalidad penal. En unos casos dicha lesión se atribuye a las Sentencias dictadas en instancia y en casación, en tanto que en otras ocasiones únicamente le es reprochada a esta última resolución. Comenzaremos por referirnos a los primeros, toda vez que la eventual estimación del referido motivo de amparo conduciría inexorablemente a la anulación de ambas resoluciones, a diferencia de lo que sucedería en el caso de ser estimado exclusivamente en relación con la Sentencia de la Sala Segunda del Tribunal Supremo.</w:t>
      </w:r>
    </w:p>
    <w:p w:rsidR="0052098F" w:rsidRDefault="0052098F" w:rsidP="0052098F">
      <w:pPr>
        <w:pStyle w:val="TextoNormal"/>
      </w:pPr>
      <w:r>
        <w:t xml:space="preserve">El derecho a la legalidad penal supone que nadie puede ser condenado por acciones u omisiones que no constituyan delito o falta según la legislación vigente en el momento de la comisión del hecho. Se quiebra así el derecho cuando la conducta enjuiciada, la ya delimitada como probada, es subsumida de un modo irrazonable en el tipo penal que resulta </w:t>
      </w:r>
      <w:r>
        <w:lastRenderedPageBreak/>
        <w:t>aplicado.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52098F" w:rsidRDefault="0052098F" w:rsidP="0052098F">
      <w:pPr>
        <w:pStyle w:val="TextoNormal"/>
      </w:pPr>
      <w:r>
        <w:t>En el examen de razonabilidad de la subsunción de los hechos probados en la norma penal el primero de los criterios a seguir es el del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el propio legislador puede potenciar esa labilidad para facilitar la adaptación de la norma a la realidad (ya en la STC 62/1982; recientemente, STC 53/1994). Debe perseguirse, en consecuencia, algún criterio añadido que, a la vista de los valores de seguridad y de legitimidad en juego, pero también de la libertad y la competencia del Juez en la aplicación de la legalidad (SSTC 89/1983, 75/1984, 111/1993), distinga entre las decisiones que forman parte del campo de decisión legítima de éste y las que suponen una ruptura de su sujeción a la ley”. Dichos criterios estarán conformados por “las pautas axiológicas que informan nuestro texto constitucional (SSTC 159/1986, 59/1990, 111/1993)” y por los “modelos de argumentación aceptados por la propia comunidad jurídica”. Así,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w:t>
      </w:r>
    </w:p>
    <w:p w:rsidR="0052098F" w:rsidRDefault="0052098F" w:rsidP="0052098F">
      <w:pPr>
        <w:pStyle w:val="TextoNormal"/>
      </w:pPr>
      <w:r>
        <w:t>Pues bien, por lo que se refiere a las lesiones del derecho de los actores a la legalidad penal fundamentadas en la atribución a los órganos judiciales de instancia y de casación de una interpretación “extravagante” de distintos elementos típicos del delito de estafa —concretamente de lo que ha de entenderse por “engaño bastante” y por “perjuicio patrimonial” — ha de concluirse que carecen de contenido constitucional, dado que, por una parte, este Tribunal no puede proceder a revisar los hechos declarados probados ni la valoración que de los mismos han realizado los órganos judiciales de instancia y de casación en virtud de una serie de elementos probatorios que les han conducido a estimar la concurrencia de los indicados elementos típicos, y a la vista de que, por otra parte, una vez examinadas ambas resoluciones no puede decirse que en dicha operación hayan incurrido en una interpretación no razonable de dichos elementos que resulte contraria a las exigencias del derecho a la legalidad penal, toda vez que se han limitado a realizar una subsunción motivada y razonable de los hechos considerados probados en el tipo penal definidor del delito de estafa.</w:t>
      </w:r>
    </w:p>
    <w:p w:rsidR="0052098F" w:rsidRDefault="0052098F" w:rsidP="0052098F">
      <w:pPr>
        <w:pStyle w:val="TextoNormal"/>
      </w:pPr>
      <w:r>
        <w:t xml:space="preserve">En efecto, de una manera pormenorizada entienden las dos resoluciones en este punto impugnadas que concurren en los hechos probados todos los rasgos del comportamiento típico de estafa. Singularmente, en sede de casación y frente a las concretas alegaciones de los hoy recurrentes al respecto, sostiene la Sala de lo Penal del Tribunal Supremo que el comportamiento de los acusados fue constitutivo de un engaño bastante para inducir a error </w:t>
      </w:r>
      <w:r>
        <w:lastRenderedPageBreak/>
        <w:t>a sus socios y que además produjo un perjuicio en el patrimonio de éstos. Para sustentar lo primero relata el punto 3 del fundamento de Derecho undécimo de la Sentencia de casación una serie de datos —hasta cinco— que permiten concluir que el engaño urdido fue suficiente; para sustentar lo segundo que el baremo no puede ser el precio medio de mercado, sino “la diferencia entre el importe percibido y el que debieron percibir los perjudicados, de no haber sido objeto de engaño” (FD 13.2). Al ser ello así no puede constatarse la irracionalidad que la esmerada argumentación de los demandantes de amparo pretende atribuir a la interpretación que los órganos judiciales realizan de algunos de los elementos del tipo de estafa. Resulta notorio que tal interpretación no extravasa el tenor literal de la norma ni utiliza métodos no aceptados en los medios jurídicos. Como por lo demás dicha interpretación judicial no se sustenta en una base axiológica inconstitucional, ni nuestra tarea de amparo del derecho a la legalidad penal consiste ni presupone una valoración de la interpretación de la norma penal en términos de calidad o de oportunidad, ni tampoco compete a este Tribunal el análisis de la mayor o menor razonabilidad de la interpretación alternativa que puedan proponer los recurrentes —ya que, como se ha expresado anteriormente, nuestra labor se constriñe a adverar que la interpretación y aplicación cuestionadas eran interpretaciones posibles, en cuanto razonables y por ello previsibles—, la conclusión no puede ser otra que la de desestimar la denuncia de la vulneración del derecho a la legalidad penal que imputan los recurrentes en amparo a las resoluciones judiciales impugnadas.</w:t>
      </w:r>
    </w:p>
    <w:p w:rsidR="0052098F" w:rsidRDefault="0052098F" w:rsidP="0052098F">
      <w:pPr>
        <w:pStyle w:val="TextoNormal"/>
      </w:pPr>
    </w:p>
    <w:p w:rsidR="0052098F" w:rsidRDefault="0052098F" w:rsidP="0052098F">
      <w:pPr>
        <w:pStyle w:val="TextoNormal"/>
      </w:pPr>
      <w:r w:rsidRPr="0052098F">
        <w:rPr>
          <w:rStyle w:val="NumeroAFNegritaCaracter"/>
        </w:rPr>
        <w:t>7</w:t>
      </w:r>
      <w:r>
        <w:t>. Buena parte de los argumentos por los que los recurrentes consideran que debería ser anulada la Sentencia que les condena a penas de dos años y cuatro meses de prisión, y de un año de prisión y 6.000 euros de multa, por la autoría, respectivamente, de un delito de estafa y, en concurrencia medial, un delito falsedad en documento mercantil, se refieren a la decisión del Tribunal Supremo de negar la prescripción de estos delitos.  Sostienen en sus demandas que esta decisión sólo ha sido posible a través de una interpretación y aplicación del artículo 114 del Código penal de 1973 que vulnera sus derechos a la tutela judicial efectiva (art. 24.1 CE) y a la legalidad penal (art. 25.1 CE). En términos muy similares al vigente art.  132.2 del Código penal de 1995, dicho artículo establecía que “[e]l término de la prescripción comenzará a correr desde el día en que se hubiere cometido el delito. Esta prescripción se interrumpirá desde que el procedimiento se dirija contra el culpable, volviendo a correr de nuevo el tiempo de la prescripción desde que aquél termine sin ser condenado o se paralice el procedimiento”.</w:t>
      </w:r>
    </w:p>
    <w:p w:rsidR="0052098F" w:rsidRDefault="0052098F" w:rsidP="0052098F">
      <w:pPr>
        <w:pStyle w:val="TextoNormal"/>
      </w:pPr>
      <w:r>
        <w:t>Antes de recordar los hechos a los que este precepto ha sido aplicado para afirmar una interrupción tempestiva del plazo de prescripción hemos de reiterar cuáles son los parámetros de enjuiciamiento constitucional de esta cuestión, que son los propios del derecho a una tutela judicial efectiva reforzada por la implicación del derecho a la libertad.</w:t>
      </w:r>
    </w:p>
    <w:p w:rsidR="0052098F" w:rsidRDefault="0052098F" w:rsidP="0052098F">
      <w:pPr>
        <w:pStyle w:val="TextoNormal"/>
      </w:pPr>
      <w:r>
        <w:t xml:space="preserve">En efecto, en nuestra Sentencia de Pleno 63/2001, de 17 de marzo, afirmábamos que, más allá de que “sería cuestionable constitucionalmente un sistema jurídico penal que consagrara la imprescriptibilidad absoluta de los delitos y las faltas" (STC 157/1990, de 18 de octubre, FJ 3), es “al legislador a quien corresponde determinar, con plena libertad, de acuerdo con el principio de seguridad jurídica (STEDH de 22 de junio de 2000, caso Coëme c. Bélgica, § 146),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w:t>
      </w:r>
      <w:r>
        <w:lastRenderedPageBreak/>
        <w:t>acción de los acusadores (STEDH de 22 de octubre de 1996, caso Stubbings c. Reino Unido, § 46 y ss) ni las peculiaridades del régimen jurídico que el legislador decida adoptar (delitos a los que afecta, plazos de prescripción, momento inicial del cómputo o causas de interrupción) afectan, en sí mismas, a derecho fundamental alguno de los acusados. 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canon éste reforzado por tratarse de un supuesto en el que están en juego otros derechos fundamentales, como aquí sucede con los reconocidos en los arts. 17 y 25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(FJ 7; también, entre otras, SSTC 64/2001, de 17 de marzo, FJ 3; 65/2001,66/2001,68/2001,69/2001 y 70/2001 de la misma fecha, FFJJ 3, 3, 6, 3 y 3 respectivamente; 11/2004, de 9 de febrero, FJ 2; y 63/2005, de 14 de marzo, FJ 3).</w:t>
      </w:r>
    </w:p>
    <w:p w:rsidR="0052098F" w:rsidRDefault="0052098F" w:rsidP="0052098F">
      <w:pPr>
        <w:pStyle w:val="TextoNormal"/>
      </w:pPr>
      <w:r>
        <w:t xml:space="preserve">Esta doctrina constitucional no es sino la aplicación de otra más genérica, que entiende que el análisis constitucional de la suficiencia de la tutela judicial es distinta y más exigente — “reforzada” (por todas, SSTC 63/2001, de 17 de marzo, FJ 7; 164/2003, de 29 de septiembre, FJ 5; 63/2005, de 14 de marzo, FJ 3) — cuando, a pesar de que la decisión judicial no verse directamente sobre la preservación o los límites de un derecho fundamental, uno de estos derechos, distinto al de la propia tutela judicial, esté implicado (STC 11/2004, de 9 de febrero, FJ 2), vinculado (STC 180/2005, de 4 de julio, FJ 7), conectado (SSTC 25/2000, de 31 de enero, FJ 2; 11/2004, de 9 de febrero, FJ 2; 71/2004, de 19 de abril, FJ 4), resulte puesto en juego (SSTC 63/2001, de 17 de marzo, FJ 7; 115/2003, de 16 de junio, FJ 3), o quede afectado (SSTC 186/2003, de 27 de octubre, FJ 5; 192/2003, de 27 de octubre, FJ 3) por tal decisión. Lo que en estos supuestos exige el art. 24.1 CE para entender que se ha dispensado una tutela suficiente y eficaz es, además de una resolución motivada y fundada en Derecho, una resolución coherente con el derecho fundamental que se encuentra en juego (SSTC 11/2004, de 9 de febrero, FJ 2; 63/2005, de 17 de marzo, FJ 3). Es necesario así, en primer lugar, que se dé una “relación directa y manifiesta existente entre la norma que el juzgador declara aplicable y el fallo de la resolución exteriorizada en su argumentación jurídica” (STC 115/2003, de 16 de junio, FJ 3), y que “en la propia resolución se evidencie de modo incuestionable que su razón de ser es una aplicación razonada de las normas que se consideran adecuadas al caso” (STC 186/2003, de 27 de octubre, FJ 5). Y sobre todo es necesario también que la resolución judicial sea “conforme” con el derecho fundamental (STC 24/2005, de 14 de febrero, FJ 3), “compatible” con él (STC 196/2005, de 18 de julio, FJ 4): que exprese o trasluzca “una argumentación axiológica que sea respetuosa” con su </w:t>
      </w:r>
      <w:r>
        <w:lastRenderedPageBreak/>
        <w:t>contenido (STC 63/2005, de 17 de marzo, FJ 3). Este plus de motivación  que supone la tutela judicial reforzada en casos de implicación de un derecho fundamental “hace referencia a exigencias de orden cualitativo y no cuantitativo,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expresen de modo constitucionalmente adecuado las razones justificativas de las decisiones adoptadas (STC 14/2002, de 28 de enero, FJ 5)” (STC 251/2005, de 10 de octubre, FJ 4).</w:t>
      </w:r>
    </w:p>
    <w:p w:rsidR="0052098F" w:rsidRDefault="0052098F" w:rsidP="0052098F">
      <w:pPr>
        <w:pStyle w:val="TextoNormal"/>
      </w:pPr>
      <w:r>
        <w:t>En relación con el derecho a la libertad hemos dicho que “en un Estado social y democrático de Derecho, como el que configura nuestra Constitución, la libertad personal no es sólo un valor superior del Ordenamiento jurídico (art. 1.1 CE), sino además un derecho fundamental (art. 17 CE), cuya trascendencia estriba precisamente en ser presupuesto de otras libertades y derechos fundamentales. En un régimen democrático, donde rigen derechos fundamentales, la libertad de los ciudadanos es la regla general y no la excepción, de modo que aquéllos gozan de autonomía para elegir entre las diversas opciones vitales que se les presentan. De acuerdo con este significado prevalente de la libertad, la Constitución contempla las excepciones a la misma en los términos previstos en el art. 17.1 CE: ‘nadie puede ser privado de su libertad, sino con la observancia de lo establecido en este artículo y en los casos y en la forma previstos en la Ley’. En palabras de las SSTC 140/1986, de 11 de noviembre (FJ 5), y 160/1986, de 16 de diciembre (FJ 4), ‘el derecho a la libertad del art. 17.1, es el derecho de todos a no ser privados de la misma, salvo ‘en los casos y en la forma previstos por la Ley’: En una ley que, por el hecho de fijar las condiciones de tal privación, es desarrollo del derecho que así limita’. De modo que la ley, dentro de los límites que le marcan la Constitución y los tratados internacionales, desarrolla un papel decisivo en relación con este derecho, pues es en ella donde se conforman los presupuestos de la privación de libertad por imperativo constitucional, y donde —aunque no sólo— se determina el tiempo razonable en que puede ser admisible el mantenimiento de dicha situación (STC 241/1994, de 20 de julio, FJ 4). Pero a pesar de este carácter decisivo de la ley respecto a la posibilidad de prever restricciones a la libertad, no cabe duda de que tal ley ha de estar sometida a la Constitución, por lo que hemos afirmado que el derecho a la libertad no es un derecho de pura configuración legal [SSTC 2/1992, de 13 de enero, FJ 5; 241/1994, de 20 de julio, FJ 4; 128/1995, de 26 de julio, FJ 3; 157/1997, de 29 de septiembre, FJ 2; 47/2000, de 17 de febrero, FJ 2; 147/2000, de 29 de mayo, FFJJ 3 y 4 a)]”. (STC 82/2003, de 5 de mayo, FJ 3).</w:t>
      </w:r>
    </w:p>
    <w:p w:rsidR="0052098F" w:rsidRDefault="0052098F" w:rsidP="0052098F">
      <w:pPr>
        <w:pStyle w:val="TextoNormal"/>
      </w:pPr>
    </w:p>
    <w:p w:rsidR="0052098F" w:rsidRDefault="0052098F" w:rsidP="0052098F">
      <w:pPr>
        <w:pStyle w:val="TextoNormal"/>
      </w:pPr>
      <w:r w:rsidRPr="0052098F">
        <w:rPr>
          <w:rStyle w:val="NumeroAFNegritaCaracter"/>
        </w:rPr>
        <w:t>8</w:t>
      </w:r>
      <w:r>
        <w:t>. Partiendo de la base de la doctrina que ha quedado expuesta, debe destacarse el dato de que la exigencia del canon reforzado del derecho de tutela judicial efectiva cuando están en juego derechos fundamentales, y en este caso con especial relevancia el derecho fundamental consagrado en el art. 17 CE, estaba inequívocamente proclamada antes de la Sentencia impugnada en el presente recurso de amparo; por lo que a la hora de resolverlo, y ciñéndonos estrictamente a nuestro papel de jurisdicción constitucional, el ajuste o no de la Sentencia recurrida a nuestra doctrina debe ser elemento imprescindible de nuestro enjuiciamiento.</w:t>
      </w:r>
    </w:p>
    <w:p w:rsidR="0052098F" w:rsidRDefault="0052098F" w:rsidP="0052098F">
      <w:pPr>
        <w:pStyle w:val="TextoNormal"/>
      </w:pPr>
      <w:r>
        <w:t xml:space="preserve">En la misma línea de planteamiento inicial debe destacarse el elemento clave de singularidad del caso, consistente en el hecho de que el escrito al que la propia Sentencia impugnada niega valor jurídico de querella, ha sido, ello no obstante, considerado con virtualidad para interrumpir la prescripción del delito, justificando así el ejercicio respecto de los recurrentes del ius puniendi del Estado, con la consecuencia final de privarlos de su libertad. En </w:t>
      </w:r>
      <w:r>
        <w:lastRenderedPageBreak/>
        <w:t>otros términos, puesto que el supuesto legal de interrupción de la prescripción, que tiene lugar en un momento determinado, es el de que “el procedimiento se dirija contra el culpable”, el sentido de la Sentencia recurrida es el de apreciar que el escrito referido tiene el valor en sí mismo de procedimiento dirigido contra quienes en dicho escrito aparecían expresamente nominados como culpables.</w:t>
      </w:r>
    </w:p>
    <w:p w:rsidR="0052098F" w:rsidRDefault="0052098F" w:rsidP="0052098F">
      <w:pPr>
        <w:pStyle w:val="TextoNormal"/>
      </w:pPr>
      <w:r>
        <w:t>En las condiciones referidas la cuestión a decidir desde nuestra posición constitucional de garantes últimos del respeto de los derechos fundamentales, es la de si, dado lo dispuesto en el art. 17 CE (“en los casos y en la forma previstos en la ley”), el caso actual puede incluirse entre los que, según dicho precepto constitucional, justifican la privación de la libertad, si, en su caso, se ha respetado la forma establecida al respecto por la Ley y si consecuentemente se ha otorgado la tutela jurídica “reforzada” a que los recurrentes tenían derecho. Como se ve, una cuestión que indiscutiblemente se inserta en el ámbito de nuestra jurisdicción y, más en concreto, en el del recurso de amparo tal y como aquélla y éste vienen diseñados en los artículos 161.1 b) y 165 CE y artículos 1, 2.1 b) y 44.1 LOTC.</w:t>
      </w:r>
    </w:p>
    <w:p w:rsidR="0052098F" w:rsidRDefault="0052098F" w:rsidP="0052098F">
      <w:pPr>
        <w:pStyle w:val="TextoNormal"/>
      </w:pPr>
      <w:r>
        <w:t>Planteada así la cuestión, nuestra respuesta debe ser negativa por las razones que en los fundamentos sucesivos se exponen.</w:t>
      </w:r>
    </w:p>
    <w:p w:rsidR="0052098F" w:rsidRDefault="0052098F" w:rsidP="0052098F">
      <w:pPr>
        <w:pStyle w:val="TextoNormal"/>
      </w:pPr>
    </w:p>
    <w:p w:rsidR="0052098F" w:rsidRDefault="0052098F" w:rsidP="0052098F">
      <w:pPr>
        <w:pStyle w:val="TextoNormal"/>
      </w:pPr>
      <w:r w:rsidRPr="0052098F">
        <w:rPr>
          <w:rStyle w:val="NumeroAFNegritaCaracter"/>
        </w:rPr>
        <w:t>9</w:t>
      </w:r>
      <w:r>
        <w:t>. Entrando ya en el análisis de las circunstancias del caso aquí enjuiciado debe destacarse, en primer lugar, que, como afirma la Sentencia condenatoria recurrida, no existía controversia entre las partes en que el término prescriptivo concluía el 7 de enero de 1993; que el día anterior se presentó en el Juzgado de guardia un escrito que se autocalificaba de querella, sin poder especial para formularla a favor del Procurador firmante y sin firma de quienes figuraban como querellantes, escrito éste que se remitió al día siguiente al Juzgado Decano para su reparto, que recayó en el Juzgado de Instrucción núm. 18 de Madrid; que este Juzgado dictó el día 20 de enero un Auto de incoación de diligencias previas que, en su único razonamiento jurídico y en su parte dispositiva, estableció que la incoación de referencia se hacía “a los únicos fines registrales y de control procesal” y que al propio tiempo, esta vez sólo en la parte dispositiva, dispuso la ratificación del querellante y que “por su resultado” se acordaría; que la ratificación, que afectaba a las tres personas nominadas como querellantes en el tan repetido escrito, se produjo los días 9 de marzo, 20 de abril y 26 de julio siguientes y que el día 22 de noviembre de 1993, diez meses y quince días después del día en que finalizó el plazo de prescripción, el Juzgado dictó Auto de admisión de la querella.</w:t>
      </w:r>
    </w:p>
    <w:p w:rsidR="0052098F" w:rsidRDefault="0052098F" w:rsidP="0052098F">
      <w:pPr>
        <w:pStyle w:val="TextoNormal"/>
      </w:pPr>
      <w:r>
        <w:t xml:space="preserve">Y en segundo término que, en contra de lo decidido por la Sección Séptima de la Audiencia Provincial de Madrid, la Sala de lo Penal del Tribunal Supremo estima que antes de que finalizara el plazo de prescripción “se había dirigido el procedimiento contra el culpable”. Argumenta para ello que aun cuando la querella se hallaba “huérfana de poder especial”, y aunque por ello tampoco podía calificarse de denuncia, y aunque la ratificación posterior “no puede afectar, ni siquiera de modo indirecto, al transcurso del tiempo para completar la prescripción, que actúa de modo objetivo e implacable, … sí es posible otorgarle a la querella la condición de cauce legítimo para poner en conocimiento del Tribunal un hecho delictivo perseguible de oficio (notitia criminis) … La querella tuvo la virtualidad de integrar una denuncia que, aun carente de poder especial, a efectos de traslado de responsabilidades al denunciador (v.gr. denuncia falsa), bastó con la firma o suscripción del mandatario, con poder general, para trasladar al Tribunal la notitia criminis que debió obligarle a actuar, al tratarse de delito perseguible de oficio, sin perjuicio de que la ulterior ratificación de la querella permitiera la atribución de la condición de parte procesal en la causa al querellante”. Y continúa la Sentencia recurrida observando que “existió, a su vez, </w:t>
      </w:r>
      <w:r>
        <w:lastRenderedPageBreak/>
        <w:t>procedimiento judicial, que se colma, según jurisprudencia de esta Sala, con la anotación en el registro general del Juzgado (S. núm. 162 de 4-2-2003), circunstancia que dota de certeza y de seguridad jurídica a la hora de computar los términos (art. 9.3 CE). El Juzgado de guardia, que actúa a prevención de los demás, en casos de inactividad de los otros de su mismo partido judicial (el día de la presentación de la querella era festivo), es tanto como si se hubiera presentado en el Juzgado al que por turno correspondió instruir el asunto. Prueba de la competencia eventual o excepcional, es que de haber sido precisa la práctica de alguna diligencia urgente, que no admitiera demora, la debió practicar el Juzgado de guardia; pero ése no fue el caso” (FD primero).</w:t>
      </w:r>
    </w:p>
    <w:p w:rsidR="0052098F" w:rsidRDefault="0052098F" w:rsidP="0052098F">
      <w:pPr>
        <w:pStyle w:val="TextoNormal"/>
      </w:pPr>
    </w:p>
    <w:p w:rsidR="0052098F" w:rsidRDefault="0052098F" w:rsidP="0052098F">
      <w:pPr>
        <w:pStyle w:val="TextoNormal"/>
      </w:pPr>
      <w:r w:rsidRPr="0052098F">
        <w:rPr>
          <w:rStyle w:val="NumeroAFNegritaCaracter"/>
        </w:rPr>
        <w:t>10</w:t>
      </w:r>
      <w:r>
        <w:t>. Continuando el análisis constitucional anunciado debe repararse en que, a diferencia de la STC 63/2005, de 14 de marzo, no se trata aquí de dilucidar si la presentación de una querella que sólo mucho después es admitida a trámite puede entenderse, desde la perspectiva del art. 24.1 CE en su relación con el art. 17.1 CE, como un acto de dirección de procedimiento penal contra quien en la misma figure como imputado. Como ya se ha detallado, es el que ahora abordamos un supuesto diferente, en el cual lo que se produce el último día de la finalización del plazo prescriptivo es la presentación de un escrito que no reunía los requisitos de una querella, pero en el que quienes figuraban como autores trasladaban a un órgano judicial, a través de un mandatario, una notitia criminis; escrito éste cuya autenticidad no fue corroborada hasta más de seis meses después de su presentación, que no dio lugar a un Auto de admisión hasta pasados cuatro meses más y que inclusive sólo tuvo un acto de interposición judicial “a los únicos fines registrales y de control procesal” —el Auto del Juzgado de Instrucción de 20 de enero de 1993, cuyo encabezamiento reza textualmente “auto de incoación de previas”— trece días después al del vencimiento del plazo de prescripción. La propia Sentencia recurrida del Tribunal Supremo (FD 1, punto 9) afirma la diferencia de este supuesto, que cataloga de “querella defectuosa”, de aquéllos en los cuales lo que se discute es la eficacia interruptiva de la presentación de una querella.</w:t>
      </w:r>
    </w:p>
    <w:p w:rsidR="0052098F" w:rsidRDefault="0052098F" w:rsidP="0052098F">
      <w:pPr>
        <w:pStyle w:val="TextoNormal"/>
      </w:pPr>
      <w:r>
        <w:t>Pues bien. Fácilmente puede comprenderse después de lo dicho que las características de este caso hacen que no sea fácil afirmar la razonabilidad de su subsunción como supuesto de “dirección del procedimiento contra el culpable”. Desde parámetros semánticos la mera recepción de lo que el comunicante califica como notitia criminis no tiende a entenderse como la iniciación de un procedimiento —es decir, como la existencia ya de un procedimiento en su etapa inicial—, sino simplemente como un acontecimiento que puede generar un procedimiento. Es significativo al respecto que la Sentencia en este punto recurrida afirme, no tanto que el proceso penal se había iniciado ya con la mera presentación de la querella, sino todo lo contrario.  Expresiones de la Sentencia aquí recurrida, como las transcritas en el fundamento jurídico precedente en el sentido de que el traslado al Tribunal de la notitia criminis “debió obligarle a actuar al tratarse de delito perseguible de oficio” y de que el propio Juzgado de guardia ante el que se produjo la presentación, “de haber sido precisa la práctica de alguna diligencia urgente, que no admitiera demora la debió practicar … pero ese no fue el caso”, revelan bien a las claras que en la propia Sentencia impugnada late el reconocimiento de que el procedimiento no se había iniciado en el referido Juzgado de guardia, aunque sí lo habría sido de haberse convertido en realidad, y no haber quedado en simples hipótesis, las actuaciones judiciales propiamente dichas, esto es, las adoptadas con interposición del Juez. Una vez más, importa recordar aquí que el Juzgado de Instrucción receptor de la querella defectuosa incoó diligencias previas “a los únicos fines registrales y de control procesal”, y que aun esta resolución —primer acto de interposición judicial producido— fue adoptada cuando había transcurrido con exceso el plazo prescriptivo.</w:t>
      </w:r>
    </w:p>
    <w:p w:rsidR="0052098F" w:rsidRDefault="0052098F" w:rsidP="0052098F">
      <w:pPr>
        <w:pStyle w:val="TextoNormal"/>
      </w:pPr>
      <w:r>
        <w:lastRenderedPageBreak/>
        <w:t>Téngase presente que la inteligencia del carácter reforzado del canon de enjuiciamiento constitucional aplicable al caso de autos —el del art. 24 CE—, como se ha expuesto en el fundamento jurídico 7, parte de la idea de que la prescripción penal afecta a los derechos de libertad del art. 17 CE, “en cuanto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—STC 63/2001, de 17 de marzo, FJ 7 y demás anteriormente citadas. Al ser así, y al resultar toda la materia relativa a los casos en que está en juego el derecho a la libertad sometida al principio de legalidad por imposición de la propia Constitución (art. 25.1), resulta patente que los términos en que el instituto de la prescripción —un instituto regulado por normas penales, perteneciente al Derecho penal material “y, concretamente, a la noción del delito”, como ha tenido ocasión de declarar la Sala Segunda del Tribunal Supremo (v.gr.  SSTS 137/1997, de 8 de febrero, y 1211/1997, de 7 de octubre, entre otras)— venga regulado han de ser interpretados con particular rigor en tanto perjudiquen al reo.</w:t>
      </w:r>
    </w:p>
    <w:p w:rsidR="0052098F" w:rsidRDefault="0052098F" w:rsidP="0052098F">
      <w:pPr>
        <w:pStyle w:val="TextoNormal"/>
      </w:pPr>
      <w:r>
        <w:t>Por ello la jurisdicción constitucional no puede eludir la declaración de inconstitucionalidad en aquellos casos en los que la interpretación de la norma penal —en el de este proceso, la reguladora del instituto de la prescripción—, aunque no pueda ser tildada de irrazonable o arbitraria, lleve consigo, al exceder de su más directo significado gramatical, una aplicación extensiva o analógica en perjuicio del reo. Y es por ello también que la expresión “[la] prescripción se interrumpirá desde que el procedimiento se dirija contra el culpable” no pueda entenderse en sentido distinto al de su claro tenor literal, es decir, en el de que es indispensable para dicha interrupción que haya comenzado un procedimiento que, al tener que estar dirigido contra el culpable —cualquiera que sea la impropiedad con que este término haya sido empleado—, no puede ser otro que el procedimiento penal o, lo que es lo mismo, el abierto o iniciado por quien tiene atribuido el ejercicio del ius punendi del Estado en el actual estado de la legislación; esto es, el Juez. Utilizando palabras de la Sentencia de la Sala de lo Penal del Tribunal Supremo 753/2005, de 22 de junio, “el art. 132.2 del Código Penal, interpretado en la forma que impone su contexto normativo y con el rigor semántico que requiere el ius puniendi, obliga a entender que el único procedimiento cuyas actuaciones tienen legalmente la eficacia de interrumpir la prescripción es el propiamente criminal” y “que el momento que legalmente cuenta es el de iniciación del proceso penal stricto sensu contra los acusados”.</w:t>
      </w:r>
    </w:p>
    <w:p w:rsidR="0052098F" w:rsidRDefault="0052098F" w:rsidP="0052098F">
      <w:pPr>
        <w:pStyle w:val="TextoNormal"/>
      </w:pPr>
      <w:r>
        <w:t>No sobra señalar, en fin, que la doctrina constitucional ha entendido que la simple interposición de una denuncia o querella es una “solicitud de iniciación” del procedimiento (SSTC 11/1995, de 4 de julio, FJ 4; 63/2005, de 14 de marzo, FJ 8) —no un procedimiento ya iniciado— y que el derecho fundamental a la tutela judicial que asiste a los ofendidos por un delito como querellantes o denunciantes es un ius ut procedatur que no contiene un derecho absoluto a la apertura y plena sustanciación del proceso penal (por todas, SSTC 175/1989, de 30 de octubre, FJ 1; 111/1995, de 4 de julio, FJ 3; 129/2001, de 4 de junio, FJ 2; 21/2005, de 1 de febrero, FJ 4), a la incoación o apertura de una instrucción penal (SSTC 148/1987, de 28 de septiembre, FJ 2; 37/1993, de 8 de febrero, FJ 3; 138/1997, de 22 de julio, FJ 5; 94/2001, de 2 de abril, FJ 2).</w:t>
      </w:r>
    </w:p>
    <w:p w:rsidR="0052098F" w:rsidRDefault="0052098F" w:rsidP="0052098F">
      <w:pPr>
        <w:pStyle w:val="TextoNormal"/>
      </w:pPr>
    </w:p>
    <w:p w:rsidR="0052098F" w:rsidRDefault="0052098F" w:rsidP="0052098F">
      <w:pPr>
        <w:pStyle w:val="TextoNormal"/>
      </w:pPr>
      <w:r w:rsidRPr="0052098F">
        <w:rPr>
          <w:rStyle w:val="NumeroAFNegritaCaracter"/>
        </w:rPr>
        <w:t>11</w:t>
      </w:r>
      <w:r>
        <w:t xml:space="preserve">. Aparte de la cuestión de si puede entenderse que manifiestamente falta el nexo lógico entre la norma y la decisión adoptada o, en otros términos, si es en mayor o menor </w:t>
      </w:r>
      <w:r>
        <w:lastRenderedPageBreak/>
        <w:t>grado razonable la aplicación que del art. 114 CP se ha realizado en el caso, cuestión de la que se ha tratado en el fundamento jurídico que antecede, ha de profundizarse en la relativa a si la tutela prestada en la Sentencia frente a la que se demanda amparo ha sido efectiva y suficiente desde la perspectiva del derecho a la libertad que está en juego, cosa que sólo sucederá si dicha resolución ha ponderado suficientemente la presencia del derecho a la libertad en el trasfondo de la cuestión y si, en ello, la solución que incorpora es congruente con los fines a los que sirve la institución de la prescripción penal, tal y como hemos destacado en los dos fundamentos jurídicos que preceden y como este Tribunal ha mantenido en las Sentencias allí reseñadas.</w:t>
      </w:r>
    </w:p>
    <w:p w:rsidR="0052098F" w:rsidRDefault="0052098F" w:rsidP="0052098F">
      <w:pPr>
        <w:pStyle w:val="TextoNormal"/>
      </w:pPr>
      <w:r>
        <w:t>Por ello, a los solos efectos de analizar si la solución adoptada por la Sentencia recurrida es congruente con los fines del instituto de la prescripción penal, que es elemento integrante del canon de enjuiciamiento constitucional reforzado reiteradamente definido por este Tribunal en la materia (SSTC 157/1990, de 18 de octubre, FJ 3; 63/2001, de 17 de marzo, FJ 9, y demás citadas en el FJ 7 de la presente) y con independencia de los matices a los que pueda conducir la respuesta a la cuestión de los fines de la prescripción, es conveniente hacer constar que existe al respecto un cierto acuerdo doctrinal y jurisprudencial de base en torno a que el valor al que sirve es la seguridad jurídica, evitando una pendencia sine die de la amenaza penal sobre aquéllos a quienes pueda considerarse implicados en un delito. Así lo subrayábamos en la STC (Pleno) 157/1990, de 18 de octubre, al afirmar que “la prescripción de la infracción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lo que ha de ponerse en conexión también con el derecho a un proceso sin dilaciones indebidas (STC 17/1983).  La institución de la prescripción, en general, encuentra su propia justificación constitucional en el principio de seguridad jurídica consagrado de manera expresa en el art. 9.3 CE” (FJ 3).</w:t>
      </w:r>
    </w:p>
    <w:p w:rsidR="0052098F" w:rsidRDefault="0052098F" w:rsidP="0052098F">
      <w:pPr>
        <w:pStyle w:val="TextoNormal"/>
      </w:pPr>
      <w:r>
        <w:t>La prescripción, en fin, no se vincula sólo al paso del tiempo, sino que, como se ha dicho en el fundamento jurídico anterior y después se reiterará, se relaciona con la actividad judicial a través de la cual se ejerce el ius puniendi del Estado, lo que sin duda sirve tanto a la acomodación del momento de la prescripción a la complejidad de la causa como al aliento de la diligencia en tal ejercicio.</w:t>
      </w:r>
    </w:p>
    <w:p w:rsidR="0052098F" w:rsidRDefault="0052098F" w:rsidP="0052098F">
      <w:pPr>
        <w:pStyle w:val="TextoNormal"/>
      </w:pPr>
    </w:p>
    <w:p w:rsidR="0052098F" w:rsidRDefault="0052098F" w:rsidP="0052098F">
      <w:pPr>
        <w:pStyle w:val="TextoNormal"/>
      </w:pPr>
      <w:r w:rsidRPr="0052098F">
        <w:rPr>
          <w:rStyle w:val="NumeroAFNegritaCaracter"/>
        </w:rPr>
        <w:t>12</w:t>
      </w:r>
      <w:r>
        <w:t>. Es con esta perspectiva de consistencia axiológica con los fines de la prescripción desde la que estimamos que la decisión adoptada por el Tribunal Supremo no es constitutiva de la tutela judicial reforzada a la que tenían derecho los recurrentes.  Tal decisión consistió, recordémoslo de nuevo, en negar que hubieran prescrito los delitos que se enjuiciaban y en afirmar para ello que en el momento de finalización del plazo prescriptivo se dirigía ya el procedimiento contra quienes luego resultarían imputados. Su inidoneidad para satisfacer dicha tutela judicial reforzada por estar implicado el derecho a la libertad deriva de las siguientes consideraciones:</w:t>
      </w:r>
    </w:p>
    <w:p w:rsidR="0052098F" w:rsidRDefault="0052098F" w:rsidP="0052098F">
      <w:pPr>
        <w:pStyle w:val="TextoNormal"/>
      </w:pPr>
      <w:r>
        <w:t xml:space="preserve">a) A efectos de razonar sobre la congruencia de la solución adoptada por la Sentencia aquí impugnada con los fines del instituto de la prescripción de las infracciones penales, que es elemento integrante del canon de enjuiciamiento constitucional que hemos definido en el fundamento jurídico 7 de la presente de acuerdo con una consolidada doctrina de este Tribunal, ha de destacarse, en primer lugar, que dicha solución no aparece suficientemente </w:t>
      </w:r>
      <w:r>
        <w:lastRenderedPageBreak/>
        <w:t>ajustada al valor de la seguridad jurídica, que constituye finalidad primordial de la prescripción y que exigía, ante la implicación del derecho a la libertad, una ponderación especial que evitara una interpretación contra el reo que en el caso aquí enjuiciado se ha producido.</w:t>
      </w:r>
    </w:p>
    <w:p w:rsidR="0052098F" w:rsidRDefault="0052098F" w:rsidP="0052098F">
      <w:pPr>
        <w:pStyle w:val="TextoNormal"/>
      </w:pPr>
      <w:r>
        <w:t>En efecto, al fijar como momento interruptivo de la prescripción, no ya el público y formal relativo a la decisión judicial de iniciación de un procedimiento jurisdiccional, sino el de mera recepción por parte del órgano judicial de la notitia criminis, ha atendido a una circunstancia no rodeada de una publicidad y cognoscibilidad mínima y por ello inidónea como soporte de una interpretación constitucionalmente admisible para delimitar una institución que sirve precisamente a la seguridad jurídica en relación con la libertad.</w:t>
      </w:r>
    </w:p>
    <w:p w:rsidR="0052098F" w:rsidRDefault="0052098F" w:rsidP="0052098F">
      <w:pPr>
        <w:pStyle w:val="TextoNormal"/>
      </w:pPr>
      <w:r>
        <w:t>Como se ha dicho anteriormente, la Sentencia aquí impugnada razona en su fundamento de Derecho primero que “existió, a su vez, procedimiento judicial que se colma, según jurisprudencia de esta Sala, con la anotación en el registro general del Juzgado (S.  núm. 162 de 4-2-2003), circunstancia que dota de certeza y de seguridad jurídica a la hora de computar los términos (art. 9.3 CE)”. Sin embargo solo aparentemente la referencia al momento del registro del escrito de querella, denuncia o cualquier otro que incorpore una notitia criminis sin la exigencia de un acto de interposición judicial puede dotar de certeza y seguridad al cómputo de los plazos de prescripción de las infracciones penales, en cuanto abre la posibilidad de consecuencias lesivas de otros derechos fundamentales y a la postre puede conducir a mayor inseguridad que la que pretende evitar.</w:t>
      </w:r>
    </w:p>
    <w:p w:rsidR="0052098F" w:rsidRDefault="0052098F" w:rsidP="0052098F">
      <w:pPr>
        <w:pStyle w:val="TextoNormal"/>
      </w:pPr>
      <w:r>
        <w:t>Y es que admitir la interrupción de que aquí se trata por la mera presentación y registro de una querella o denuncia significa tanto como dar pie a la posibilidad de que, mediante querellas o denuncias carentes de fundamentación, y por tanto rechazables liminarmente, pueda impedirse la prescripción de una infracción penal o se dilaten indefinidamente los plazos legales establecidos. Y ello a voluntad no del órgano que tiene atribuido el ejercicio del ius puniendi del Estado, sino del particular interesado en que así ocurra y con una clara incidencia, potencialmente lesiva, sobre derechos fundamentales del querellado o del denunciado, singularmente el de defensa.</w:t>
      </w:r>
    </w:p>
    <w:p w:rsidR="0052098F" w:rsidRDefault="0052098F" w:rsidP="0052098F">
      <w:pPr>
        <w:pStyle w:val="TextoNormal"/>
      </w:pPr>
      <w:r>
        <w:t>Puede igualmente suponer que el mero registro en un Juzgado de cualquier escrito que contenga una notitia criminis, incluso del que puede transmitir un medio de comunicación, despliegue inmediatamente ese efecto y, en tales supuestos, que podrían multiplicarse ad infinitum, tener nada menos que la consideración de procedimiento penal o, si se quiere, de apertura o de inicio de procedimiento penal.</w:t>
      </w:r>
    </w:p>
    <w:p w:rsidR="0052098F" w:rsidRDefault="0052098F" w:rsidP="0052098F">
      <w:pPr>
        <w:pStyle w:val="TextoNormal"/>
      </w:pPr>
      <w:r>
        <w:t>Pero aún hay más: incluso admitiendo que tales anomalías quedaran compensadas por la seguridad y certeza que pueda proporcionar la fecha de un registro, en aquellos casos en que el acto de interposición judicial se dilatara en el tiempo siempre resultaría necesario prevenir o evitar la vulneración de los derechos fundamentales del afectado, tanto para la jurisdicción ordinaria, preferentemente, como para la constitucional, subsidiariamente, tan pronto se actuara por el lesionado en demanda de su tutela cumpliendo los requisitos legalmente establecidos para recurrir a una u otra vía.</w:t>
      </w:r>
    </w:p>
    <w:p w:rsidR="0052098F" w:rsidRDefault="0052098F" w:rsidP="0052098F">
      <w:pPr>
        <w:pStyle w:val="TextoNormal"/>
      </w:pPr>
      <w:r>
        <w:t xml:space="preserve">El caso resuelto por la STC 63/2005, de 14 de marzo, constituye un claro ejemplo de necesidad de otorgamiento del amparo no sólo por la imposibilidad de apreciar un nexo de coherencia entre la decisión judicial de considerar interrumpido el plazo prescriptivo por la mera presentación de una querella, la norma que le sirve de fundamento y los fines de la institución estando implicada la libertad, sino también aunque se hubiera podido partir de que el problema era de mera legalidad ordinaria y de que en tal concepto estaba sustraído a la jurisdicción de este Tribunal, habida cuenta de que, como se sostiene en los dos Votos concurrentes —no discrepantes— que acompañaron a dicha Sentencia, la estimación del </w:t>
      </w:r>
      <w:r>
        <w:lastRenderedPageBreak/>
        <w:t>amparo estaría justificada por el considerable lapso de tiempo que transcurrió entre el registro de la querella y el acto de interposición judicial. La incertidumbre, precisamente, que supone fijar cuál deba ser el máximo de dilación permisible contribuye a introducir la máxima inseguridad en este punto. Resulta significativo al respecto que la propia Sala Segunda del Tribunal Supremo, en Sentencias 331/2006 y 1026/2006, respectivamente de 24 de marzo y 28 de octubre de 2006, haya declarado que una de las razones para no aplicar al caso enjuiciado la doctrina de la STC 63/2005 (que por lo demás no hacía falta, porque en los casos por ellas examinados se habían practicado diligencias judiciales de investigación o de iniciación que suponían la existencia de un verdadero procedimiento jurisdiccional y, por tanto, de actos de interposición judicial) era la de que la Sentencia constitucional acabada de mencionar contemplaba “un caso excepcional de presentación de querella que permanece dormida en el Juzgado durante dos años sin adoptar proveído alguno”. Claramente, por tanto, admite la posibilidad de que la fecha de registro de la querella, denuncia o escrito transmisor de la notitia criminis no pueda ser tenida en cuenta precisamente por la desmesura de la conclusión.  La inseguridad, pues, de la determinación del dies a quo del plazo prescriptivo en tales casos resulta patente.</w:t>
      </w:r>
    </w:p>
    <w:p w:rsidR="0052098F" w:rsidRDefault="0052098F" w:rsidP="0052098F">
      <w:pPr>
        <w:pStyle w:val="TextoNormal"/>
      </w:pPr>
      <w:r>
        <w:t>b) Con independencia de lo anterior, en segundo término, el mismo canon de enjuiciamiento constitucional reforzado que hemos enunciado por implicación del derecho a la libertad, obliga a exigir que el momento interruptivo de la prescripción ex art. 114 CP (1973) o ex art. 132.2 CP (1995) se refiera al del ejercicio del ius puniendi o, al menos, quede razonablemente vinculado con él.</w:t>
      </w:r>
    </w:p>
    <w:p w:rsidR="0052098F" w:rsidRDefault="0052098F" w:rsidP="0052098F">
      <w:pPr>
        <w:pStyle w:val="TextoNormal"/>
      </w:pPr>
      <w:r>
        <w:t>El Tribunal Constitucional, en consolidada doctrina que coincide con la mantenida por el Tribunal Supremo (por todas SSTS, Sala Segunda, núms. 417/2006 y 1146/2006, de fechas 6 de abril y 22 de noviembre del mismo año, FFJJ 3 y 1, respectivamente), tiene declarado que el fin o fundamento de la prescripción en materia punitiva reside en la “autolimitación del Estado en la persecución de los delitos o faltas en los supuestos típicos en que se produce una paralización de las actuaciones procesales por causas sólo imputables al órgano judicial, en cuyo caso, una vez transcurrido un determinado plazo, la ley desapodera a dicho órgano judicial de su potestad de imposición de la correspondiente pena” (STC 83/1989, de 10 de mayo. FJ 2), criterio este de que la prescripción en materia penal supone “una renuncia o autolimitación del Estado al ius puniendi por el transcurso del tiempo”, que ha sido corroborado posteriormente, y con las mismas palabras, por múltiples Sentencias (v.gr. SSTC, ya antes citadas, 63/2001, de 17 de marzo, FJ 7; 64/2001, de 17 de marzo, FJ 3.a;65/2001, de 17 de marzo, FJ 3.a; 66/2001, de 17 de marzo, FJ 3.a, 68/2001, de 17 de marzo, FJ 6, 69/2001, de 17 de marzo, FJ 3,a, 70/2001, de 17 de marzo, FJ 3, y 11/2004, de 9 de febrero, FJ 2). De todas ellas y de la doctrina que sientan se desprende inequívocamente que la prescripción en el ámbito punitivo está conectada al derecho fundamental a la libertad (art.  17 CE) y por ende sin posibilidad de interpretaciones in malam partem (art.  25.1 CE); que está al servicio de la seguridad jurídica de los imputados y que implica, no una limitación del derecho de los ciudadanos al ejercicio de la acción penal mediante la presentación de una denuncia o querella, sino una limitación al ejercicio del ius puniendi del Estado como consecuencia de su renuncia al mismo, renuncia que se entiende producida —impidiendo entonces la persecución del delito— cuando el Estado no realiza las actuaciones dirigidas a su averiguación y castigo durante el periodo de tiempo establecido por la ley; inactividad o falta de ejercicio del ius punendi que, como advertíamos tempranamente en la citada STC 83/1989, de 10 de mayo, FJ 2, para que determine la prescripción, debe ser imputable al Juez.</w:t>
      </w:r>
    </w:p>
    <w:p w:rsidR="0052098F" w:rsidRDefault="0052098F" w:rsidP="0052098F">
      <w:pPr>
        <w:pStyle w:val="TextoNormal"/>
      </w:pPr>
      <w:r>
        <w:lastRenderedPageBreak/>
        <w:t>Pues bien; si el fundamento de la prescripción es la imposibilidad de ejercicio del ius puniendi del Estado como consecuencia de la renuncia al mismo, es evidente que sólo puede interrumpirse en el ámbito penal cuando se realicen actuaciones (naturalmente, por quien tenga la competencia para ejercer el ius puniendi en dicho campo, quien en el actual estado de nuestra legislación únicamente puede ser el Juez) de las que pueda deducirse la voluntad de no renunciar a la persecución y castigo del ilícito.</w:t>
      </w:r>
    </w:p>
    <w:p w:rsidR="0052098F" w:rsidRDefault="0052098F" w:rsidP="0052098F">
      <w:pPr>
        <w:pStyle w:val="TextoNormal"/>
      </w:pPr>
      <w:r>
        <w:t>La debilidad axiológica de la interpretación aquí impugnada radica, pues, en que, al prescindir de una efectiva actividad pública de ejercicio procedimental del ius puniendi, contraría el propio presupuesto de la prescripción, que es el de la renuncia al ius puniendi por la pasividad pública en su ejercicio.</w:t>
      </w:r>
    </w:p>
    <w:p w:rsidR="0052098F" w:rsidRDefault="0052098F" w:rsidP="0052098F">
      <w:pPr>
        <w:pStyle w:val="TextoNormal"/>
      </w:pPr>
      <w:r>
        <w:t>c) En tercer lugar, con la exigencia de un acto de interposición judicial para entender iniciado un procedimiento (en el sentido de que ello sólo puede ser mediante un acto realizado por quien tenga atribuido el ius puniendi del Estado, porque “el único procedimiento cuyas actuaciones tienen legalmente la eficacia de interrumpir la prescripción es el propiamente criminal”, como se ha dicho antes con palabras de la STS, Sala Segunda, 753/2005, de 22 de junio) este Tribunal no extravasa su competencia arrogándose interpretaciones que, por ser de mera legalidad, corresponde hacer a la jurisdicción ordinaria.</w:t>
      </w:r>
    </w:p>
    <w:p w:rsidR="0052098F" w:rsidRDefault="0052098F" w:rsidP="0052098F">
      <w:pPr>
        <w:pStyle w:val="TextoNormal"/>
      </w:pPr>
      <w:r>
        <w:t>Hemos destacado con anterioridad —FJ 7 de la presente Sentencia— la reiterada doctrina constitucional que, interpretando el verdadero significado de la expresión relativa a que el tema de la prescripción de infracciones penales es de legalidad ordinaria, ha declarado que “una vez que el legislador ha configurado libremente la institución de la prescripción como causa de extinción de la responsabilidad criminal, su aplicación al caso concreto puede ser objeto de examen constitucional en sede de amparo”; y que “el canon aplicable es el propio del art. 24 CE … canon éste reforzado por tratarse de un supuesto en el que están en juego otros derechos fundamentales, como aquí sucede con los reconocidos en los arts. 17 y 25 CE” (STC 63/2001, de 17 de marzo, FJ 7 y demás Sentencias citadas en el mencionado FJ 7 de la presente).</w:t>
      </w:r>
    </w:p>
    <w:p w:rsidR="0052098F" w:rsidRDefault="0052098F" w:rsidP="0052098F">
      <w:pPr>
        <w:pStyle w:val="TextoNormal"/>
      </w:pPr>
      <w:r>
        <w:t>Hemos destacado igualmente (FJ 9 de la presente Sentencia) que este mismo Tribunal ha entendido que la simple interposición de una denuncia es una “solicitud de iniciación” del procedimiento (SSTC 11/1995, de 4 de julio, FJ 4, y 63/2005, de 14 de marzo, FJ 8), y que el derecho fundamental a la tutela judicial que asiste a los ofendidos por un delito como querellantes o denunciantes es un ius ut procedatur que no contiene un derecho absoluto a la apertura y plena sustanciación del proceso penal, del mismo modo que hemos explicado (FJ 9) en qué consiste el canon reforzado de enjuiciamiento que ha de utilizarse cuando la aplicación de una materia de libre configuración por el legislador ordinario, como ocurre con el instituto de la prescripción, afecta a otros derechos fundamentales, concretamente al derecho a la libertad (art. 17 CE), sometido al principio de legalidad y por ello de interpretación rigurosa en cuanto pueda perjudicar al reo (art. 25.1 CE).</w:t>
      </w:r>
    </w:p>
    <w:p w:rsidR="0052098F" w:rsidRDefault="0052098F" w:rsidP="0052098F">
      <w:pPr>
        <w:pStyle w:val="TextoNormal"/>
      </w:pPr>
      <w:r>
        <w:t>Por último hemos resaltado que, en coherencia con el fundamento y fines de la prescripción en materia penal, y por su conexión, como acaba de decirse, con el derecho a la libertad y con la necesidad de interpretación rigurosa, no podía entenderse conforme con la exigencia reforzada de la razonabilidad (sumisión a estrictos parámetros de lógica) una interpretación que desvinculara el procedimiento criminal —que el art. 114 CP 1973 exigía y el art. 132.2 del vigente requiere— de un indispensable acto de interposición judicial, sin el cual, si no podría nunca hablarse de procedimiento jurisdiccional abierto o iniciado, menos aún podría sostenerse que ese inexistente procedimiento había podido dirigirse contra alguien.</w:t>
      </w:r>
    </w:p>
    <w:p w:rsidR="0052098F" w:rsidRDefault="0052098F" w:rsidP="0052098F">
      <w:pPr>
        <w:pStyle w:val="TextoNormal"/>
      </w:pPr>
      <w:r>
        <w:lastRenderedPageBreak/>
        <w:t>Pero, por supuesto, excedería de la competencia de este Tribunal la determinación de la intensidad o calidad de dicha actuación judicial para entender interrumpido el lapso prescriptivo de las infracciones penales, por ser esta materia de la competencia de la jurisdicción ordinaria y, naturalmente, del Tribunal Supremo como “órgano jurisdiccional superior en todos los órdenes salvo lo dispuesto en materia de garantías constitucionales” (art. 123 CE). Así, en función de cada caso concreto, y por lo que respecta al Tribunal Supremo, se ha podido señalar como momento interruptivo tanto el acto judicial de imputación o citación como imputado del querellado o denunciado, como el de apertura de la investigación judicial determinada por el traslado de la notitia criminis al órgano jurisdiccional correspondiente, inclusive en el caso de delitos atribuidos a una colectividad de sujetos y respecto de los no inicialmente determinados o nominados, o el de admisión de la denuncia o querella, conforme resulta de las SSTS, Sala Segunda, entre otras, 643/2005, de 19 de mayo; 753/2005, de 22 de junio; 869/2005, de 1 de julio; 331/2006, de 24 de marzo; 671/2006, de 21 de junio, y 1026/2006, de 28 de octubre, con la particularidad de que estas tres últimas, aun siguiendo el criterio de que la mera presentación de una denuncia o querella significa procedimiento a efectos de interrupción de la prescripción, reconocen expresamente la existencia de actos de interposición judicial que hubieran determinado por sí mismos la interrupción de la prescripción. Ni siquiera, en el caso examinado, es necesario extraer consecuencia alguna derivada de las locuciones utilizadas por el Auto del Juzgado de Instrucción núm. 18 de Madrid, de 20 de enero de 1993, relativas a que la iniciación de las diligencias previas que acordaba (“Auto de incoación de previas”, reza textualmente su cabecera) se hacía “a los únicos fines registrales y de control procesal”. Lo único que interesa resaltar es que ese Auto, primer acto de interposición judicial producido, cualquiera que fuera su significación, se dictó trece días después del vencimiento del plazo de prescripción, conforme se hizo constar en el fundamento jurídico 9 de la presente.</w:t>
      </w:r>
    </w:p>
    <w:p w:rsidR="0052098F" w:rsidRDefault="0052098F" w:rsidP="0052098F">
      <w:pPr>
        <w:pStyle w:val="TextoNormal"/>
      </w:pPr>
    </w:p>
    <w:p w:rsidR="0052098F" w:rsidRDefault="0052098F" w:rsidP="0052098F">
      <w:pPr>
        <w:pStyle w:val="TextoNormal"/>
      </w:pPr>
      <w:r w:rsidRPr="0052098F">
        <w:rPr>
          <w:rStyle w:val="NumeroAFNegritaCaracter"/>
        </w:rPr>
        <w:t>13</w:t>
      </w:r>
      <w:r>
        <w:t>. En suma: la consideración por parte de la Sala de lo Penal del Tribunal Supremo de que la mera recepción del escrito presentado el día 6 de enero de 1993 significaba ya que “el procedimiento se dirigía contra el culpable” constituye, en el caso aquí enjuiciado, una interpretación y aplicación del art. 114 del Código penal de 1973 lesiva del derecho fundamental de los recurrentes a la tutela judicial efectiva (art. 24.1 CE) en cuanto insuficientemente respetuosa del derecho a la libertad (art.  17.1 CE) que estaba en el trasfondo de la decisión. Hemos pues de otorgar en este punto el amparo que se nos solicitaba y declarar la nulidad de la Sentencia impugnada a este respecto, que es sólo la dictada en casación. A la vista de la índole de la vulneración declarada (tutela defectuosa en materia de prescripción) y de que a partir de los hechos enjuiciados el restablecimiento del derecho pasa por la estimación de la concurrencia de la prescripción en este caso, la naturaleza sustantiva del derecho fundamental vulnerado y la innecesariedad de un nuevo enjuiciamiento que no estaría destinado a corregir el desconocimiento en contra de los recurrentes de normas procesales con relevancia constitucional, hace improcedente la retroacción de actuaciones como consecuencia del otorgamiento del amparo (SSTC 157/1989, de 26 de octubre, FJ 3, y 4/2004, de 16 de enero, FJ 4).</w:t>
      </w:r>
    </w:p>
    <w:p w:rsidR="0052098F" w:rsidRDefault="0052098F" w:rsidP="0052098F">
      <w:pPr>
        <w:pStyle w:val="TextoNormal"/>
      </w:pPr>
      <w:r>
        <w:t>La anulación del fallo por el motivo acabado de expresar hace innecesario también el pronunciamiento sobre las quejas que se sustentaban en torno a la negación de la prescripción como causa de la vulneración del derecho a la igualdad (art. 14 CE) y a la vulneración de la legalidad penal, ésta en cuanto comprensiva, en el entender de la demanda, del derecho a la irretroctividad de las interpretaciones jurisprudenciales desfavorables (art. 25.1 CE).</w:t>
      </w:r>
    </w:p>
    <w:p w:rsidR="0052098F" w:rsidRDefault="0052098F" w:rsidP="0052098F">
      <w:pPr>
        <w:pStyle w:val="TextoNormal"/>
      </w:pPr>
    </w:p>
    <w:p w:rsidR="0052098F" w:rsidRDefault="0052098F" w:rsidP="0052098F">
      <w:pPr>
        <w:pStyle w:val="TextoNormalCentrado"/>
        <w:keepNext/>
      </w:pPr>
      <w:r>
        <w:lastRenderedPageBreak/>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parcialmente el amparo solicitado por don Alberto Cortina de Alcocer y don Alberto de Alcocer Torra y, en su virtud:</w:t>
      </w:r>
    </w:p>
    <w:p w:rsidR="0052098F" w:rsidRDefault="0052098F" w:rsidP="0052098F">
      <w:pPr>
        <w:pStyle w:val="TextoNormal"/>
      </w:pPr>
      <w:r>
        <w:t>1º Declarar que ha sido vulnerado el derechos de los demandantes a la tutela judicial efectiva (art. 24.1 CE) en relación con su derecho a la libertad personal (art. 17.1 CE).</w:t>
      </w:r>
    </w:p>
    <w:p w:rsidR="0052098F" w:rsidRDefault="0052098F" w:rsidP="0052098F">
      <w:pPr>
        <w:pStyle w:val="TextoNormal"/>
      </w:pPr>
      <w:r>
        <w:t>2º Restablecerlos en la integridad de su derecho y, a tal fin, anular la Sentencia de la Sala de lo Penal del Tribunal Supremo 298/2003, de 14 de marzo.</w:t>
      </w:r>
    </w:p>
    <w:p w:rsidR="0052098F" w:rsidRDefault="0052098F" w:rsidP="0052098F">
      <w:pPr>
        <w:pStyle w:val="TextoNormal"/>
      </w:pPr>
      <w:r>
        <w:t>3º Desestimar la demanda de amparo en lo demás.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veinte de febrero de dos mil ocho.</w:t>
      </w:r>
    </w:p>
    <w:p w:rsidR="0052098F" w:rsidRDefault="0052098F" w:rsidP="0052098F">
      <w:pPr>
        <w:pStyle w:val="ParrafoNormal"/>
      </w:pPr>
    </w:p>
    <w:p w:rsidR="0052098F" w:rsidRDefault="0052098F" w:rsidP="0052098F">
      <w:pPr>
        <w:pStyle w:val="TextoNormalNegritaCentrado"/>
        <w:keepNext/>
      </w:pPr>
      <w:r>
        <w:t>Voto particular que formula el Magistrado don Ramón Rodríguez Arribas en la Sentencia dictada en los recursos de amparo, acumulados, núms. 1907-2003 y 1911-2003.</w:t>
      </w:r>
    </w:p>
    <w:p w:rsidR="0052098F" w:rsidRDefault="0052098F" w:rsidP="0052098F">
      <w:pPr>
        <w:pStyle w:val="TextoNormalNegritaCentrado"/>
        <w:keepNext/>
      </w:pPr>
    </w:p>
    <w:p w:rsidR="0052098F" w:rsidRDefault="0052098F" w:rsidP="0052098F">
      <w:pPr>
        <w:pStyle w:val="TextoNormal"/>
      </w:pPr>
      <w:r>
        <w:t>Haciendo uso de la facultad atribuida a los Magistrados del Tribunal Constitucional por el apartado 2 del art. 90 LOTC expreso en este Voto particular y con pleno respeto a la opinión de la mayoría, mi discrepancia, defendida en la correspondiente deliberación de la Sala Segunda, que fundo en las siguientes consideraciones:</w:t>
      </w:r>
    </w:p>
    <w:p w:rsidR="0052098F" w:rsidRDefault="0052098F" w:rsidP="0052098F">
      <w:pPr>
        <w:pStyle w:val="TextoNormal"/>
      </w:pPr>
      <w:r>
        <w:t>1. He de comenzar por reiterar que como ya dije en mi Voto particular concurrente expresado con respecto a la Sentencia 163/2005, de 14 de marzo, “Las Sentencias y Autos que hasta ahora —esto es hasta la STC citada— ha dictado este Tribunal en relación con la prescripción penal, así entre las más antiguas la STC 301/1994 hasta el reciente ATC 340/2004, de 13 de septiembre, pasando por la serie de Sentencias 63, 64, 65 y 66 de 2001, han partido de una constante doctrina en la que, por un lado, se ‘ha señalado que la apreciación del sentido y alcance del instituto jurídico de la prescripción, como causa extintiva de la responsabilidad penal, es una cuestión de legalidad, que corresponde a los órganos judiciales ordinarios y sobre cuya procedencia no puede entrar este Tribunal desde la perspectiva del derecho a la tutela judicial efectiva (SSTC 152/1987, y 157/1990)’, y por otro lado ‘también ha afirmado que corresponde al mismo, como garante último del derecho fundamental a obtener la tutela judicial efectiva de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resulte de un error patente con relevancia constitucional (SSTC 23/1987, 36/1988, 149/1989, 63/1990, 164/1990. 192/1992 y 55/1993)’, conforme se recoge en la serie de Sentencias que citamos al principio”.</w:t>
      </w:r>
    </w:p>
    <w:p w:rsidR="0052098F" w:rsidRDefault="0052098F" w:rsidP="0052098F">
      <w:pPr>
        <w:pStyle w:val="TextoNormal"/>
      </w:pPr>
      <w:r>
        <w:lastRenderedPageBreak/>
        <w:t>“En definitiva, la interpretación del precepto regulador de la prescripción penal es una cuestión de legalidad ordinaria que solo puede ser examinada en amparo con arreglo al canon del art.  24.1 CE, es decir, comprobando si existe razonabilidad y ausencia de arbitrariedad o error patente, en el caso concreto”.</w:t>
      </w:r>
    </w:p>
    <w:p w:rsidR="0052098F" w:rsidRDefault="0052098F" w:rsidP="0052098F">
      <w:pPr>
        <w:pStyle w:val="TextoNormal"/>
      </w:pPr>
      <w:r>
        <w:t>“El referido y hasta ahora invariable criterio ha supuesto que los casos que nos son sometidos, han de examinarse uno por uno, con un inevitable y obligado casuismo, sin establecer ninguna doctrina interpretativa general que, por sugestiva y acertada que se presente, puede invadir las funciones que son propias de la jurisdicción ordinaria, conforme al art. 117 CE y singularmente, de la Sala Segunda del Tribunal Supremo, la que, por otra parte, en esta cuestión tampoco ha tenido un criterio uniforme”.</w:t>
      </w:r>
    </w:p>
    <w:p w:rsidR="0052098F" w:rsidRDefault="0052098F" w:rsidP="0052098F">
      <w:pPr>
        <w:pStyle w:val="TextoNormal"/>
      </w:pPr>
      <w:r>
        <w:t>2. En el presente caso la Sentencia de la que discrepo hace un esfuerzo para tratar de ceñirse al caso concreto, pero se extiende en una serie de consideraciones genéricas que, a mi juicio, invaden funciones interpretativas que corresponden a la jurisdicción ordinaria y, de otro lado, tampoco comparto el análisis específico que se hace respecto de las circunstancias que concurren sobre la discutida prescripción.</w:t>
      </w:r>
    </w:p>
    <w:p w:rsidR="0052098F" w:rsidRDefault="0052098F" w:rsidP="0052098F">
      <w:pPr>
        <w:pStyle w:val="TextoNormal"/>
      </w:pPr>
      <w:r>
        <w:t>3. En cuanto a lo primero, se viene a establecer un matizado canon de constitucionalidad en relación con las Sentencias penales, configurado por el tradicional de este Tribunal de que la interpretación y aplicación de un precepto punitivo no incurra en arbitrariedad, irrazonabilidad o error patente para ser conforme a la exigencia de la tutela judicial efectiva del art. 24 de la Constitución, que ha de ser reforzada en su motivación cuando, además, esté afectado otro derecho fundamental y ahora —y este es el matiz— en el concreto caso de la prescripción de los delitos a ese reforzamiento, por la específica relación con el derecho a la libertad (art. 17 CE) se añade una rígida exigencia de aplicación restrictiva en la interpretación de las causas de interrupción del plazo prescriptivo.</w:t>
      </w:r>
    </w:p>
    <w:p w:rsidR="0052098F" w:rsidRDefault="0052098F" w:rsidP="0052098F">
      <w:pPr>
        <w:pStyle w:val="TextoNormal"/>
      </w:pPr>
      <w:r>
        <w:t>Pues bien, no puedo compartir esta tesis, porque, además de apartarse aún más que la STC 63/2005 de nuestra doctrina anterior sobre la naturaleza de pura legalidad ordinaria de cuanto afecta a la prescripción, cuya interpretación y aplicación no nos corresponde, apunta a la posible construcción, a favor de los responsables de un delito, de un cierto derecho a que éste prescriba, cuando la institución de la prescripción a lo que sirve esencialmente es a la seguridad jurídica (art. 9.3 CE) que no genera ningún derecho fundamental constitucionalmente susceptible de amparo.</w:t>
      </w:r>
    </w:p>
    <w:p w:rsidR="0052098F" w:rsidRDefault="0052098F" w:rsidP="0052098F">
      <w:pPr>
        <w:pStyle w:val="TextoNormal"/>
      </w:pPr>
      <w:r>
        <w:t>Por el contrario, ante una decisión judicial interpretadora de la legalidad ordinaria (del art.  114 último inciso, del párrafo 2 del Código penal de 1973, ahora art. 132.2 del vigente) como ya dije en mi Voto concurrente a la STC 63/2005 y he recordado al principio reproduciendo doctrina de este Tribunal allí también invocada, en los casos, como el presente, que nos son sometidos han de analizarse uno por uno, examinando los motivos y argumentos en que se funda la decisión judicial, al objeto de comprobar si es arbitraria, irrazonable o incursa en error patente y a ello debe limitarse nuestra función, sin extender el canon más allá de la reforzada motivación cuando además del derecho del art. 24 CE se afecte algún otro derecho fundamental.</w:t>
      </w:r>
    </w:p>
    <w:p w:rsidR="0052098F" w:rsidRDefault="0052098F" w:rsidP="0052098F">
      <w:pPr>
        <w:pStyle w:val="TextoNormal"/>
      </w:pPr>
      <w:r>
        <w:t>La Sentencia de la que discrepo reconoce que la fundamentación del impugnado fallo del Tribunal Supremo no incurre en error patente y que ni siquiera puede ser “tildada de irrazonable o arbitraria”, llegando no obstante, a otorgar el amparo al considerar que dicha interpretación de la norma penal de la prescripción, “al exceder de su más directo significado gramatical”, lleva consigo “una aplicación extensiva o analógica de aquélla en perjuicio del reo”, ampliando así nuestro canon, criterio que reitero no compartir.</w:t>
      </w:r>
    </w:p>
    <w:p w:rsidR="0052098F" w:rsidRDefault="0052098F" w:rsidP="0052098F">
      <w:pPr>
        <w:pStyle w:val="TextoNormal"/>
      </w:pPr>
      <w:r>
        <w:t xml:space="preserve">4. Cierto es que el instituto de la prescripción pone límites temporales al ejercicio por el Estado del ius puniendi en aras de la seguridad jurídica y que no caben interpretaciones </w:t>
      </w:r>
      <w:r>
        <w:lastRenderedPageBreak/>
        <w:t>extensivas o analógicas en perjuicio del reo que prolonguen el plazo de aquel ejercicio, pero ni estimo que en tal defecto incurra la interpretación formulada por la Sala Segunda del Tribunal Supremo, ni tampoco creo que sean constitucionalmente imponibles a la jurisdicción ordinaria interpretaciones tan estrictas que puedan conducir a privar a la víctima de un delito de su derecho a que el Estado actúe, dentro del plazo legal pero en toda su extensión, contra quien la convirtió en perjudicada por una conducta ilícita, obligando incluso a prevenir los retrasos de los órganos jurisdiccionales para calcular cuántos días antes de la fecha límite del período prescriptivo ha de actuar para evitar que el delito quede impune.</w:t>
      </w:r>
    </w:p>
    <w:p w:rsidR="0052098F" w:rsidRDefault="0052098F" w:rsidP="0052098F">
      <w:pPr>
        <w:pStyle w:val="TextoNormal"/>
      </w:pPr>
      <w:r>
        <w:t>En efecto, una cosa es que el órgano jurisdiccional del Estado, encargado de la persecución de un delito, no lo haga durante el plazo prescriptivo o abandone esa persecución durante el mismo plazo, con la consiguiente presunción de renuncia del ius puniendi y otra cosa, que hay que ponderar también constitucionalmente en cada caso, es que desaparezca prácticamente el ius ut procedatur de la víctima del delito, que si bien no supone un derecho a que se siga el proceso completo, ni siquiera a que se inicie, al menos exige que una vez advertido el órgano competente, por la presentación de la denuncia o la querella, de la posible existencia del delito, actúe en un plazo razonable, ejercitando el ius puniendi del Estado, si procede, de manera que no se reduzca sistemáticamente el plazo prescriptivo, pues también esa incertidumbre lesionaría la seguridad jurídica, que es precisamente el principio que inspira la institución de la prescripción.</w:t>
      </w:r>
    </w:p>
    <w:p w:rsidR="0052098F" w:rsidRDefault="0052098F" w:rsidP="0052098F">
      <w:pPr>
        <w:pStyle w:val="TextoNormal"/>
      </w:pPr>
      <w:r>
        <w:t>Es más, de generalizarse esta doctrina, podría resentirse el sistema judicial, convirtiendo una garantía a favor del reo en instrumento, o al menos causa involuntaria, de impunidad de las infracciones penales, propiciándose su prescripción sobre todo de las de menor gravedad y mayor frecuencia, dado el cúmulo de trabajo de los órganos jurisdiccionales.</w:t>
      </w:r>
    </w:p>
    <w:p w:rsidR="0052098F" w:rsidRDefault="0052098F" w:rsidP="0052098F">
      <w:pPr>
        <w:pStyle w:val="TextoNormal"/>
      </w:pPr>
      <w:r>
        <w:t>5. En el análisis del caso concreto, tampoco comparto las conclusiones de la Sentencia de la mayoría, distinguiendo entre la cuestión de si la interposición de una querella es o no causa interruptiva de la prescripción y la cuestión de autos que se sitúa en la falta de firma e insuficiencia de poder de la documentación presentada (que la Sentencia impugnada reconoce como querella “defectuosa”) en el último día del plazo prescriptivo y en el retraso de las posteriores actuaciones judiciales, para llegar a negar que hubiera “dirección del procedimiento contra el culpable”, y tan siquiera “iniciación del procedimiento”, terminando en la ausencia de interrupción de la prescripción.</w:t>
      </w:r>
    </w:p>
    <w:p w:rsidR="0052098F" w:rsidRDefault="0052098F" w:rsidP="0052098F">
      <w:pPr>
        <w:pStyle w:val="TextoNormal"/>
      </w:pPr>
      <w:r>
        <w:t>A mi entender, reiterando el respeto que me merece la contradictoria opinión de mis compañeros, lo que se hace en la Sentencia aquí impugnada, es, en primer lugar, acogiendo en su fundamento de derecho ocho una corriente doctrinal y de la propia jurisprudencia de la Sala, afirmar que tanto con la querella como con la denuncia “pueden iniciarse los procesos penales”, que ambas “forman parte del procedimiento” y que si en los “escritos aparecen ya datos suficientes para identificar a los presuntos culpables de la infracción correspondiente”, “desde ese momento ya se dirige el procedimiento contra el culpable a efectos de la interrupción de las prescripción” y en segundo lugar afirmar, en el fundamento de derecho nueve, que la querella —que efectivamente y por su falta de firma e insuficiencia del poder del Procurador en otro pasaje llama “defectuosa”— “tuvo la virtualidad de integrar una denuncia” y que “existió el procedimiento judicial, que se colma, según jurisprudencia de esta Sala —la Segunda, de lo Penal, del Tribunal Supremo— con la anotación en el registro general del juzgado … circunstancia que dota de certeza y de seguridad jurídica a la hora de computar los términos”.</w:t>
      </w:r>
    </w:p>
    <w:p w:rsidR="0052098F" w:rsidRDefault="0052098F" w:rsidP="0052098F">
      <w:pPr>
        <w:pStyle w:val="TextoNormal"/>
      </w:pPr>
      <w:r>
        <w:t xml:space="preserve">Cuanto antecede es conforme con la práctica habitual en estos casos, ya que en una gran ciudad con multiplicidad de Juzgados de Instrucción, la denuncia o la querella se presentan en el Juzgado de guardia y si se refiere a hechos producidos fuera del período de la misma, </w:t>
      </w:r>
      <w:r>
        <w:lastRenderedPageBreak/>
        <w:t>el Juez —salvo que considere necesarias y urgentes diligencias de investigación— se limita a practicar las anotaciones correspondientes y remitir al Juzgado Decano para reparto, y una vez producido éste, es el Juzgado al que haya correspondido el que realiza las correspondientes actuaciones. Cuando todo este trámite discurre con normalidad y en un tiempo razonable, al contrario de lo que sucedió en el caso de la STC 163/2005 (en que transcurrieron dos años sin practicar actuación alguna), corresponde a los órganos de la jurisdicción ordinaria establecer, en principio, si se puede o no entender interrumpida la prescripción y a nosotros, en la jurisdicción constitucional, exclusivamente y como vengo repitiendo, si esa decisión es arbitraria, irrazonable, incursa en error patente o insuficientemente motivada, sin necesidad de construir ninguna compleja doctrina que, por su carácter general y extensión, no solo puede invadir campos que nos son ajenos, sino, además, producir efectos indeseados en el sistema judicial, como ya he apuntado.</w:t>
      </w:r>
    </w:p>
    <w:p w:rsidR="0052098F" w:rsidRDefault="0052098F" w:rsidP="0052098F">
      <w:pPr>
        <w:pStyle w:val="TextoNormal"/>
      </w:pPr>
      <w:r>
        <w:t>En consecuencia, el criterio interpretativo de la Sentencia impugnada en el recurso de amparo, cualquiera que sea su grado de acierto, en lo que no podemos entrar, para mí, continúa siendo de estricta legalidad ordinaria y no incurre en ninguna de las tachas ni en la falta de motivación que podrían justificar la decisión estimatoria de aquél que, por el contrario, debió ser desestimado.</w:t>
      </w:r>
    </w:p>
    <w:p w:rsidR="0052098F" w:rsidRDefault="0052098F" w:rsidP="0052098F">
      <w:pPr>
        <w:pStyle w:val="TextoNormal"/>
      </w:pPr>
      <w:r>
        <w:t>Madrid, a veinte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3" w:name="SENTENCIA_2008_30"/>
      <w:r>
        <w:lastRenderedPageBreak/>
        <w:t>SENTENCIA 30/2008, de 25 de febrero de 2008</w:t>
      </w:r>
    </w:p>
    <w:bookmarkEnd w:id="33"/>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76, de 28 de marzo de 2008)</w:t>
      </w:r>
    </w:p>
    <w:p w:rsidR="0052098F" w:rsidRDefault="0052098F" w:rsidP="0052098F">
      <w:pPr>
        <w:pStyle w:val="TtuloBOE"/>
      </w:pPr>
    </w:p>
    <w:p w:rsidR="0052098F" w:rsidRDefault="0052098F" w:rsidP="0052098F">
      <w:pPr>
        <w:pStyle w:val="SntesisDescriptiva"/>
      </w:pPr>
      <w:r>
        <w:t>ECLI:ES:TC:2008:30</w:t>
      </w:r>
    </w:p>
    <w:p w:rsidR="0052098F" w:rsidRDefault="0052098F" w:rsidP="0052098F">
      <w:pPr>
        <w:pStyle w:val="SntesisDescriptiva"/>
      </w:pPr>
    </w:p>
    <w:p w:rsidR="0052098F" w:rsidRDefault="0052098F" w:rsidP="0052098F">
      <w:pPr>
        <w:pStyle w:val="SntesisDescriptiva"/>
      </w:pPr>
      <w:r>
        <w:t>Recurso de amparo 6452-2002 y 3049-2004 (acumulados). Promovidos por don José Marcelino López Peraza frente a las Sentencias del Tribunal Superior de Justicia de Canarias que inadmitieron y desestimaron sus recursos contra el Ministerio de Administraciones Públicas sobre concurso unitario para funcionarios de la Administración local con habilitación de carácter nacional de 1997.</w:t>
      </w:r>
    </w:p>
    <w:p w:rsidR="0052098F" w:rsidRDefault="0052098F" w:rsidP="0052098F">
      <w:pPr>
        <w:pStyle w:val="SntesisDescriptiva"/>
      </w:pPr>
    </w:p>
    <w:p w:rsidR="0052098F" w:rsidRDefault="0052098F" w:rsidP="0052098F">
      <w:pPr>
        <w:pStyle w:val="SntesisAnaltica"/>
      </w:pPr>
      <w:r>
        <w:t>Supuesta vulneración de los derechos a la igualdad en el acceso a las funciones públicas, en la aplicación de la ley y a la tutela judicial efectiva: puntuación de la permanencia en el puesto de trabajo; sentencia posterior que satisface el acceso a la justicia y no es contradictoria con otras anteriores.</w:t>
      </w:r>
    </w:p>
    <w:p w:rsidR="0052098F" w:rsidRDefault="0052098F" w:rsidP="0052098F">
      <w:pPr>
        <w:pStyle w:val="SntesisAnaltica"/>
      </w:pPr>
    </w:p>
    <w:p w:rsidR="0052098F" w:rsidRDefault="0052098F" w:rsidP="0052098F">
      <w:pPr>
        <w:pStyle w:val="Extracto"/>
      </w:pPr>
      <w:r>
        <w:t>1.</w:t>
      </w:r>
      <w:r>
        <w:tab/>
        <w:t>La valoración de la permanencia en el puesto de trabajo de la concursante que resultó adjudicataria de la plaza, se ha realizado como consecuencia de la aplicación de la normativa y sin que se haya acreditado cualquier trato discriminatorio ni haya quedado acreditado que la concursante que finalmente obtuvo la plaza a la que optaba el demandante, haya sido tratada o valorada de forma diferente a la de aquéllos que se encontraban en su misma situación laboral [FJ 7].</w:t>
      </w:r>
    </w:p>
    <w:p w:rsidR="0052098F" w:rsidRDefault="0052098F" w:rsidP="0052098F">
      <w:pPr>
        <w:pStyle w:val="Extracto"/>
      </w:pPr>
    </w:p>
    <w:p w:rsidR="0052098F" w:rsidRDefault="0052098F" w:rsidP="0052098F">
      <w:pPr>
        <w:pStyle w:val="Extracto"/>
      </w:pPr>
      <w:r>
        <w:t>2.</w:t>
      </w:r>
      <w:r>
        <w:tab/>
        <w:t>La interpretación realizada por la Administración al valorar la permanencia en el puesto de trabajo reservado a funcionario con habilitación de carácter nacional teniendo en cuenta la subescala y no la categoría es una interpretación, que si bien pudiera no ser la única posible, en nada vulnera el art. 23.2 CE [FJ 7].</w:t>
      </w:r>
    </w:p>
    <w:p w:rsidR="0052098F" w:rsidRDefault="0052098F" w:rsidP="0052098F">
      <w:pPr>
        <w:pStyle w:val="Extracto"/>
      </w:pPr>
    </w:p>
    <w:p w:rsidR="0052098F" w:rsidRDefault="0052098F" w:rsidP="0052098F">
      <w:pPr>
        <w:pStyle w:val="Extracto"/>
      </w:pPr>
      <w:r>
        <w:t>3.</w:t>
      </w:r>
      <w:r>
        <w:tab/>
        <w:t>Para analizar una queja relativa a un derecho fundamental de carácter sustantivo, se debe realizar una indagación que no se cumple con la simple constatación de la razonable interpretación que pueda exhibir la resolución judicial impugnada (STC 138/2000) [FJ 5].</w:t>
      </w:r>
    </w:p>
    <w:p w:rsidR="0052098F" w:rsidRDefault="0052098F" w:rsidP="0052098F">
      <w:pPr>
        <w:pStyle w:val="Extracto"/>
      </w:pPr>
    </w:p>
    <w:p w:rsidR="0052098F" w:rsidRDefault="0052098F" w:rsidP="0052098F">
      <w:pPr>
        <w:pStyle w:val="Extracto"/>
      </w:pPr>
      <w:r>
        <w:t>4.</w:t>
      </w:r>
      <w:r>
        <w:tab/>
        <w:t>El art. 23.2 CE actúa no sólo en el momento del acceso a la función pública, sino que también es aplicable a los actos relativos a la provisión de puestos de trabajo, si bien los principios de mérito y capacidad actúan entonces con una menor intensidad (SSTC 75/1983, 192/1991, 200/1991) [FJ 5].</w:t>
      </w:r>
    </w:p>
    <w:p w:rsidR="0052098F" w:rsidRDefault="0052098F" w:rsidP="0052098F">
      <w:pPr>
        <w:pStyle w:val="Extracto"/>
      </w:pPr>
    </w:p>
    <w:p w:rsidR="0052098F" w:rsidRDefault="0052098F" w:rsidP="0052098F">
      <w:pPr>
        <w:pStyle w:val="Extracto"/>
      </w:pPr>
      <w:r>
        <w:t>5.</w:t>
      </w:r>
      <w:r>
        <w:tab/>
        <w:t>Doctrina sobre el contenido del derecho de acceso a los cargos públicos en condiciones de igualdad (SSTC 353/1993, 221/2004) [FJ 6].</w:t>
      </w:r>
    </w:p>
    <w:p w:rsidR="0052098F" w:rsidRDefault="0052098F" w:rsidP="0052098F">
      <w:pPr>
        <w:pStyle w:val="Extracto"/>
      </w:pPr>
    </w:p>
    <w:p w:rsidR="0052098F" w:rsidRDefault="0052098F" w:rsidP="0052098F">
      <w:pPr>
        <w:pStyle w:val="Extracto"/>
      </w:pPr>
      <w:r>
        <w:t>6.</w:t>
      </w:r>
      <w:r>
        <w:tab/>
        <w:t xml:space="preserve">Para determinar una vulneración del derecho de acceso a los cargos y funciones públicas en condiciones de igualdad en un procedimiento selectivo, se debe enjuiciar si se han introducido por las Administraciones públicas, explícitamente o no, referencias individuales, o si existe alguna quiebra relevante en el procedimiento </w:t>
      </w:r>
      <w:r>
        <w:lastRenderedPageBreak/>
        <w:t>que llevara a la preterición de un aspirante al cargo o a la función (STC 353/1993) [FJ 6].</w:t>
      </w:r>
    </w:p>
    <w:p w:rsidR="0052098F" w:rsidRDefault="0052098F" w:rsidP="0052098F">
      <w:pPr>
        <w:pStyle w:val="Extracto"/>
      </w:pPr>
    </w:p>
    <w:p w:rsidR="0052098F" w:rsidRDefault="0052098F" w:rsidP="0052098F">
      <w:pPr>
        <w:pStyle w:val="Extracto"/>
      </w:pPr>
      <w:r>
        <w:t>7.</w:t>
      </w:r>
      <w:r>
        <w:tab/>
        <w:t>La supuesta lesión del art. 24.1 CE que podría haber cometido el Tribunal en la Sentencia recurrida en el primer recurso de amparo ha sido restablecida por el mismo órgano judicial en la Sentencia impugnada en el segundo, en la que analiza el fondo de lo que ha constituido la principal pretensión desde el inicio de las impugnaciones [FJ 8].</w:t>
      </w:r>
    </w:p>
    <w:p w:rsidR="0052098F" w:rsidRDefault="0052098F" w:rsidP="0052098F">
      <w:pPr>
        <w:pStyle w:val="Extracto"/>
      </w:pPr>
    </w:p>
    <w:p w:rsidR="0052098F" w:rsidRDefault="0052098F" w:rsidP="0052098F">
      <w:pPr>
        <w:pStyle w:val="Extracto"/>
      </w:pPr>
      <w:r>
        <w:t>8.</w:t>
      </w:r>
      <w:r>
        <w:tab/>
        <w:t>Procede desestimar la queja sobre la supuesta vulneración del principio de igualdad en aplicación de la ley, ya que además de no reunir el requisito de alteridad, tampoco cabe apreciar un comportamiento arbitrario de los órganos judiciales, que, ante las diversas vías de impugnación utilizadas por el recurrente han dado una respuesta respetuosa con el derecho a la tutela judicial efectiva del mismo [FJ 9].</w:t>
      </w:r>
    </w:p>
    <w:p w:rsidR="0052098F" w:rsidRDefault="0052098F" w:rsidP="0052098F">
      <w:pPr>
        <w:pStyle w:val="Extracto"/>
      </w:pPr>
    </w:p>
    <w:p w:rsidR="0052098F" w:rsidRDefault="0052098F" w:rsidP="0052098F">
      <w:pPr>
        <w:pStyle w:val="Extracto"/>
      </w:pPr>
      <w:r>
        <w:t>9.</w:t>
      </w:r>
      <w:r>
        <w:tab/>
        <w:t>La función que cumple el recurso de amparo es la de la reparación de lesiones singulares y efectivas de los derechos fundamentales, por lo que cuando tal reparación se produce fuera del proceso de amparo no cabe sino concluir que éste carece desde ese momento de objeto, salvo que a pesar de haber desaparecido formalmente el acto lesivo nuestra respuesta siguiera siendo necesaria teniendo en cuenta otros elementos de juicio [FJ 8].</w:t>
      </w:r>
    </w:p>
    <w:p w:rsidR="0052098F" w:rsidRDefault="0052098F" w:rsidP="0052098F">
      <w:pPr>
        <w:pStyle w:val="Extracto"/>
      </w:pPr>
    </w:p>
    <w:p w:rsidR="0052098F" w:rsidRDefault="0052098F" w:rsidP="0052098F">
      <w:pPr>
        <w:pStyle w:val="Extracto"/>
      </w:pPr>
      <w:r>
        <w:t>10.</w:t>
      </w:r>
      <w:r>
        <w:tab/>
        <w:t>Al abordar recursos de amparo mixtos, debemos comenzar nuestro análisis por las supuestas lesiones ocasionadas por la actuación de la Administración, puesto que son autónomas respecto del proceso judicial que fue instado con el propósito de agotar correctamente la vía judicial previa en virtud del carácter subsidiario del recurso de amparo [FJ 3].</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Los recursos de amparo núms. 6452-2002 y 3049-2004, promovidos por don José Marcelino López Peraza, representado por el Procurador de los Tribunales don José María Abad Tundidor y asistido por el Letrado don Luis María Díez-Picazo Giménez, se plantean en el ámbito de un concurso unitario para la provisión de puestos de trabajo reservado a los funcionarios de la Administración local con habilitación de carácter nacional convocado por la </w:t>
      </w:r>
      <w:r>
        <w:lastRenderedPageBreak/>
        <w:t>Dirección General de la Función Pública del Ministerio de Administraciones Públicas; el primero de ellos interpuesto frente a la Resolución de 28 de octubre de 1997, por la que se daba publicidad a los méritos generales de los funcionarios de Administración Local con habilitación de carácter nacional y contra la Sentencia del Tribunal Superior de Justicia de Canarias de 21 de junio de 2002 que inadmitió el recurso contencioso-administrativo interpuesto contra la citada resolución; el segundo se plantea frente a la Resolución de 2 de febrero de 1998 por la que se resolvió el concurso y contra la Sentencia del Tribunal Superior de Justicia de Canarias de 26 de marzo de 2004 que desestimó el recurso contencioso-administrativo interpuesto contra la resolución señalada. Han comparecido el Abogado del Estado y doña Ana María Echeandía Mota, en el recurso de amparo núm. 6452-2002 representada por la Procuradora de los Tribunales doña María Lourdes Fernández-Luna Tamayo y asistida por el Letrado don Gregorio Azcona Martínez y en el recurso de amparo núm. 3049-2004 representada por el Procurador de los Tribunales don Esteban Pérez Alemán y asistida por el Letrado don José María Fernández Pastrano. Ha intervenido el Ministerio Fiscal. Ha sido Ponente el Magistrado don Roberto García-Calvo y Montiel,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Mediante escrito registrado en este Tribunal el 15 de noviembre de 2002, don José Marcelino López Peraza interpuso recurso de amparo núm. 6452-2002, en el ámbito de un concurso unitario para la provisión de puestos de trabajo reservado a los funcionarios de la Administración local con habilitación de carácter nacional convocado por la Dirección General de la Función Pública del Ministerio de Administraciones Públicas, frente a Resolución de 28 de octubre de 1997, por la que se daba publicidad a los méritos generales de los funcionarios de Administración Local con habilitación de carácter nacional y contra la Sentencia del Tribunal Superior de Justicia de Canarias de 21 de junio de 2002 que inadmitió el recurso contencioso-administrativo interpuesto contra la citada resolución. </w:t>
      </w:r>
    </w:p>
    <w:p w:rsidR="0052098F" w:rsidRDefault="0052098F" w:rsidP="0052098F">
      <w:pPr>
        <w:pStyle w:val="TextoNormal"/>
      </w:pPr>
      <w:r>
        <w:t xml:space="preserve">Mediante escrito registrado en este Tribunal el 13 de mayo de 2004, don José Marcelino López Peraza interpuso recurso de amparo núm. 3049-2004, frente a la Resolución de 2 de febrero de 1998, por la que se resolvía el concurso antes citado y contra la Sentencia del Tribunal Superior de Justicia de Canarias de 26 de marzo de 2004 que desestimó el recurso contencioso-administrativo interpuesto contra esta resolución. </w:t>
      </w:r>
    </w:p>
    <w:p w:rsidR="0052098F" w:rsidRDefault="0052098F" w:rsidP="0052098F">
      <w:pPr>
        <w:pStyle w:val="TextoNormal"/>
      </w:pPr>
      <w:r>
        <w:t>Ambos recursos de amparo, después de los trámites oportunos, fueron acumulados mediante Auto de 23 de julio de 2007. Para una mejor comprensión de la presente resolución se exponen a continuación de manera conjunta los hechos y alegaciones de las partes en ambos recursos.</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se fundamenta la demanda núm. 6452-2002 son, sucintamente expuestos, los siguientes: </w:t>
      </w:r>
    </w:p>
    <w:p w:rsidR="0052098F" w:rsidRDefault="0052098F" w:rsidP="0052098F">
      <w:pPr>
        <w:pStyle w:val="TextoNormal"/>
      </w:pPr>
      <w:r>
        <w:t xml:space="preserve">a) La Dirección General de la Función Pública del Ministerio de Administraciones Públicas adoptó el 28 de octubre de 1997 resolución por la que convocaba concurso unitario para la provisión de puestos de trabajo reservados a funcionarios de la Administración local con habilitación de carácter nacional; con la misma fecha se dictó por la misma Dirección General la resolución por la que se daba publicidad a los méritos de los participantes en el mencionado concurso. Ambas resoluciones, que fueron objeto de una corrección de errores, </w:t>
      </w:r>
      <w:r>
        <w:lastRenderedPageBreak/>
        <w:t xml:space="preserve">se publicaron en el “BOE” de 19 de noviembre de 1997 y, posteriormente en el “Boletín Oficial de Canarias” el 9 de enero de 1998. </w:t>
      </w:r>
    </w:p>
    <w:p w:rsidR="0052098F" w:rsidRDefault="0052098F" w:rsidP="0052098F">
      <w:pPr>
        <w:pStyle w:val="TextoNormal"/>
      </w:pPr>
      <w:r>
        <w:t xml:space="preserve">En la Resolución de 28 de octubre de 1997 por la que se daba publicidad a los méritos, se otorgaba a la participante doña Ana María Echeandía Mota 0,98 puntos en concepto de “permanencia en su puesto de trabajo”; esta es la causa última del presente recurso de amparo. Consideró el ahora recurrente que se estaba puntuando a la citada concursante de manera doble, computando dos veces los mismos servicios prestados. Debe ponerse de manifiesto la circunstancia de que la Resolución 28 de octubre de 1997 por la que se daba publicidad a los méritos de los participantes en el mencionado concurso no contenía pie de recurso alguno. El demandante interpuso el 27 de enero de 1998 recurso ordinario en vía administrativa frente a dicha resolución, que fue inadmitido mediante Resolución de la Secretaría de Estado de Administración Pública de 12 de febrero de 1998, por extemporáneo y además porque dicha resolución agotaba la vía administrativa, si bien se entró en el fondo considerando ajustada a Derecho la resolución que se trataba de combatir; esta resolución de inadmisión ofrecía recurso contencioso-administrativo que no fue interpuesto por el ahora demandante. </w:t>
      </w:r>
    </w:p>
    <w:p w:rsidR="0052098F" w:rsidRDefault="0052098F" w:rsidP="0052098F">
      <w:pPr>
        <w:pStyle w:val="TextoNormal"/>
      </w:pPr>
      <w:r>
        <w:t xml:space="preserve">b) Entre tanto se dictó Resolución de 2 de febrero de 1998 por la que se resolvió el concurso, otorgando la plaza a la que optaba el recurrente a doña Ana María Echeandía Mota. El 18 de febrero de 1998 el recurrente interpuso frente a la citada Resolución, de 2 de febrero de 1998, recurso contencioso-administrativo por el procedimiento especial de protección de los derechos fundamentales, recurso que, si bien fue estimado inicialmente, tras el incidente de nulidad planteado por doña Ana María Echeandía Mota y su nueva tramitación finalizó mediante Sentencia de 17 de septiembre de 1999 desestimatoria. Consideraba esta Sentencia que, si bien la tesis defendida no era infundada, no podía entrar a analizar el fondo de la misma puesto que frente a la inadmisión del recurso que interpuso en vía administrativa no acudió a la vía judicial para combatirla, por lo que el acto quedo firme y consentido; debe destacarse que la Sentencia, reprocha a la Administración que inadmitiera el recurso ordinario cuando la resolución recurrida no contenía pie de recurso pero, en definitiva, la no interposición de recurso contencioso-administrativo frente a la inadmisión del recurso ordinario provocó el fallo desestimatorio de la Sentencia. Contra esta resolución interpuso recurso de amparo que fue inadmitido por este Tribunal. </w:t>
      </w:r>
    </w:p>
    <w:p w:rsidR="0052098F" w:rsidRDefault="0052098F" w:rsidP="0052098F">
      <w:pPr>
        <w:pStyle w:val="TextoNormal"/>
      </w:pPr>
      <w:r>
        <w:t xml:space="preserve">c) El mismo día 18 de febrero de 1998 interpuso recurso contencioso-administrativo contra la Resolución 28 de octubre de 1997 por la que de daba publicidad a los méritos de los participantes en el mencionado concurso. La Sala de lo Contencioso-administrativo del Tribunal Superior de Justicia de Canarias, mediante la Sentencia de 21 de junio de 2002 ahora recurrida en amparo, sin tener en cuenta su Sentencia dictada en procedimiento especial de protección de derechos fundamentales antes citada de 17 de septiembre de 1999, declaró la inadmisibilidad del recurso por extemporaneidad, puesto que habiéndose publicado la resolución que se pretendía impugnar en el “BOE” el 19 de noviembre de 1997, el plazo de dos meses finalizaba el 20 de enero de 1998 y por tanto el recurso era claramente extemporáneo. </w:t>
      </w:r>
    </w:p>
    <w:p w:rsidR="0052098F" w:rsidRDefault="0052098F" w:rsidP="0052098F">
      <w:pPr>
        <w:pStyle w:val="TextoNormal"/>
      </w:pPr>
      <w:r>
        <w:t>En esta primera demanda se impugna la Sentencia de 21 de junio de 2002 y la Resolución de 28 de octubre de 1997 por la que de daba publicidad a los méritos de los participantes en el mencionado concurso.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Los hechos de la demanda núm. 3049-2004, son, en síntesis, los siguientes: </w:t>
      </w:r>
    </w:p>
    <w:p w:rsidR="0052098F" w:rsidRDefault="0052098F" w:rsidP="0052098F">
      <w:pPr>
        <w:pStyle w:val="TextoNormal"/>
      </w:pPr>
      <w:r>
        <w:t xml:space="preserve">Como se ha señalado en el apartado anterior, una vez que se dicta la Resolución administrativa de 2 de febrero de 1998 por la que se adjudica el concurso, el recurrente, además de los recursos antes citados, interpuso un recurso contencioso-administrativo ordinario </w:t>
      </w:r>
      <w:r>
        <w:lastRenderedPageBreak/>
        <w:t xml:space="preserve">frente a la mencionada resolución de adjudicación, cuya pretensión era, nuevamente, que se reconociera el derecho del recurrente a que se proceda a una nueva valoración de los méritos de los funcionarios que solicitaron dicha plaza, y que el mérito de “la permanencia en el puesto de trabajo” no fuera valorado a los funcionarios que han promocionado desde la categoría de entrada a la superior; este recurso fue desestimado por la Sentencia impugnada en este segundo recurso de amparo, dictada por el Tribunal Superior de Justicia de Canarias el 26 de marzo de 2004, en la que, por una parte, se niega cualquier vulneración del principio de igualdad y, respecto al fondo del asunto, consideró que la valoración de la “permanencia en el puesto de trabajo” como mérito puntuable en un concurso de traslado, no supone una vulneración del derecho fundamental a acceder en condiciones de igualdad a las funciones y cargos públicos, por la circunstancia de que a un determinado concursante le hubiera servido con anterioridad esa permanencia para acceder de la categoría de entrada a la superior de Secretarios de Administración local, pues se trata de dos situaciones distintas; consideró el Tribunal que resulta lógico que esa realidad de permanecer un determinado tiempo en un mismo puesto en el desempeño de la función, constituya un factor positivo que contribuya a un mejor solidificación de la experiencia con independencia del número de habitantes del municipio en cuyo Ayuntamiento se ha permanecido con continuidad; en definitiva considera que ninguna vulneración del artículo 23 CE se había producido. </w:t>
      </w:r>
    </w:p>
    <w:p w:rsidR="0052098F" w:rsidRDefault="0052098F" w:rsidP="0052098F">
      <w:pPr>
        <w:pStyle w:val="TextoNormal"/>
      </w:pPr>
      <w:r>
        <w:t>En la demanda de amparo núm. 3049-2004 se impugna la Resolución de 2 de febrero de 1998 de adjudicación del concurso y la Sentencia de 26 de marzo de 2004 del Tribunal Superior de Justicia de Canarias que desestimó el recurso contencioso-administrativo interpuesto contra ella.</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Considera el recurrente en la demanda de amparo núm. 6452-2002 que se ha vulnerado su derecho a la tutela judicial efectiva, art. 24 CE, en su vertiente de acceso a la justicia, al habérsele impedido obtener una respuesta sobre el fondo. Argumenta que la Resolución administrativa de 28 de octubre de 1997 por la que de daba publicidad a los méritos de los participantes en el mencionado concurso, no contenía pie de recurso; por ello, al ser equiparable a una notificación defectuosa, no puede calificarse de extemporáneo el recurso contencioso-administrativo que interpuso frente a la misma. Añade que, además de la publicación en el “Boletín Oficial de Canarias”, dicha resolución fue objeto de una corrección de errores en el “BOE”, corrección que tampoco incluyó pie de recurso. </w:t>
      </w:r>
    </w:p>
    <w:p w:rsidR="0052098F" w:rsidRDefault="0052098F" w:rsidP="0052098F">
      <w:pPr>
        <w:pStyle w:val="TextoNormal"/>
      </w:pPr>
      <w:r>
        <w:t xml:space="preserve">En segundo término se queja de la vulneración del art. 14 CE ya que estima que la Sentencia ahora recurrida de 21 de junio de 2002 y la que finalmente desestimó el recurso de protección de los derechos fundamentales antes citada (Sentencia del Tribunal Superior de Justicia de Canarias de 17 de septiembre de 1999), dictadas ambas el mismo órgano judicial, contienen criterios contrarios respecto de un mismo hecho como es la defectuosa notificación de la resolución que se trataba de recurrir y sobre el plazo para poder impugnar ese acto administrativo. La supuesta contradicción se concreta en que mientras la Sentencia ahora recurrida inadmitió el recurso por extemporáneo, la dictada en 1999 afirmó que la resolución de 28 de octubre de 1998 pudo ser impugnada en vía judicial por el demandante; esta contradicción ha lesionado, a su juicio, su derecho a la igualdad en aplicación de la ley, art. 14 CE. </w:t>
      </w:r>
    </w:p>
    <w:p w:rsidR="0052098F" w:rsidRDefault="0052098F" w:rsidP="0052098F">
      <w:pPr>
        <w:pStyle w:val="TextoNormal"/>
      </w:pPr>
      <w:r>
        <w:t xml:space="preserve">En tercer lugar estima vulnerado su derecho a acceder en condiciones de igualdad a los cargos públicos, art. 23.2 CE; considera que la resolución administrativa por la que se daba publicidad a los méritos es contraria al mencionado derecho. Para fundamentar esta alegación, transcribe lo que el Tribunal Superior de Justicia de Canarias dijo en la primera Sentencia —que fue posteriormente anulada— dictada en el recurso para la protección de los </w:t>
      </w:r>
      <w:r>
        <w:lastRenderedPageBreak/>
        <w:t>derechos fundamentales; es cierto que en aquella ocasión el Tribunal estimó contrario al art. 23 CE la resolución de la valoración de los méritos, pero no menos cierto es que esa Sentencia fue declarada nula y sustituida por la Sentencia de 17 de septiembre de 1999.</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En el recurso de amparo núm. 3049-2004, aclara el recurrente que la única razón para interponer esta demanda de amparo es evitar que pueda decirse que con posterioridad a la interposición del recurso de amparo núm. 6452-2002, se ha consentido una resolución judicial, que versando sobre el mismo asunto de fondo, ahonda en la vulneración de derechos fundamentales pendientes de resolución en dicha demanda. </w:t>
      </w:r>
    </w:p>
    <w:p w:rsidR="0052098F" w:rsidRDefault="0052098F" w:rsidP="0052098F">
      <w:pPr>
        <w:pStyle w:val="TextoNormal"/>
      </w:pPr>
      <w:r>
        <w:t xml:space="preserve">Considera que la Sentencia del Tribunal Superior de Justicia de Canarias el 26 de marzo de 2004, reincide en la contradicción que también imputa a la anterior Sentencia recurrida en su primer recurso de amparo. El recurrente en un escrito ciertamente confuso, reiterando los hechos de la demanda núm. 6452-2002, se queja de la vulneración del art. 24 CE ya que, a su juicio la Sentencia de 26 de marzo de 2004 insiste en el argumento de que consintió el acto recurrido, cuando no fue así; alega que existe una contradicción patente entre esta Sentencia y la dictada por el mismo órgano judicial en 1999; esta discrepancia de criterio en el mismo Tribunal es, a su juicio, lesiva del principio de igualdad en aplicación de la ley, art. 14 CE. Una y otra vez el recurrente trae a colación los avatares procesales y las sentencias dictadas por el Tribunal Superior de Justicia de Canarias para argumentar contradicciones entre ellas. </w:t>
      </w:r>
    </w:p>
    <w:p w:rsidR="0052098F" w:rsidRDefault="0052098F" w:rsidP="0052098F">
      <w:pPr>
        <w:pStyle w:val="TextoNormal"/>
      </w:pPr>
      <w:r>
        <w:t>Se queja, por último, de la vulneración del art. 23.2 CE. El demandante, insistiendo en los argumentos expuestos en una sentencia judicial que fue anulada, considera que a doña Ana María Echeandía Mota se le ha valorado, a efectos de resolver el concurso de traslado en la categoría superior, una puntuación por permanencia en el puesto de trabajo que ya había sido tomada en cuenta a efectos de que obtuviera un ascenso de categoría (desde la categoría de entrada a la superior), por ello afirma que se valoró dos veces una misma circunstancia, doble valoración que, a su juicio, vulnera la igualdad en el acceso a funciones y cargos públicos reconocido en el art. 23.2 CE; en otras palabras, considera que el tiempo de permanencia que sirvió a la concursante para ascender de categoría no puede ser valorado también para concursar dentro de la categoría superior.</w:t>
      </w:r>
    </w:p>
    <w:p w:rsidR="0052098F" w:rsidRDefault="0052098F" w:rsidP="0052098F">
      <w:pPr>
        <w:pStyle w:val="TextoNormal"/>
      </w:pPr>
    </w:p>
    <w:p w:rsidR="0052098F" w:rsidRDefault="0052098F" w:rsidP="0052098F">
      <w:pPr>
        <w:pStyle w:val="TextoNormal"/>
      </w:pPr>
      <w:r w:rsidRPr="0052098F">
        <w:rPr>
          <w:rStyle w:val="NumeroAFNegritaCaracter"/>
        </w:rPr>
        <w:t>6</w:t>
      </w:r>
      <w:r>
        <w:t>. Mediante diligencia de ordenación de 26 de noviembre de 2002 se acordó la admisión a trámite de la demanda núm. 6452-2002, así como requerir al órgano judicial y a la Administración para que remitieran testimonio de las actuaciones judiciales y administrativas y se emplazara por el Tribunal Superior de Justicia de Canarias a los que hubieran sido parte en el procedimiento. El Abogado del Estado se personó mediante escrito de 15 de marzo de 2004; doña Ana María Echeandía Mota se personó el 1 de junio de 2004; por diligencia de ordenación de 4 de junio de 2004 se tuvieron por recibidos los testimonios solicitados y se acordó, en virtud del art. 52 LOTC, conceder un plazo de veinte días para que las partes pudieran realizar las correspondientes alegaciones.</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recurrente mediante escrito presentado el 28 de junio de 2004, además de reiterar los argumentos de su demanda de amparo, manifestó haber interpuesto el recurso de amparo núm. 3049-2004, el día 13 de mayo de 2004, que guarda íntima relación con el recurso de amparo núm. 6452-2002, que su objeto es la resolución administrativa que resolvió el concurso de provisión de plazas, así como la Sentencia judicial dictada también por el Tribunal Superior de Justicia de Canarias desestimando el recurso contencioso-administrativo que </w:t>
      </w:r>
      <w:r>
        <w:lastRenderedPageBreak/>
        <w:t xml:space="preserve">había interpuesto frente a la citada resolución del concurso; solicitaba la acumulación de ambos recursos de amparo. </w:t>
      </w:r>
    </w:p>
    <w:p w:rsidR="0052098F" w:rsidRDefault="0052098F" w:rsidP="0052098F">
      <w:pPr>
        <w:pStyle w:val="TextoNormal"/>
      </w:pPr>
      <w:r>
        <w:t>Mediante providencia de 13 de diciembre de 2006, se acordó admitir a trámite el recurso núm. 3049-2004, asimismo requerir testimonio de las actuaciones; tras la pertinente personación del Abogado del Estado y de doña Ana María Echeandía Mota, por diligencia de ordenación de 17 de mayo de 2007, se otorgó plazo a las partes para alegaciones; por diligencia de 21 de mayo de 2007, se acordó escuchar a las partes sobre la acumulación de los recursos de amparo, manifestando todas las partes personadas la pertinencia de la acumulación que finamente se acordó por Auto de 23 de julio de 2007.</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Abogado del Estado en su escrito de alegaciones respecto del recurso núm. 6452-2002 solicitó la desestimación de la demanda; después de realizar diversos y acertados reproches formales del suplico de la misma, argumentó, en primer lugar, que la queja sobre la supuesta vulneración del principio de igualdad en aplicación de la ley, art. 14 CE, no puede ser admitida, puesto que, además de no existir, a su juicio, contradicción alguna entre la resoluciones judiciales que se pretende comparar, no concurre uno de los requisitos para poder apreciar dicha vulneración, como es el de la alteridad, puesto que demandante trata de compararse consigo mismo. </w:t>
      </w:r>
    </w:p>
    <w:p w:rsidR="0052098F" w:rsidRDefault="0052098F" w:rsidP="0052098F">
      <w:pPr>
        <w:pStyle w:val="TextoNormal"/>
      </w:pPr>
      <w:r>
        <w:t xml:space="preserve">Respecto a la queja del derecho a la tutela judicial efectiva en su vertiente de acceso a la justicia por la inadmisión de su recurso contencioso-administrativo por extemporaneidad, argumentaba que, si bien es cierto que la resolución impugnada carecía de pie de recurso, la queja carece de relevancia constitucional; a juicio del Abogado del Estado a la inexistencia de pie de recurso del acto administrativo en cuestión no se le puede dar especial trascendencia cuando el destinatario no es un ciudadano común, sino un Secretario de Ayuntamiento con una cualificada formación jurídica. Consideraba que el comportamiento del recurrente se ha caracterizado por cierta pasividad, cierta voluntad confusionaria y alguna incoherencia. Por último, consideró el Abogado del Estado, que la única objeción constitucional que se podría imputar a la Sentencia judicial de 21 de junio de 2002 recurrida, sería desde el punto de vista de su motivación, puesto que de la misma se deduce que la argumentación ofrecida por el órgano judicial no se refiere al supuesto concreto, sino que se limita a establecer una motivación genérica de inadmisión del recurso contencioso-administrativo por extemporaneidad; sin embargo, entendió el Abogado del Estado que, puesto que el demandante no achaca este vicio a la Sentencia, no puede ser analizado por el Tribunal Constitucional. </w:t>
      </w:r>
    </w:p>
    <w:p w:rsidR="0052098F" w:rsidRDefault="0052098F" w:rsidP="0052098F">
      <w:pPr>
        <w:pStyle w:val="TextoNormal"/>
      </w:pPr>
      <w:r>
        <w:t xml:space="preserve">Por lo que se refiere a la queja relativa al artículo 23.2 CE, consideró que, si bien de ser admitida su alegación en relación con lo antes expuesto, y por lo tanto estuviera bien inadmitido el recurso contencioso interpuesto por el demandante, el recurso de amparo sería inadmisible por falta de agotamiento correcto de la vía judicial previa, con carácter subsidiario analizó esta queja. Argumentó, con cita de la Orden de 10 de agosto de 1994 en la que se recogen la valoración de los servicios prestados, que la queja carece de contenido. Aclaró que existen dos categorías de Secretaría de Administración local: entrada y superior, y que, de acuerdo con la Orden antes citada, es claro que el mérito de servicios prestados se descompone en dos, el tiempo total de servicio y la estabilidad en el puesto desde el que se concursa; entendía que no es cierto que se valore dos veces el mismo mérito, sino que se valoran méritos distintos aunque enlazados, los años de servicio en la subescala y la estabilidad en el último puesto. Consideraba que es oportuno, meritorio y expresivo de las cualidades profesionales de un concursante, la mayor estabilidad en su último destino puesto que </w:t>
      </w:r>
      <w:r>
        <w:lastRenderedPageBreak/>
        <w:t xml:space="preserve">significa o revela mayor familiarización con las tareas propias de subescala, mayor dedicación continuada al desempeño de las tareas de un puesto y mayor capacidad de adaptación. Concluía, en definitiva, afirmando que no es difícil pronosticar que los funcionarios con habilitación de carácter nacional que manifiesten la tendencia a mantenerse estables en sus destinos ofrecen mayores ventajas funcionariales para la Administración local de destino que el funcionario propenso a los cambios rápidos. Ninguna duda tiene para el Abogado del Estado que la llamada permanencia continuada no es ajena al principio de mérito y capacidad. Por último, alegó que, si bien cabría otra interpretación, lo cierto es que la realizada por la Administración no puede calificarse de contraria al artículo 23.2 CE. </w:t>
      </w:r>
    </w:p>
    <w:p w:rsidR="0052098F" w:rsidRDefault="0052098F" w:rsidP="0052098F">
      <w:pPr>
        <w:pStyle w:val="TextoNormal"/>
      </w:pPr>
      <w:r>
        <w:t xml:space="preserve">En relación con el recurso de amparo núm. 3049-2004, el Abogado del Estado, en sus alegaciones, solicitó igualmente su desestimación. Estimó que la contradicción que el recurrente pretende exponer entre la Sentencia de 26 de marzo de 2004, objeto de este segundo recurso de amparo y la dictada por el mismo Tribunal Superior de Justicia en 1999 mediante la que se desestimaba el recurso interpuesto para la protección de sus derechos fundamentales, no es tal. </w:t>
      </w:r>
    </w:p>
    <w:p w:rsidR="0052098F" w:rsidRDefault="0052098F" w:rsidP="0052098F">
      <w:pPr>
        <w:pStyle w:val="TextoNormal"/>
      </w:pPr>
      <w:r>
        <w:t>La Sentencia de 26 de marzo de 2004 resuelve el fondo de todas las cuestiones planteadas por el demandante, especialmente la relativa a la supuesta vulneración del art. 23.2 CE por la valoración de los méritos de doña Ana María Echeandía Mota —principal queja y motivo esencial de sus recursos de amparo—; la Sentencia, al contrario de lo que manifiesta el demandante, rechaza la inadmisibilidad solicitada por la codemandada con base en el argumento del acto consentido, y se centra en el verdadero objeto del recurso planteado: el acto de adjudicación del concurso. En definitiva el Abogado del Estado, remitiéndose a sus alegaciones efectuadas en el recurso de amparo núm. 6452-2002, solicitó la desestimación de ambos recursos.</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Doña Ana María Echeandía Mota, final adjudicataria de una plaza y codemandada en los procedimientos judiciales de los que traen causa los presentes recursos de amparo, mediante escrito de 3 de julio de 2004 presentó sus alegaciones al recurso núm. 6452-2002. Argumentó en primer lugar que la propia resolución mediante la cual se convocaba el concurso, expresaba en la Base 13 que los actos administrativos que se dictaran en el mismo podrían ser impugnados conforme a lo establecido en la Ley 30/1992, de 26 de noviembre, de régimen jurídico de las administraciones públicas y del procedimiento administrativo común, por lo que, de inició, la ausencia de pie de recurso en la resolución impugnada por el demandante de amparo carecería de relevancia, al constar una instrucción de recursos genérica para todos los actos del procedimiento en cuestión; asimismo, consideraba que la valoración de los méritos se realizó conforme al Real Decreto de 29 de julio de 1994, sobre provisión de puestos de trabajo reservados a funcionarios de Administración local con habilitación de carácter nacional, que dicha valoración se realizó de forma automática y que el mérito general de permanencia continuada en el puesto reservado desde el que se concursa, viene regulado y valorado en el artículo 15. 1. del referido Real Decreto; explica que dicho mérito de permanencia continuada se valoró a todos los concursantes que reunían las condiciones reglamentarias, de acuerdo con lo dispuesto en la normativa y que al ahora recurrente no se le valoró porque no cumplía los requisitos para ello. Recuerda que la resolución por la que se valoraban los méritos, fue impugnada en vía administrativa por el ahora demandante y que dicho recurso fue inadmitido por extemporáneo y porque la resolución impugnada agotada la vía administrativa, pero que, no obstante, dicha resolución entraba en </w:t>
      </w:r>
      <w:r>
        <w:lastRenderedPageBreak/>
        <w:t xml:space="preserve">el fondo del asunto dando la razón a la concursante. Puso de manifiesto que el ahora demandante de amparo frente a esta resolución de inadmisión no interpuso recurso contencioso-administrativo consintiendo por consiguiente dicha resolución. </w:t>
      </w:r>
    </w:p>
    <w:p w:rsidR="0052098F" w:rsidRDefault="0052098F" w:rsidP="0052098F">
      <w:pPr>
        <w:pStyle w:val="TextoNormal"/>
      </w:pPr>
      <w:r>
        <w:t xml:space="preserve">A continuación relató las incidencias procesales derivadas del recurso para la protección de los derechos fundamentales que el ahora demandante de amparo interpuso frente a la resolución que resolvía el concurso y que fue finalmente, tras varios incidentes procesales, desestimado. </w:t>
      </w:r>
    </w:p>
    <w:p w:rsidR="0052098F" w:rsidRDefault="0052098F" w:rsidP="0052098F">
      <w:pPr>
        <w:pStyle w:val="TextoNormal"/>
      </w:pPr>
      <w:r>
        <w:t xml:space="preserve">Por lo que se refiere a la Sentencia dictada y recurrida en amparo consideró que no se ha vulnerado ni el artículo 14 CE ni el 24 CE del recurrente, puesto que el recurso era claramente extemporáneo; en una extensa argumentación, entendía que la resolución administrativa que determinaba la valoración de los méritos fue consentida por el ahora recurrente, puesto que no interpuso recurso contencioso-administrativo frente a la resolución del recurso ordinario que en vía administrativa interpuso contra la misma; por otra parte, argumentó que la Sentencia impugnada es plenamente respetuosa con el principio pro accione y, por último, respecto al fondo de la queja relativa al artículo 23 CE, reiteró que la valoración del la permanencia en el puesto de trabajo desde el que se concursa, no puede ser considerado en ningún momento como lesivo del art. 23.2 CE </w:t>
      </w:r>
    </w:p>
    <w:p w:rsidR="0052098F" w:rsidRDefault="0052098F" w:rsidP="0052098F">
      <w:pPr>
        <w:pStyle w:val="TextoNormal"/>
      </w:pPr>
      <w:r>
        <w:t xml:space="preserve">En el recurso núm. 3049-2004, la codemandada doña Ana María Echeandía Mota realizó alegaciones el 20 de junio de 2007. Advertía la falta de legitimación sobrevenida del recurrente puesto que se halla inhabilitado como funcionario del Cuerpo de la correspondiente subescala de secretaría de funcionarios de Administración local, por lo que en esta situación no puede acceder a la plaza que ocupa la codemandada, que realmente es lo que persigue. Reiteró que se valoró la permanencia a todos aquellos que reunían los requisitos para ello y no solamente a ella, y que todos ellos deberían haber sido llamados en los procedimientos judiciales previos puesto que serían interesados, incluso un hipotético fallo estimatorio del recurso de amparo podría llegar a afectarles. Solicita en este punto que debe darse la oportunidad de comparecer en este proceso de amparo a los posibles interesados. </w:t>
      </w:r>
    </w:p>
    <w:p w:rsidR="0052098F" w:rsidRDefault="0052098F" w:rsidP="0052098F">
      <w:pPr>
        <w:pStyle w:val="TextoNormal"/>
      </w:pPr>
      <w:r>
        <w:t>En sus alegaciones criticó la parcialidad de análisis del recurrente al valorar las resoluciones judiciales, subrayando que, ni existen contradicciones entre ellas, ni se ha vulnerado su derecho a la tutela judicial efectiva. Finalmente, reiteró que la valoración de la permanencia en el puesto de trabajo es perfectamente ajustada a Derecho.</w:t>
      </w:r>
    </w:p>
    <w:p w:rsidR="0052098F" w:rsidRDefault="0052098F" w:rsidP="0052098F">
      <w:pPr>
        <w:pStyle w:val="TextoNormal"/>
      </w:pPr>
    </w:p>
    <w:p w:rsidR="0052098F" w:rsidRDefault="0052098F" w:rsidP="0052098F">
      <w:pPr>
        <w:pStyle w:val="TextoNormal"/>
      </w:pPr>
      <w:r w:rsidRPr="0052098F">
        <w:rPr>
          <w:rStyle w:val="NumeroAFNegritaCaracter"/>
        </w:rPr>
        <w:t>10</w:t>
      </w:r>
      <w:r>
        <w:t xml:space="preserve">. El Ministerio Fiscal, en el recurso de amparo núm. 6452-2002 formuló sus alegaciones mediante escrito de 8 de julio de 2004. En ellas consideraba, por lo que se refiere a la supuesta lesión de la tutela judicial efectiva por la inadmisión por extemporáneo del recurso contencioso-administrativo interpuesto por el recurrente, que deben realizarse ciertas matizaciones; en primer lugar, que el acto recurrido en el cual se determinaba los méritos es un acto colectivo y no individual, y en segundo término que la indicación de recursos no forma parte de la resolución, sino que tiene un carácter meramente informativo para los interesados, siendo relevante, a juicio del Ministerio Fiscal, la formación jurídica del interesado. Considera por tanto que la Sala de lo Contencioso-Administrativo otorgó una respuesta razonada y fundada en derecho respetuosa con el derecho fundamental a la tutela judicial efectiva del recurrente. </w:t>
      </w:r>
    </w:p>
    <w:p w:rsidR="0052098F" w:rsidRDefault="0052098F" w:rsidP="0052098F">
      <w:pPr>
        <w:pStyle w:val="TextoNormal"/>
      </w:pPr>
      <w:r>
        <w:t xml:space="preserve">Por lo que se refiere a la queja relativa a la igualdad en aplicación de la ley del artículo 14 CE, rechazó que se pueda hablar de la vulneración de dicho artículo, puesto que falta un requisito imprescindible para poder apreciar la lesión como es la alteridad, es decir, que la Sentencia que se ofrece como término de comparación se refiera a una persona distinta a la </w:t>
      </w:r>
      <w:r>
        <w:lastRenderedPageBreak/>
        <w:t xml:space="preserve">del ahora recurrente; por otra parte consideró que el supuesto trato diferente que alegaba el demandante es más aparente que real y en consecuencia el motivo debe ser desestimado. </w:t>
      </w:r>
    </w:p>
    <w:p w:rsidR="0052098F" w:rsidRDefault="0052098F" w:rsidP="0052098F">
      <w:pPr>
        <w:pStyle w:val="TextoNormal"/>
      </w:pPr>
      <w:r>
        <w:t xml:space="preserve">Por último, la queja que se refiere a la Resolución de 28 de octubre de 1997 relativa a la supuesta vulneración del artículo 23.2 CE, a su juicio debe ser rechazada también. Argumentó que si la Sentencia judicial recurrida por el demandante es considerada respetuosa con su derecho a la tutela judicial efectiva, sólo cabe concluir que la queja relativa a la resolución administrativa debe ser inadmitida puesto que no se ha agotado correctamente la vía judicial previa, ya que habría sido únicamente la negligente actuación del recurrente la que ha impedido a los órganos judiciales pronunciarse sobre el fondo de esta queja sustantiva. Subsidiariamente y entrando en el fondo de la misma, consideró que la valoración de la permanencia en el puesto de trabajo, en nada vulnera el artículo 23.2 CE, porque, entre otras cosas, se trata de una regla aplicable a todos los funcionarios y, en consecuencia, hubo idéntico trato a todos ellos. </w:t>
      </w:r>
    </w:p>
    <w:p w:rsidR="0052098F" w:rsidRDefault="0052098F" w:rsidP="0052098F">
      <w:pPr>
        <w:pStyle w:val="TextoNormal"/>
      </w:pPr>
      <w:r>
        <w:t xml:space="preserve">En el recurso de amparo núm. 3049-2004, el Fiscal presentó alegaciones el 14 de junio de 2007 solicitando su desestimación. Descartó el Ministerio público que exista verdadera contradicción entre la Sentencia de 26 de marzo de 2004 recurrida en este segundo recurso de amparo y la dictada en el recurso para la protección de los derechos fundamentales en 1999, como afirma el recurrente; es más, el Ministerio Fiscal coincide con el Abogado del Estado al entender que la Sentencia que ahora se recurre precisamente rechaza el argumento de la existencia de acto consentido y entra en el fondo de la pretensión. En cualquier caso, a juicio del Fiscal, al no existir alteridad no cabe hablar de igualdad en aplicación de ley como se pretende por el demandante. </w:t>
      </w:r>
    </w:p>
    <w:p w:rsidR="0052098F" w:rsidRDefault="0052098F" w:rsidP="0052098F">
      <w:pPr>
        <w:pStyle w:val="TextoNormal"/>
      </w:pPr>
      <w:r>
        <w:t xml:space="preserve">Respecto al segundo motivo de este recurso de amparo, la queja del art. 23 CE consideró que el recurrente pretende edificar una realidad de contradicción entre la Sentencia ahora impugnada con respecto a la Sentencia anulada que el mismo Tribunal dictó en 1998 cuando resolvió por primera vez el recurso para la protección de derechos fundamentales, en la que se considero el acto impugnado en aquella ocasión (los méritos valorados) si vulneraba el artículo 23 CE; sin embargo, aclara que dicha Sentencia fue anulada por otra posterior de 17 de septiembre de 1999, que inadmitido el recurso con base en el argumento de que existía un acto consentido, por lo tanto, no entró en el fondo, es decir, en ningún momento el Tribunal Superior de Justicia de Canarias entro a conocer del fondo de la cuestión, por lo que no cabe hablar de contradicción con la Sentencia ahora impugnada, que ha sido la primera ocasión en la que dicho Tribunal ha entrado analizar la pretensión sobre el artículo 23 CE. </w:t>
      </w:r>
    </w:p>
    <w:p w:rsidR="0052098F" w:rsidRDefault="0052098F" w:rsidP="0052098F">
      <w:pPr>
        <w:pStyle w:val="TextoNormal"/>
      </w:pPr>
      <w:r>
        <w:t>En relación con la queja del art. 23.2 CE solicitó su desestimación remitiéndose a sus alegaciones efectuadas en el recurso de amparo núm. 6452-2002.</w:t>
      </w:r>
    </w:p>
    <w:p w:rsidR="0052098F" w:rsidRDefault="0052098F" w:rsidP="0052098F">
      <w:pPr>
        <w:pStyle w:val="TextoNormal"/>
      </w:pPr>
    </w:p>
    <w:p w:rsidR="0052098F" w:rsidRDefault="0052098F" w:rsidP="0052098F">
      <w:pPr>
        <w:pStyle w:val="TextoNormal"/>
      </w:pPr>
      <w:r w:rsidRPr="0052098F">
        <w:rPr>
          <w:rStyle w:val="NumeroAFNegritaCaracter"/>
        </w:rPr>
        <w:t>11</w:t>
      </w:r>
      <w:r>
        <w:t>. Por providencia de 21 de febrero de 2008 se señaló para deliberación y votación de la presente Sentencia el día 25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Los presentes recursos de amparo, núms. 6452-2002 y 3049-2004, se plantean dentro del ámbito de un concurso unitario para la provisión de puestos de trabajo reservado a los funcionarios de la Administración local con habilitación de carácter nacional convocado por la Dirección General de la Función Pública del Ministerio de Administraciones Públicas; el primero de ellos interpuesto frente a la Resolución de 28 de octubre de 1997, por la que se daba publicidad a los méritos generales de los funcionarios de Administración local con </w:t>
      </w:r>
      <w:r>
        <w:lastRenderedPageBreak/>
        <w:t>habilitación de carácter nacional y contra la Sentencia del Tribunal Superior de Justicia de Canarias de 21 de junio de 2002 que inadmite el recurso contencioso-administrativo interpuesto contra la citada resolución; el segundo se plantea frente a la Resolución de 2 de febrero de 1998 por la que se resuelve el concurso y contra la Sentencia del Tribunal Superior de Justicia de Canarias de 26 de marzo de 2004 que desestima el recurso contencioso-administrativo interpuesto contra la resolución señalada.</w:t>
      </w:r>
    </w:p>
    <w:p w:rsidR="0052098F" w:rsidRDefault="0052098F" w:rsidP="0052098F">
      <w:pPr>
        <w:pStyle w:val="TextoNormal"/>
      </w:pPr>
    </w:p>
    <w:p w:rsidR="0052098F" w:rsidRDefault="0052098F" w:rsidP="0052098F">
      <w:pPr>
        <w:pStyle w:val="TextoNormal"/>
      </w:pPr>
      <w:r w:rsidRPr="0052098F">
        <w:rPr>
          <w:rStyle w:val="NumeroAFNegritaCaracter"/>
        </w:rPr>
        <w:t>2</w:t>
      </w:r>
      <w:r>
        <w:t>. Como se ha expuesto con más detalle en los antecedentes de hecho, considera el recurrente en la demanda de amparo núm. 6452-2002 que se ha vulnerado su derecho a la tutela judicial efectiva, art. 24.1 CE, en su vertiente de acceso a la justicia, al habérsele impedido obtener una respuesta sobre el fondo, al haber sido inadmitido por extemporáneo el recurso contencioso-administrativo que interpuso frente a la resolución por la que se daba publicidad a los méritos de los concursantes, cuando éste carecía de pie de recurso. En segundo término, se queja de la vulneración del art. 14 CE ya que estima que la Sentencia ahora recurrida de 21 de junio de 2002 y la que finalmente desestimó el recurso de protección de los derechos fundamentales (Sentencia del Tribunal Superior de Justicia de Canarias de 17 de septiembre de 1999), dictadas ambas por el mismo órgano judicial, contienen criterios contrarios respecto de un mismo hecho; en tercer lugar, estima vulnerado su derecho a acceder en condiciones de igualdad a los cargos públicos, art. 23.2 CE; considera que a doña Ana María Echeandía Mota, adjudicataria de la plaza a la que él optaba se le ha valorado, a efectos de resolver el concurso de traslado en la categoría superior, una puntuación por permanencia en el puesto de trabajo que ya había sido tomada en cuenta a efectos de que obtuviera un ascenso de categoría (desde la categoría de entrada a la superior), por ello afirma que se valoró dos veces una misma circunstancia, doble valoración que, a su juicio, vulnera la igualdad en el acceso a funciones y cargos públicos reconocido en el art. 23.2CE.</w:t>
      </w:r>
    </w:p>
    <w:p w:rsidR="0052098F" w:rsidRDefault="0052098F" w:rsidP="0052098F">
      <w:pPr>
        <w:pStyle w:val="TextoNormal"/>
      </w:pPr>
      <w:r>
        <w:t>En el recurso de amparo núm. 3049-2004, considera que el Tribunal Superior de Justicia de Canarias el 26 de marzo de 2004 reincide en la contradicción que también imputa a la anterior Sentencia recurrida en su primer recurso de amparo. El recurrente, reiterando los hechos de la demanda núm. 6452-2002, se queja de la vulneración del art. 24.1 CE ya que, a su juicio, la Sentencia de 26 de marzo de 2004 insiste en el argumento de que consintió el acto recurrido, cuando no fue así; por último insiste en la vulneración del art. 23.2 CE.</w:t>
      </w:r>
    </w:p>
    <w:p w:rsidR="0052098F" w:rsidRDefault="0052098F" w:rsidP="0052098F">
      <w:pPr>
        <w:pStyle w:val="TextoNormal"/>
      </w:pPr>
      <w:r>
        <w:t>El Abogado del Estado, el Ministerio Fiscal y la adjudicataria de la plaza, comparecida en este proceso, como se ha detallado en los antecedentes, solicitan la desestimación de los recursos planteados por el demandante.</w:t>
      </w:r>
    </w:p>
    <w:p w:rsidR="0052098F" w:rsidRDefault="0052098F" w:rsidP="0052098F">
      <w:pPr>
        <w:pStyle w:val="TextoNormal"/>
      </w:pPr>
    </w:p>
    <w:p w:rsidR="0052098F" w:rsidRDefault="0052098F" w:rsidP="0052098F">
      <w:pPr>
        <w:pStyle w:val="TextoNormal"/>
      </w:pPr>
      <w:r w:rsidRPr="0052098F">
        <w:rPr>
          <w:rStyle w:val="NumeroAFNegritaCaracter"/>
        </w:rPr>
        <w:t>3</w:t>
      </w:r>
      <w:r>
        <w:t>. Sin perjuicio de lo accidentado que ha sido la vía judicial previa de los presentes recursos de amparo, se pueden extraer las siguientes conclusiones, que servirán para analizar con mayor claridad las presentes demandas: de los dos recursos acumulados se pueden deducir tres quejas diferentes: las dos primeras, al amparo del art. 44 LOTC, se imputan a las resoluciones judiciales recurridas en las presentes demandas de amparo y se refieren a la supuesta vulneración del derecho a la tutela judicial efectiva, art. 24 CE, en su vertiente de acceso a la justicia, por no haber obtenido una respuesta de fondo a su pretensión, y a la presunta desigualdad sufrida en aplicación de la ley, art. 14 CE; la tercera queja, se plantea a través del art.  43 LOTC y se refiere a la presunta lesión del derecho reconocido en el art. 23.2 CE, que se imputa a la Administración.</w:t>
      </w:r>
    </w:p>
    <w:p w:rsidR="0052098F" w:rsidRDefault="0052098F" w:rsidP="0052098F">
      <w:pPr>
        <w:pStyle w:val="TextoNormal"/>
      </w:pPr>
      <w:r>
        <w:t xml:space="preserve">De acuerdo con reiterada doctrina de este Tribunal, por todas STC 5/2008, de 21 de enero, FJ 3, al enfrentarnos ante unos recursos de amparo mixtos como los presentes acumulados, debemos comenzar nuestro análisis por las supuestas lesiones ocasionadas por la </w:t>
      </w:r>
      <w:r>
        <w:lastRenderedPageBreak/>
        <w:t>actuación de la Administración, alegadas al amparo del art. 43 LOTC, puesto que son autónomas respecto del proceso judicial que fue instado con el propósito de agotar correctamente la vía judicial previa en virtud del carácter subsidiario del recurso de amparo. Solamente después del estudio de las quejas imputadas a la Administración, se procederá, en su caso, al análisis de las presuntas lesionas ocasionadas por los órganos judiciales.</w:t>
      </w:r>
    </w:p>
    <w:p w:rsidR="0052098F" w:rsidRDefault="0052098F" w:rsidP="0052098F">
      <w:pPr>
        <w:pStyle w:val="TextoNormal"/>
      </w:pPr>
    </w:p>
    <w:p w:rsidR="0052098F" w:rsidRDefault="0052098F" w:rsidP="0052098F">
      <w:pPr>
        <w:pStyle w:val="TextoNormal"/>
      </w:pPr>
      <w:r w:rsidRPr="0052098F">
        <w:rPr>
          <w:rStyle w:val="NumeroAFNegritaCaracter"/>
        </w:rPr>
        <w:t>4</w:t>
      </w:r>
      <w:r>
        <w:t>. Respecto a la queja relativa a la supuesta lesión del art. 23.2 CE, que se imputa a la actuación de la Administración, se concreta en que a la concursante, finalmente adjudicataria de una plaza y comparecida en este proceso, se le puntuaron, a juicio del recurrente, dos veces los mismos servicios prestados; considera que se le otorgó una puntuación por permanencia en el puesto de trabajo que ya había sido tenida en cuenta a efectos de que tuviera un ascenso de categoría y al tomarse en cuenta esa puntuación a efectos de resolver el concurso de traslado en la categoría superior se valoró dos veces la misma circunstancia, perjudicándose con ello al demandante.</w:t>
      </w:r>
    </w:p>
    <w:p w:rsidR="0052098F" w:rsidRDefault="0052098F" w:rsidP="0052098F">
      <w:pPr>
        <w:pStyle w:val="TextoNormal"/>
      </w:pPr>
      <w:r>
        <w:t>No opinan así ni el Abogado del Estado, ni el Ministerio Fiscal, ni, evidentemente, la comparecida, que, como ha quedado detallado en los antecedentes de hecho, consideran que la Administración al puntuar dicha permanencia se ha limitado a aplicar la normativa, además, computando dicha valoración por “permanencia en el puesto de trabajo” a todos aquellos concursantes que reunían los requisitos exigidos sin diferenciación especial en el caso de la adjudicataria y comparecida en este proceso.</w:t>
      </w:r>
    </w:p>
    <w:p w:rsidR="0052098F" w:rsidRDefault="0052098F" w:rsidP="0052098F">
      <w:pPr>
        <w:pStyle w:val="TextoNormal"/>
      </w:pPr>
      <w:r>
        <w:t>También la Sentencia de 24 de marzo de 2006 del Tribunal Superior de Justicia de Canarias, recurrida de manera indirecta en amparo por no haber restablecido al recurrente en la supuesta vulneración del art. 23.2 CE que la resolución de adjudicación del concurso le habría ocasionado, al resolver el recurso contencioso-administrativo planteado contra dicha resolución, afirmó que la valoración de la permanencia en el puesto de trabajo, aun cuando dicha permanencia hubiera servido para ascender de categoría, en nada lesiona el derecho del recurrente a la igualdad en el acceso a los cargos públicos.</w:t>
      </w:r>
    </w:p>
    <w:p w:rsidR="0052098F" w:rsidRDefault="0052098F" w:rsidP="0052098F">
      <w:pPr>
        <w:pStyle w:val="TextoNormal"/>
      </w:pPr>
    </w:p>
    <w:p w:rsidR="0052098F" w:rsidRDefault="0052098F" w:rsidP="0052098F">
      <w:pPr>
        <w:pStyle w:val="TextoNormal"/>
      </w:pPr>
      <w:r w:rsidRPr="0052098F">
        <w:rPr>
          <w:rStyle w:val="NumeroAFNegritaCaracter"/>
        </w:rPr>
        <w:t>5</w:t>
      </w:r>
      <w:r>
        <w:t>. Como punto de partida debemos recordar que en la STC 138/2000, de 29 de mayo, este Tribunal afirmó que para analizar una queja relativa a un derecho fundamental de carácter sustantivo como el citado, se debe realizar una indagación que no se cumple con la simple constatación de la razonable interpretación que pueda exhibir la resolución judicial impugnada; de otro modo, toda interpretación de la normativa reguladora del acceso a las funciones públicas que se estime lesiva de cualquier otro derecho fundamental de carácter sustantivo sería reconducible al marco del derecho a la tutela judicial efectiva que, al mismo tiempo que se convertiría en un confuso cajón de sastre, perdería los perfiles propios que le caracterizan, tal como ha sido construido a través de la jurisprudencia de este Tribunal. Si esa interpretación de la legalidad contiene razonamientos y pronunciamientos lesivos de un derecho fundamental de carácter sustantivo podrá ser anulada en esta sede constitucional, pero por vulneración de este derecho y no del derecho a la tutela judicial efectiva.</w:t>
      </w:r>
    </w:p>
    <w:p w:rsidR="0052098F" w:rsidRDefault="0052098F" w:rsidP="0052098F">
      <w:pPr>
        <w:pStyle w:val="TextoNormal"/>
      </w:pPr>
      <w:r>
        <w:t xml:space="preserve">Una vez perfilado el alcance de nuestro análisis, es conveniente recordar que, como ya dijimos en la STC 73/1998, de 31 de marzo, el derecho fundamental reconocido en el art. 23.2 CE no sólo se proyecta sobre los cargos de representación política sino también sobre los funcionariales, lo que ha llevado a rodear a los procesos de acceso a la función pública de una importante serie de garantías invocables en el recurso de amparo constitucional, sin perjuicio de que también es doctrina consolidada, por todas STC 353/1993, de 29 de noviembre, que dicho precepto no confiere derecho sustantivo alguno a la ocupación de cargos ni a desempeñar funciones determinadas, sino que garantiza a los ciudadanos una situación </w:t>
      </w:r>
      <w:r>
        <w:lastRenderedPageBreak/>
        <w:t>jurídica de igualdad en el acceso a las funciones públicas, con la consiguiente imposibilidad de establecer requisitos para acceder a las mismas que tengan carácter discriminatorio; se otorga así un derecho de carácter reaccional para impugnar ante la justicia ordinaria, y en último extremo ante este Tribunal, toda norma o aplicación concreta de una norma que quiebre la igualdad.</w:t>
      </w:r>
    </w:p>
    <w:p w:rsidR="0052098F" w:rsidRDefault="0052098F" w:rsidP="0052098F">
      <w:pPr>
        <w:pStyle w:val="TextoNormal"/>
      </w:pPr>
      <w:r>
        <w:t>También hemos dicho que el art. 23.2 CE “actúa no sólo en el momento del acceso a la función pública, sino también durante la vigencia de la relación funcionarial y, por tanto, es aplicable a los actos relativos a la provisión de puestos de trabajo (SSTC 75/1983, 15/1988 y 47/1989). Sin embargo,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 (STC 365/1993, de 13 de diciembre, FJ 7). Por tanto, con ciertas matizaciones cabe alegar la vulneración del art. 23.2 CE en un concurso de traslados como es el caso.</w:t>
      </w:r>
    </w:p>
    <w:p w:rsidR="0052098F" w:rsidRDefault="0052098F" w:rsidP="0052098F">
      <w:pPr>
        <w:pStyle w:val="TextoNormal"/>
      </w:pPr>
    </w:p>
    <w:p w:rsidR="0052098F" w:rsidRDefault="0052098F" w:rsidP="0052098F">
      <w:pPr>
        <w:pStyle w:val="TextoNormal"/>
      </w:pPr>
      <w:r w:rsidRPr="0052098F">
        <w:rPr>
          <w:rStyle w:val="NumeroAFNegritaCaracter"/>
        </w:rPr>
        <w:t>6</w:t>
      </w:r>
      <w:r>
        <w:t>. El concreto contenido de este derecho fundamental, conforme a nuestra jurisprudencia, puede sintetizarse en los siguientes puntos:</w:t>
      </w:r>
    </w:p>
    <w:p w:rsidR="0052098F" w:rsidRDefault="0052098F" w:rsidP="0052098F">
      <w:pPr>
        <w:pStyle w:val="TextoNormal"/>
      </w:pPr>
      <w:r>
        <w:t>a) En primer lugar, nos encontramos ante un derecho a la predeterminación normativa del procedimiento de acceso a las funciones públicas con los requisitos que señalen las leyes; como hemos declarado, por todas en las SSTC 73/1998, de 31 de marzo, y 138/2000, de 29 de mayo, la Constitución reserva a la ley, y, en todo caso, al principio de legalidad,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que sólo pueden preservarse y establecerse mediante la intervención positiva del legislador. Una verdadera predeterminación que ha de asegurar que la Administración encargada de valorar los candidatos no pueda actuar con un indiscriminado arbitrio, sino con el prudente y razonable que requiere el artículo 23. 2 CE, lo cual, por otra parte es lo que hace posible, en su caso, el ulterior control jurisdiccional, puesto que el juez que lo es de la legalidad, tendrá así un criterio con el que contrastar si la actuación administrativa se ha ajustado uno a las condiciones de igualdad mérito y capacidad previamente establecidas.</w:t>
      </w:r>
    </w:p>
    <w:p w:rsidR="0052098F" w:rsidRDefault="0052098F" w:rsidP="0052098F">
      <w:pPr>
        <w:pStyle w:val="TextoNormal"/>
      </w:pPr>
      <w:r>
        <w:t>En suma, “la fijación ex ante de los criterios de selección, tanto de carácter absoluto como relativo, en que consistan la igualdad, mérito y capacidad para cada función es la única forma de que pueda ejercerse el derecho mismo” (STC 48/1998, de 2 de marzo, FJ 7.b).</w:t>
      </w:r>
    </w:p>
    <w:p w:rsidR="0052098F" w:rsidRDefault="0052098F" w:rsidP="0052098F">
      <w:pPr>
        <w:pStyle w:val="TextoNormal"/>
      </w:pPr>
      <w:r>
        <w:t xml:space="preserve">b) En segundo lugar, pero en inescindible conexión con lo anterior, hemos destacado que nos hallamos ante un derecho de acceso a las funciones públicas “en condiciones de igualdad”, lo que supone que las normas reguladoras del proceso selectivo han de asegurar a los ciudadanos una situación jurídica de igualdad en el acceso a las funciones públicas, con la inmediata interdicción de requisitos de acceso que tengan carácter discriminatorio (SSTC 193/1987, de 9 de diciembre, 47/1990, de 20 de marzo, o 353/1993, de 29 de noviembre), o de referencias individualizadas (STC 67/1989, de 18 de abril). Entre las específicas garantías que la jurisprudencia de este Tribunal ha ido situando en el contenido de este derecho fundamental, se encuentra la del derecho a la igualdad en la aplicación misma de la ley: “el </w:t>
      </w:r>
      <w:r>
        <w:lastRenderedPageBreak/>
        <w:t>derecho proclamado en el art. 23.2 CE incorpora 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 En todos los momentos del proceso selectivo la Administración está objetivamente obligada a dispensar a todos un trato igual. Las 'condiciones de igualdad' a las que se refiere el art. 23.2 CE se proyectan, por tanto, no sólo en relación con las propias 'leyes', sino también con su aplicación e interpretación [por todas, SSTC 10/1998, de 13 de enero, FJ 5, y 73/1998, de 31 de marzo, FJ 3 c)]” (STC 107/2003, de 2 de junio, FJ 4). En definitiva el art. 23.2 CE, garantiza un trato igualitario a todos los participantes en un proceso selectivo.</w:t>
      </w:r>
    </w:p>
    <w:p w:rsidR="0052098F" w:rsidRDefault="0052098F" w:rsidP="0052098F">
      <w:pPr>
        <w:pStyle w:val="TextoNormal"/>
      </w:pPr>
      <w:r>
        <w:t>c) En cuanto al alcance del análisis del Tribunal, debe tenerse presente que, como la STC 353/1993, de 29 de noviembre, declaró, “lo que no cabe pedir en la vía del recurso de amparo es que este Tribunal entre a examinar y, en su caso, a revisar o a rectificar la estimación que de los méritos y capacidades de los aspirantes a determinados puestos se lleve a cabo por los órganos calificadores de los concursos y oposiciones, pretensión esta que confundiría lo resuelto en un procedimiento necesariamente selectivo con la afectación del derecho ex art. 23.2 de la C.E. y que entrañaría, por lo mismo, pedir a este Tribunal Constitucional algo que no entra en su jurisdicción (ATC 1239/1987)” (FJ 6).</w:t>
      </w:r>
    </w:p>
    <w:p w:rsidR="0052098F" w:rsidRDefault="0052098F" w:rsidP="0052098F">
      <w:pPr>
        <w:pStyle w:val="TextoNormal"/>
      </w:pPr>
      <w:r>
        <w:t>d) Por último hemos afirmado, por todas STC 221/2004, de 29 de noviembre, que el art. 23.2 CE “no consagra un pretendido derecho fundamental al estricto cumplimiento de la legalidad en el acceso a los cargos públicos, por lo que sólo cuando la infracción de las normas o bases del proceso selectivo implique, a su vez, una vulneración de la igualdad entre los participantes, cabe entender que se ha vulnerado esta dimensión interna y más específica del derecho fundamental que reconoce el art.  23.2 CE, lo que de suyo exige la existencia de un término de comparación sobre el que articular un eventual juicio de igualdad [SSTC 115/1996, de 25 de junio, FJ 4; 73/1998, de 31 de marzo, FJ 3 c); y 138/2000, de 29 de mayo, FJ 6 c)]” (STC 107/2003, de 2 de junio, FJ 4).</w:t>
      </w:r>
    </w:p>
    <w:p w:rsidR="0052098F" w:rsidRDefault="0052098F" w:rsidP="0052098F">
      <w:pPr>
        <w:pStyle w:val="TextoNormal"/>
      </w:pPr>
      <w:r>
        <w:t>En definitiva, lo que se debe enjuiciar en este proceso constitucional, como se aclaró en la STC 353/1993, de 29 de noviembre, cuando se trate de una controversia surgida en la ejecución de un procedimiento selectivo dotado de unas bases adecuadas a las exigencias constitucionales, es si se han introducido por las Administraciones públicas, “explícitamente o no, referencias individuales”, o si existe alguna “quiebra relevante en el procedimiento que llevara a la preterición de un aspirante al cargo o a la función” o, en fin, si “no se hayan considerado por el Tribunal que resolvió en la vía previa al amparo, o se hayan decidido en términos irrazonables, las tachas opuestas por quien se diga discriminado en la provisión final del puesto otorgado en desprecio de los principios de mérito y capacidad” (FJ 6).</w:t>
      </w:r>
    </w:p>
    <w:p w:rsidR="0052098F" w:rsidRDefault="0052098F" w:rsidP="0052098F">
      <w:pPr>
        <w:pStyle w:val="TextoNormal"/>
      </w:pPr>
    </w:p>
    <w:p w:rsidR="0052098F" w:rsidRDefault="0052098F" w:rsidP="0052098F">
      <w:pPr>
        <w:pStyle w:val="TextoNormal"/>
      </w:pPr>
      <w:r w:rsidRPr="0052098F">
        <w:rPr>
          <w:rStyle w:val="NumeroAFNegritaCaracter"/>
        </w:rPr>
        <w:t>7</w:t>
      </w:r>
      <w:r>
        <w:t>. La aplicación de lo anteriormente expuesto al presente caso, conduce a desestimar la alegada vulneración del derecho fundamental a acceder en condiciones de igualdad a las funciones y cargos públicos, con los requisitos que señalen las leyes (art.  23.2 CE).</w:t>
      </w:r>
    </w:p>
    <w:p w:rsidR="0052098F" w:rsidRDefault="0052098F" w:rsidP="0052098F">
      <w:pPr>
        <w:pStyle w:val="TextoNormal"/>
      </w:pPr>
      <w:r>
        <w:t>En efecto, como se ha puesto de manifiesto por el Abogado del Estado, el Ministerio Fiscal y la comparecida en este proceso, la valoración a esta última de la “permanencia en el puesto de trabajo”, se ha realizado como consecuencia de la aplicación de la normativa y sin que, además, se haya acreditado cualquier trato discriminatorio en contra del recurrente; tampoco ha quedado acreditado que la concursante que finalmente obtuvo la plaza a la que optaba el demandante, haya sido tratada o valorada de forma diferente a la de aquéllos que se encontraban en su misma situación laboral.</w:t>
      </w:r>
    </w:p>
    <w:p w:rsidR="0052098F" w:rsidRDefault="0052098F" w:rsidP="0052098F">
      <w:pPr>
        <w:pStyle w:val="TextoNormal"/>
      </w:pPr>
      <w:r>
        <w:lastRenderedPageBreak/>
        <w:t>El demandante, insistiendo en los argumentos expuestos en una Sentencia judicial que fue anulada, considera que a la adjudicataria de la plaza y comparecida en este proceso se le ha valorado, a efectos de resolver el concurso de traslado en la categoría superior, una puntuación por permanencia en el puesto de trabajo que ya había sido tomada en cuenta a efectos de que obtuviera un ascenso de categoría (desde la categoría de entrada a la superior), por ello afirma que se valoró dos veces una misma circunstancia, doble valoración que, a su juicio, vulnera la igualdad en el acceso a funciones y cargos públicos reconocido en el art. 23.2 CE, en otras palabras, considera que el tiempo de permanencia que sirvió a la concursante para ascender de categoría, no puede ser valorado también para concursar dentro de la categoría superior.</w:t>
      </w:r>
    </w:p>
    <w:p w:rsidR="0052098F" w:rsidRDefault="0052098F" w:rsidP="0052098F">
      <w:pPr>
        <w:pStyle w:val="TextoNormal"/>
      </w:pPr>
      <w:r>
        <w:t>Debemos constatar que se ha aplicado la normativa sobre esta cuestión sin infracción del art. 23.2 CE. En este sentido, el Real Decreto 1732/1994, de 29 de julio, por el que se regula la provisión de puestos de trabajo de la Administración local reservados a funcionarios con habilitación de carácter nacional, establece en su art. 15.1, al regular los méritos generales que se valorarán “los servicios como funcionarios con habilitación de carácter nacional, hasta un máximo de seis puntos, con distinción entre los prestados en situación de activo o asimilado en la subescala en que se concursa y los servicios en otras subescalas, con estimación, asimismo, de la permanencia continuada en el puesto reservado desde el que se concursa”; por su parte la Orden de 10 de agosto de 1994, que desarrolla el anterior Real Decreto, dispone en cuanto a la valoración de los méritos, art. 1 a), que se puntuará 0,03 puntos por mes trabajado en “servicios activo ocupando puestos reservados a la propia subescala de funcionarios con habilitación de carácter nacional, o servicios en Comunidades Autónomas, ocupando puestos reservados a dicha subescala”. El punto 3 del mencionado artículo, establece “la valoración de los servicios prestados a los que se refiere la letra a) del apartado 1 del presente artículo se incrementará, por razón de permanencia continuada en el mismo puesto de trabajo reservado a funcionario con habilitación de carácter nacional, que se esté desempeñando a la fecha de la resolución de publicación de la convocatoria conjunta de concurso con arreglo a la siguiente escala”. A continuación señala la puntuación dependiendo del número de años de permanencia.</w:t>
      </w:r>
    </w:p>
    <w:p w:rsidR="0052098F" w:rsidRDefault="0052098F" w:rsidP="0052098F">
      <w:pPr>
        <w:pStyle w:val="TextoNormal"/>
      </w:pPr>
      <w:r>
        <w:t>De lo expuesto cabe deducir que la interpretación realizada por la Administración al valorar la permanencia en el puesto de trabajo reservado a funcionario con habilitación de carácter nacional teniendo en cuenta la subescala y no la categoría (de entrada o superior) es, como puso de manifiesto el Abogado del Estado en sus alegaciones, una interpretación, que si bien pudiera no ser la única posible, en nada vulnera el art. 23.2 CE, puesto que no supone un trato discriminatorio, sino una baremación igual a todos los concursante que se hallen en las mismas circunstancias. Puede discutirse, como ha hecho el recurrente, la oportunidad o no de modular la valoración de la permanencia en el puesto de trabajo dependiendo del tiempo trabajado en una u otra categoría (de entrada o superior), pero esta cuestión no afecta al derecho fundamental recogido en el art. 23.2 CE, puesto que, este criterio ha respetado su contenido de acuerdo a lo expuesto anteriormente.</w:t>
      </w:r>
    </w:p>
    <w:p w:rsidR="0052098F" w:rsidRDefault="0052098F" w:rsidP="0052098F">
      <w:pPr>
        <w:pStyle w:val="TextoNormal"/>
      </w:pPr>
      <w:r>
        <w:t>En el proceso selectivo llevado a cabo se ha respetado la predeterminación normativa que exige nuestra jurisprudencia, ya que estaban establecidos previamente con claridad los criterios a seguir por la Administración, y, asimismo, no se puede constatar un trato desigual puesto que a la codemandada se le valoró la permanencia en su puesto de trabajo al igual que a todos los concursantes que estaban en su mismo situación.</w:t>
      </w:r>
    </w:p>
    <w:p w:rsidR="0052098F" w:rsidRDefault="0052098F" w:rsidP="0052098F">
      <w:pPr>
        <w:pStyle w:val="TextoNormal"/>
      </w:pPr>
      <w:r>
        <w:t xml:space="preserve">En realidad lo pretendido por el recurrente es que, considerando su situación laboral diferente a la de la codemandada, puesto que él pertenecía a la categoría superior y ella, en un principio no, ello debe implicar un trato diferente, sin embargo, además de lo dicho antes </w:t>
      </w:r>
      <w:r>
        <w:lastRenderedPageBreak/>
        <w:t>debe recordarse que este Tribunal ya ha reiterado que resulta ajeno al núcleo de protección del art. 14 CE la “discriminación por indiferenciación”, al no consagrar el principio de igualdad un derecho a la desigualdad de trato, ni ampara la falta de distinción entre supuestos desiguales, por lo que no existe ningún derecho subjetivo al trato normativo desigual (por todas, SSTC 117/2006, de 24 de abril, FJ 2; 69/2007, de 16 de abril).</w:t>
      </w:r>
    </w:p>
    <w:p w:rsidR="0052098F" w:rsidRDefault="0052098F" w:rsidP="0052098F">
      <w:pPr>
        <w:pStyle w:val="TextoNormal"/>
      </w:pPr>
    </w:p>
    <w:p w:rsidR="0052098F" w:rsidRDefault="0052098F" w:rsidP="0052098F">
      <w:pPr>
        <w:pStyle w:val="TextoNormal"/>
      </w:pPr>
      <w:r w:rsidRPr="0052098F">
        <w:rPr>
          <w:rStyle w:val="NumeroAFNegritaCaracter"/>
        </w:rPr>
        <w:t>8</w:t>
      </w:r>
      <w:r>
        <w:t>. Una vez rechazada la queja relativa al art. 23.2 CE imputada a la Administración, procede, no obstante, realizar el análisis de las alegaciones vertidas sobre la actuación judicial, a la que se imputa la vulneración del art. 24.1 CE. Debe señalarse que la esencia de las quejas del recurso de amparo núm. 6452-2002, consistía en que un órgano judicial se pronunciara sobre la adecuación a Derecho de la valoración del mérito relativo a la “permanencia en el puesto de trabajo” y la posible vulneración del art. 23.2 CE.</w:t>
      </w:r>
    </w:p>
    <w:p w:rsidR="0052098F" w:rsidRDefault="0052098F" w:rsidP="0052098F">
      <w:pPr>
        <w:pStyle w:val="TextoNormal"/>
      </w:pPr>
      <w:r>
        <w:t>Esta pretensión, como ha quedado expuesto en los antecedentes, fue ejercitada sin éxito a través de diferentes vías; el demandante interpuso recurso administrativo frente a la Resolución de 28 de octubre de 1997 por la que se daba publicidad a los méritos; en este recurso obtuvo una respuesta de fondo, si bien fue inadmitido por extemporáneo y porque realmente el acto recurrido agotaba la vía administrativa, y lo que es más importante, se le ofreció recurso judicial que no interpuso; este último detalle podría interpretarse como un consentimiento del acto que luego intentará, por otras vías, recurrir.</w:t>
      </w:r>
    </w:p>
    <w:p w:rsidR="0052098F" w:rsidRDefault="0052098F" w:rsidP="0052098F">
      <w:pPr>
        <w:pStyle w:val="TextoNormal"/>
      </w:pPr>
      <w:r>
        <w:t>También la discutida valoración de méritos fue la pretensión principal de su recurso frente a la Resolución de 2 de febrero de 1998 por la que se adjudicaron las plazas objeto del concurso, que articuló a través del procedimiento especial de protección de los derechos fundamentales y que, tras las incidencias relatadas en los antecedentes de hecho, fue inadmitido, precisamente, por no haber recurrido la resolución de inadmisión del recurso administrativo antes señalado.</w:t>
      </w:r>
    </w:p>
    <w:p w:rsidR="0052098F" w:rsidRDefault="0052098F" w:rsidP="0052098F">
      <w:pPr>
        <w:pStyle w:val="TextoNormal"/>
      </w:pPr>
      <w:r>
        <w:t>En tercer lugar, el recurrente planteó recurso contencioso-administrativo ordinario frente a la propia Resolución 28 de octubre de 1997 por la que se daba publicidad a los méritos, siendo inadmitido por extemporaneidad por la Sentencia del Tribunal Superior de Justicia de Canarias de 21 de junio de 2002, objeto del primer recurso de amparo núm. 6452-2002.</w:t>
      </w:r>
    </w:p>
    <w:p w:rsidR="0052098F" w:rsidRDefault="0052098F" w:rsidP="0052098F">
      <w:pPr>
        <w:pStyle w:val="TextoNormal"/>
      </w:pPr>
      <w:r>
        <w:t>Es cierto que todas estas vías resultaron ineficaces y ningún órgano judicial llegó a pronunciarse sobre el fondo de la pretensión, y podría admitirse, a efectos dialécticos, que alguna de las resoluciones podría considerarse excesivamente rigorista o desproporcionada al adoptar la decisión de inadmitir el recurso contencioso-administrativo por extemporaneidad cuando la resolución impugnada, al no contener pie de recurso, podría ser considerada como defectuosamente notificada.</w:t>
      </w:r>
    </w:p>
    <w:p w:rsidR="0052098F" w:rsidRDefault="0052098F" w:rsidP="0052098F">
      <w:pPr>
        <w:pStyle w:val="TextoNormal"/>
      </w:pPr>
      <w:r>
        <w:t>Pero, siendo cierto lo anterior no lo es menos que el recurrente ha obtenido finalmente un respuesta sobre el fondo de su pretensión, ya que intentó una cuarta vía de impugnación de la valoración de los méritos, como se pone de manifiesto en el segundo recurso de amparo, núm. 3049-2004, del que se desprende claramente que el demandante, tras la impugnación de la resolución administrativa que resolvía el concurso, basado nuevamente este recurso en la discutida valoración de los méritos, obtuvo una respuesta judicial razonada y fundada mediante la Sentencia impugnada en dicho recurso de amparo, de 26 de marzo de 2004 del Tribunal Superior de Justicia de Canarias, que abordó el tema de fondo que había motivado toda la actuación impugnatoria del recurrente: la valoración del mérito de “permanencia en el puesto de trabajo”.</w:t>
      </w:r>
    </w:p>
    <w:p w:rsidR="0052098F" w:rsidRDefault="0052098F" w:rsidP="0052098F">
      <w:pPr>
        <w:pStyle w:val="TextoNormal"/>
      </w:pPr>
      <w:r>
        <w:t xml:space="preserve">En definitiva la supuesta lesión del art. 24.1 CE que podría haber cometido el Tribunal Superior de Justicia de Canarias en la Sentencia recurrida en el primer recurso de amparo ha sido restablecida por el mismo órgano judicial en la Sentencia impugnada en el segundo, </w:t>
      </w:r>
      <w:r>
        <w:lastRenderedPageBreak/>
        <w:t>en la que, en contra de lo que expone el recurrente, el Tribunal analiza el fondo de lo que ha constituido su principal pretensión desde el inicio de sus impugnaciones: la adecuación a Derecho de la valoración de los méritos en el referido concurso y, concretamente, la pertinencia de computar como mérito evaluable el de la permanencia en el puesto de trabajo.</w:t>
      </w:r>
    </w:p>
    <w:p w:rsidR="0052098F" w:rsidRDefault="0052098F" w:rsidP="0052098F">
      <w:pPr>
        <w:pStyle w:val="TextoNormal"/>
      </w:pPr>
      <w:r>
        <w:t>Hemos dicho en reiteradas ocasiones, por todas, STC 118/2007, de 21 de mayo, que la desaparición sobrevenida del objeto ha sido admitida por este Tribunal como forma de terminación del proceso constitucional de amparo cuando en el procedimiento que dio origen al recurso de amparo la lesión aducida fue reparada o bien por los propios órganos judiciales, o bien como consecuencia de la desaparición de la causa o acto que inició el procedimiento. Este Tribunal ha declarado en reiteradas ocasiones que la función que cumple el recurso de amparo es la de la reparación de lesiones singulares y efectivas de los derechos fundamentales, por lo que cuando tal reparación se produce fuera del proceso de amparo no cabe sino concluir que éste carece desde ese momento de objeto, salvo que a pesar de haber desaparecido formalmente el acto lesivo nuestra respuesta siguiera siendo necesaria teniendo en cuenta otros elementos de juicio.</w:t>
      </w:r>
    </w:p>
    <w:p w:rsidR="0052098F" w:rsidRDefault="0052098F" w:rsidP="0052098F">
      <w:pPr>
        <w:pStyle w:val="TextoNormal"/>
      </w:pPr>
      <w:r>
        <w:t>En definitiva la queja sobre la supuesta vulneración del derecho a la tutela judicial efectiva, del recurrente, en su vertiente de acceso a la justicia, debe rechazarse, puesto que, de haberse realmente producido, fue subsanada por el mismo órgano judicial al pronunciarse sobre el fondo de la pretensión del demandante.</w:t>
      </w:r>
    </w:p>
    <w:p w:rsidR="0052098F" w:rsidRDefault="0052098F" w:rsidP="0052098F">
      <w:pPr>
        <w:pStyle w:val="TextoNormal"/>
      </w:pPr>
    </w:p>
    <w:p w:rsidR="0052098F" w:rsidRDefault="0052098F" w:rsidP="0052098F">
      <w:pPr>
        <w:pStyle w:val="TextoNormal"/>
      </w:pPr>
      <w:r w:rsidRPr="0052098F">
        <w:rPr>
          <w:rStyle w:val="NumeroAFNegritaCaracter"/>
        </w:rPr>
        <w:t>9</w:t>
      </w:r>
      <w:r>
        <w:t>. La queja relativa a la supuesta vulneración del principio de igualdad en aplicación de la ley, art. 14 CE, debe ser igualmente rechazada. Conforme a la jurisprudencia consolidada de este Tribunal, por todas STC 201/2007, de 24 de septiembre, para que pueda apreciarse la vulneración del derecho a la igualdad en la aplicación de la ley se requieren,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w:t>
      </w:r>
    </w:p>
    <w:p w:rsidR="0052098F" w:rsidRDefault="0052098F" w:rsidP="0052098F">
      <w:pPr>
        <w:pStyle w:val="TextoNormal"/>
      </w:pPr>
      <w:r>
        <w:t>Pues bien, es evidente que en el caso que nos ocupa no se da la alteridad que requiere nuestra jurisprudencia, ya que el recurrente pretende compararse consigo mismo; no obstante, puesto que se plantea también esta queja como una posible lesión del art.  24.1 CE, por arbitrariedad al dictar un mismo órgano judicial resoluciones contradictorias, pasaremos al análisis de la misma.</w:t>
      </w:r>
    </w:p>
    <w:p w:rsidR="0052098F" w:rsidRDefault="0052098F" w:rsidP="0052098F">
      <w:pPr>
        <w:pStyle w:val="TextoNormal"/>
      </w:pPr>
      <w:r>
        <w:t>En el recurso de amparo núm. 6452-2002, se queja de la supuesta desigualdad entre las Sentencias dictadas ambas por el Tribunal Superior de Justicia de Canarias, la primera el 17 de septiembre de 1999 que desestima el recurso planteado a través del procedimiento especial de protección de los derechos fundamentales contra la resolución de adjudicación del concurso, y la Sentencia recurrida en amparo de 21 de junio de 2002, que inadmitió el recurso interpuesto frente a la resolución por la que se daba publicidad a los méritos.</w:t>
      </w:r>
    </w:p>
    <w:p w:rsidR="0052098F" w:rsidRDefault="0052098F" w:rsidP="0052098F">
      <w:pPr>
        <w:pStyle w:val="TextoNormal"/>
      </w:pPr>
      <w:r>
        <w:lastRenderedPageBreak/>
        <w:t>Sin embargo, no se puede constatar cambio injustificado de criterio como se alega; la Sentencia dictada el 17 de septiembre de 1999 puso de manifiesto que, al no recurrir la inadmisión del recurso que había interpuesto en vía administrativa frente a la resolución por la que se daba publicidad a los méritos, no se podía entrar en el fondo de la pretensión, puesto que se habían consentido las bases de la convocatoria; mientras que la Sentencia dictada el 21 de junio de 2002 declaró inadmisible el recurso contencioso-administrativo contra la resolución por la que se daba publicidad a los méritos por extemporaneidad.</w:t>
      </w:r>
    </w:p>
    <w:p w:rsidR="0052098F" w:rsidRDefault="0052098F" w:rsidP="0052098F">
      <w:pPr>
        <w:pStyle w:val="TextoNormal"/>
      </w:pPr>
      <w:r>
        <w:t>En cualquier caso, como ha quedado expuesto en el fundamento jurídico anterior, ninguna lesión efectiva ha podido ocasionar al recurrente la decisión de inadmisión de la Sentencia de 21 de junio de 2002, puesto que posteriormente se entró a conocer del fondo de su pretensión a través de la Sentencia de 26 de marzo de 2004, recurrida en el segundo recurso de amparo. En definitiva, siendo la supuesta contradicción del mismo órgano judicial la relativa a la apreciación de la recurribilidad o no de un acto administrativo, la queja pierde trascendencia, cuando, como es el caso, el demandante obtiene una respuesta judicial sobre el fondo de su pretensión a cerca del mencionado acto administrativo.</w:t>
      </w:r>
    </w:p>
    <w:p w:rsidR="0052098F" w:rsidRDefault="0052098F" w:rsidP="0052098F">
      <w:pPr>
        <w:pStyle w:val="TextoNormal"/>
      </w:pPr>
      <w:r>
        <w:t>No podemos obviar que nos encontramos ante un proceso selectivo y que el demandante impugnando la última resolución de adjudicación de las plazas tal y como ha hecho, ha provocado y obtenido una revisión por parte del órgano judicial no sólo del acto finalmente recurrido, sino también de aquellos de los que trae causa, en concreto, de la tan discutida valoración de los méritos.</w:t>
      </w:r>
    </w:p>
    <w:p w:rsidR="0052098F" w:rsidRDefault="0052098F" w:rsidP="0052098F">
      <w:pPr>
        <w:pStyle w:val="TextoNormal"/>
      </w:pPr>
      <w:r>
        <w:t>La queja sobre la supuesta desigualdad sufrida en aplicación de la ley que aduce el demandante en el segundo recurso de amparo núm. 3049-2004, carece igualmente de contenido; en primer lugar tampoco concurre el requisito de la alteridad, puesto que se pretende comparar consigo mismo, pero, en cualquier caso tampoco se constata cambio de criterio del Tribunal sentenciador. Al igual que su primer recurso de amparo, articula esta queja también denunciando la posible arbitrariedad del órgano judicial, lesionando con el supuesto cambio de criterio el art. 24.1 CE.</w:t>
      </w:r>
    </w:p>
    <w:p w:rsidR="0052098F" w:rsidRDefault="0052098F" w:rsidP="0052098F">
      <w:pPr>
        <w:pStyle w:val="TextoNormal"/>
      </w:pPr>
      <w:r>
        <w:t>Como pone de manifiesto el Abogado del Estado, el recurrente se equivoca al afirmar para fundamentar esta queja que la Sentencia de 26 de marzo de 2004 recurrida en el segundo recurso de amparo insiste en el argumento de que existe un acto consentido; no es así, puesto que la resolución judicial entra al fondo de la pretensión. Reitera el demandante que esta Sentencia de 26 de marzo de 2004 mantiene un criterio contrario a la dictada en 17 de septiembre de 1999, llegando a afirmar que si la ratio de ésta, que inadmitió el recurso planteado contra la resolución de adjudicación del concurso a través del procedimiento de protección de los derechos fundamentales, fue que existió un acto consentido, éste criterio debería haber sido mantenido por la Sentencia ahora recurrida en amparo de 26 de marzo de 2004, y el hecho de que haya entrado a conocer del fondo —como consecuencia del recurso del demandante— constituye, a su juicio, un comportamiento arbitrario del órgano judicial.</w:t>
      </w:r>
    </w:p>
    <w:p w:rsidR="0052098F" w:rsidRDefault="0052098F" w:rsidP="0052098F">
      <w:pPr>
        <w:pStyle w:val="TextoNormal"/>
      </w:pPr>
      <w:r>
        <w:t>En definitiva, la queja sobre la supuesta vulneración del principio de igualdad en aplicación de la ley, además de no reunir el requisito de alteridad, tampoco ha constituido un comportamiento arbitrario de los órganos judiciales, que, por el contrario, ante las diversas vías de impugnación utilizadas por el recurrente han dado una respuesta respetuosa con el derecho a la tutela judicial efectiva del mismo.</w:t>
      </w:r>
    </w:p>
    <w:p w:rsidR="0052098F" w:rsidRDefault="0052098F" w:rsidP="0052098F">
      <w:pPr>
        <w:pStyle w:val="TextoNormal"/>
      </w:pPr>
      <w:r>
        <w:t>Por todo lo dicho, procede la desestimación de los recursos de amparo núms. 6452-2002 y 3049-2004.</w:t>
      </w:r>
    </w:p>
    <w:p w:rsidR="0052098F" w:rsidRDefault="0052098F" w:rsidP="0052098F">
      <w:pPr>
        <w:pStyle w:val="TextoNormal"/>
      </w:pPr>
    </w:p>
    <w:p w:rsidR="0052098F" w:rsidRDefault="0052098F" w:rsidP="0052098F">
      <w:pPr>
        <w:pStyle w:val="TextoNormalCentrado"/>
        <w:keepNext/>
      </w:pPr>
      <w:r>
        <w:lastRenderedPageBreak/>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Denegar los amparos de don José Marcelino López Peraza acumulados en este proceso.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veinticinco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4" w:name="SENTENCIA_2008_31"/>
      <w:r>
        <w:lastRenderedPageBreak/>
        <w:t>SENTENCIA 31/2008, de 25 de febrero de 2008</w:t>
      </w:r>
    </w:p>
    <w:bookmarkEnd w:id="34"/>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76, de 28 de marzo de 2008)</w:t>
      </w:r>
    </w:p>
    <w:p w:rsidR="0052098F" w:rsidRDefault="0052098F" w:rsidP="0052098F">
      <w:pPr>
        <w:pStyle w:val="TtuloBOE"/>
      </w:pPr>
    </w:p>
    <w:p w:rsidR="0052098F" w:rsidRDefault="0052098F" w:rsidP="0052098F">
      <w:pPr>
        <w:pStyle w:val="SntesisDescriptiva"/>
      </w:pPr>
      <w:r>
        <w:t>ECLI:ES:TC:2008:31</w:t>
      </w:r>
    </w:p>
    <w:p w:rsidR="0052098F" w:rsidRDefault="0052098F" w:rsidP="0052098F">
      <w:pPr>
        <w:pStyle w:val="SntesisDescriptiva"/>
      </w:pPr>
    </w:p>
    <w:p w:rsidR="0052098F" w:rsidRDefault="0052098F" w:rsidP="0052098F">
      <w:pPr>
        <w:pStyle w:val="SntesisDescriptiva"/>
      </w:pPr>
      <w:r>
        <w:t>Recurso de amparo 6739-2004. Promovido por Frigoríficos Canarios y Explotaciones Pesqueras, S.A., respecto a la Sentencia y Auto de nulidad de la Sala de lo Contencioso-Administrativo del Tribunal Superior de Justicia de Canarias, con sede en Las Palmas de Gran Canaria, que desestimó su demanda contra la Junta de Puertos del Estado por liquidación de canon de concesión administrativa para ocupar el dominio público portuario de 1992.</w:t>
      </w:r>
    </w:p>
    <w:p w:rsidR="0052098F" w:rsidRDefault="0052098F" w:rsidP="0052098F">
      <w:pPr>
        <w:pStyle w:val="SntesisDescriptiva"/>
      </w:pPr>
    </w:p>
    <w:p w:rsidR="0052098F" w:rsidRDefault="0052098F" w:rsidP="0052098F">
      <w:pPr>
        <w:pStyle w:val="SntesisAnaltica"/>
      </w:pPr>
      <w:r>
        <w:t>Vulneración del derecho a la igualdad en la aplicación de la ley: sentencia contencioso-administrativa que contradice una anterior al aplicar una ley declarada nula por la STC 63/2003.</w:t>
      </w:r>
    </w:p>
    <w:p w:rsidR="0052098F" w:rsidRDefault="0052098F" w:rsidP="0052098F">
      <w:pPr>
        <w:pStyle w:val="SntesisAnaltica"/>
      </w:pPr>
    </w:p>
    <w:p w:rsidR="0052098F" w:rsidRDefault="0052098F" w:rsidP="0052098F">
      <w:pPr>
        <w:pStyle w:val="Extracto"/>
      </w:pPr>
      <w:r>
        <w:t>1.</w:t>
      </w:r>
      <w:r>
        <w:tab/>
        <w:t>Se vulnera el derecho a la igualdad en la aplicación de la ley cuando el órgano judicial, en un asunto sustancialmente idéntico a otro resuelto con anterioridad, modifica su criterio sin motivación que justifique dicho cambio [FJ 3].</w:t>
      </w:r>
    </w:p>
    <w:p w:rsidR="0052098F" w:rsidRDefault="0052098F" w:rsidP="0052098F">
      <w:pPr>
        <w:pStyle w:val="Extracto"/>
      </w:pPr>
    </w:p>
    <w:p w:rsidR="0052098F" w:rsidRDefault="0052098F" w:rsidP="0052098F">
      <w:pPr>
        <w:pStyle w:val="Extracto"/>
      </w:pPr>
      <w:r>
        <w:t>2.</w:t>
      </w:r>
      <w:r>
        <w:tab/>
        <w:t>Aplica doctrina sobre los requisitos que deben concurrir para comprobar la lesión del principio de igualdad en la aplicación de la ley (STC 184/2007) [FJ 2].</w:t>
      </w:r>
    </w:p>
    <w:p w:rsidR="0052098F" w:rsidRDefault="0052098F" w:rsidP="0052098F">
      <w:pPr>
        <w:pStyle w:val="Extracto"/>
      </w:pPr>
    </w:p>
    <w:p w:rsidR="0052098F" w:rsidRDefault="0052098F" w:rsidP="0052098F">
      <w:pPr>
        <w:pStyle w:val="Extracto"/>
      </w:pPr>
      <w:r>
        <w:t>3.</w:t>
      </w:r>
      <w:r>
        <w:tab/>
        <w:t>Se entiende que la Sala disponía de elementos suficientes para comprobar la necesaria identidad sustancial entre los respectivos supuestos, ya que la Sentencia citada para contraste resolvió un recurso contencioso-administrativo en el que la misma Sala había planteado cuestión de inconstitucionalidad del art. 9 de la Ley 18/1985, de 1 de julio, que el Tribunal Constitucional declaró inconstitucional y nulo [FJ 3].</w:t>
      </w:r>
    </w:p>
    <w:p w:rsidR="0052098F" w:rsidRDefault="0052098F" w:rsidP="0052098F">
      <w:pPr>
        <w:pStyle w:val="Extracto"/>
      </w:pPr>
    </w:p>
    <w:p w:rsidR="0052098F" w:rsidRDefault="0052098F" w:rsidP="0052098F">
      <w:pPr>
        <w:pStyle w:val="Extracto"/>
      </w:pPr>
      <w:r>
        <w:t>4.</w:t>
      </w:r>
      <w:r>
        <w:tab/>
        <w:t>Es carga procesal del demandante de amparo aportar el adecuado tertium comparationis, sin ser suficiente, en principio, la cita de la Sentencia aducida como término de contraste o la reproducción de algunos de sus párrafos, no obstante, como sucede las más de las veces, las particulares circunstancias de cada caso pueden imponer alguna matización (SSTC 102/1999, 54/2006) [FJ 3].</w:t>
      </w:r>
    </w:p>
    <w:p w:rsidR="0052098F" w:rsidRDefault="0052098F" w:rsidP="0052098F">
      <w:pPr>
        <w:pStyle w:val="Extracto"/>
      </w:pPr>
    </w:p>
    <w:p w:rsidR="0052098F" w:rsidRDefault="0052098F" w:rsidP="0052098F">
      <w:pPr>
        <w:pStyle w:val="Extracto"/>
      </w:pPr>
      <w:r>
        <w:t>5.</w:t>
      </w:r>
      <w:r>
        <w:tab/>
        <w:t>La anulación de la Sentencia impugnada y la consecuente retroacción de actuaciones hacen innecesario el pronunciamiento sobre el vicio de incongruencia omisiva o ex silentio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6739-2004, promovido por Frigoríficos Canarios y Explotaciones Pesqueras, S.A., representada por el Procurador de los Tribunales don Enrique Sorribes Torra y asistida por el Abogado don César Molinero, contra el Auto dictado por la Sección Primera de la Sala de lo Contencioso-Administrativo del Tribunal Superior de Justicia de Canarias, con sede en Las Palmas de Gran Canaria, de 16 de julio de 2004, que desestimó el incidente de nulidad de actuaciones promovido contra su Sentencia de 16 de enero de 2004, dictada en el recurso núm. 409-1993. Ha intervenido el Ministerio Fiscal. Ha comparecido y formulado alegaciones el Abogado del Estado. Ha sido Ponente el Magistrado don Pascual Sala Sánchez,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Constitucional el 15 de noviembre de 2004 don Enrique Sorribes Torra, Procurador de los Tribunales, en nombre y representación de la mercantil Frigoríficos Canarios y Explotaciones Pesqueras, S.A., interpuso recurso de amparo contra las resoluciones judiciales citadas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que fundamentan la demanda de amparo son, resumidamente, los siguientes: </w:t>
      </w:r>
    </w:p>
    <w:p w:rsidR="0052098F" w:rsidRDefault="0052098F" w:rsidP="0052098F">
      <w:pPr>
        <w:pStyle w:val="TextoNormal"/>
      </w:pPr>
      <w:r>
        <w:t xml:space="preserve">a) La mercantil demandante de amparo interpuso recurso contencioso-administrativo contra la Resolución del Tribunal Económico Administrativo Regional de Canarias, de fecha 27 de enero de 1993, que desestimó la reclamación económico-administrativa que había formulado contra la liquidación girada por la Junta de Puertos del Estado en concepto de canon por concesiones correspondiente al segundo semestre de 1992, por considerar que el Real Decreto 2546/1985, de 27 de diciembre, aplicado por la Administración para girar la liquidación discutida, incumplía la reserva de ley del art. 31.3 CE y carecía de la imprescindible cobertura legal. </w:t>
      </w:r>
    </w:p>
    <w:p w:rsidR="0052098F" w:rsidRDefault="0052098F" w:rsidP="0052098F">
      <w:pPr>
        <w:pStyle w:val="TextoNormal"/>
      </w:pPr>
      <w:r>
        <w:t xml:space="preserve">b) Por Sentencia de 16 de enero de 2004 la Sección Primera de la Sala de lo Contencioso-Administrativo con sede en Las Palmas de Gran Canaria, del Tribunal Superior de Justicia de Canarias desestimó el recurso, por considerar que el art. 9 de la Ley 18/1985, de 1 de julio, que modifica la Ley 1/1966, de 28 de enero, sobre régimen financiero de los puertos, que autoriza al Gobierno a dictar las disposiciones necesarias para la actualización del canon de las concesiones portuarias, prestaba la imprescindible cobertura legal a la resolución administrativa recurrida y concluir, en consecuencia, que la “Administración actuó conforme a la legalidad vigente”. </w:t>
      </w:r>
    </w:p>
    <w:p w:rsidR="0052098F" w:rsidRDefault="0052098F" w:rsidP="0052098F">
      <w:pPr>
        <w:pStyle w:val="TextoNormal"/>
      </w:pPr>
      <w:r>
        <w:t xml:space="preserve">c) Contra esta Sentencia al recurrente promovió incidente de nulidad de actuaciones, denunciando la incongruencia omisiva en que habría incurrido al no pronunciarse sobre su alegación de inconstitucionalidad del citado Real Decreto 2546/1985. Mediante Auto de 16 </w:t>
      </w:r>
      <w:r>
        <w:lastRenderedPageBreak/>
        <w:t>de julio de 2004, la Sala de lo Contencioso-Administrativo del Tribunal Superior de Justicia de Canarias desestimó el incidente planteado.</w:t>
      </w:r>
    </w:p>
    <w:p w:rsidR="0052098F" w:rsidRDefault="0052098F" w:rsidP="0052098F">
      <w:pPr>
        <w:pStyle w:val="TextoNormal"/>
      </w:pPr>
    </w:p>
    <w:p w:rsidR="0052098F" w:rsidRDefault="0052098F" w:rsidP="0052098F">
      <w:pPr>
        <w:pStyle w:val="TextoNormal"/>
      </w:pPr>
      <w:r w:rsidRPr="0052098F">
        <w:rPr>
          <w:rStyle w:val="NumeroAFNegritaCaracter"/>
        </w:rPr>
        <w:t>3</w:t>
      </w:r>
      <w:r>
        <w:t>. En su demanda de amparo la mercantil recurrente denuncia la vulneración de su derecho a la tutela judicial efectiva por incongruencia omisiva (art. 24.1 CE) y la infracción del derecho a la igualdad en la aplicación judicial de la ley (art. 14 CE). En relación a lo primero insiste en que la Sentencia que combate dejó efectivamente imprejuzgada la pretensión que oportunamente formuló ante el órgano judicial denunciando la inconstitucionalidad del Real Decreto 1546/1985, de 27 de diciembre, por infracción de lo dispuesto en el art. 31.3 CE. Y respecto a lo segundo advierte que la Sentencia impugnada, de 16 de enero de 2004, se ha apartado sin ninguna motivación que lo justifique del criterio que el propio órgano judicial, poco antes y un asunto sustancialmente idéntico, había mantenido en su Sentencia de 17 de septiembre de 2003, dictada en el recurso núm. 41-1993, que cita para su contraste, extractando parte de su contenido. La recurrente subraya que, en este otro caso, el órgano judicial, a diferencia de lo sucedido en el suyo, estimó el recurso entonces interpuesto por la entidad Frigoríficos Hispano Suizos, S.A., y, en consecuencia, declaró la nulidad de las liquidaciones giradas por la Junta de Puertos del Estado por el mismo concepto de canon por concesiones, al considerar que las resoluciones entonces impugnadas carecían de la imprescindible cobertura en una norma con rango legal, toda vez que el Real Decreto 2546/1985, aplicado por la Administración para practicar las controvertidas liquidaciones, es una norma de rango meramente reglamentario, y el art. 9 de la Ley 18/1985, de 1 de julio, que autorizaba al Gobierno para fijar el canon correspondiente, había sido declarado inconstitucional y, por tanto, nulo por este Tribunal Constitucional en su Sentencia 63/2003, de 27 de marzo, por vulnerar la reserva de ley en materia tributaria que previenen los arts. 31.3 y 133 CE.</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17 de octubre de 2006 la Sala Segunda de este Tribunal acordó admitir a trámite la demanda de amparo y, de conformidad con lo dispuesto en el art. 51 LOTC, dirigir comunicación al Tribunal Económico-Administrativo Regional de Canarias y a la Sección Primera de la Sala de lo Contencioso-Administrativo del Tribunal Superior de Justicia de Canarias para que, respectivamente, remitieran certificación o copia adverada de las actuaciones correspondientes a la reclamación formulada contra la liquidación girada por la Junta de Puertos del Estado y al recurso contencioso-administrativo núm. 409-1993, al tiempo que por el citado órgano judicial se emplazara a quienes hubiesen sido parte en este procedimiento, con excepción de la parte recurrente en amparo, para que en el plazo de diez días pudieran comparecen en este proceso constitucional de amparo. Lo que efectivamente hizo el Abogado del Estado mediante escrito registrado en este Tribunal el 19 de octubre de 2006, interesando se le tuviera por personado en el presente recurso de amparo.</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Sala de 30 de enero de 2007 se acordó tener por personado y parte en el procedimiento al Abogado del Estado, en la representación que ostenta, y, con arreglo a lo dispuesto en el art. 52.1 LOTC, conceder a todas las partes personadas y al Ministerio Fiscal plazo común por veinte días para que, con vista de las actuaciones recibidas, formulasen alegaciones.</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Mediante escrito registrado en este Tribunal el día 27 de febrero de 2007 el Abogado del Estado presentó sus alegaciones interesando la desestimación del amparo por considerar </w:t>
      </w:r>
      <w:r>
        <w:lastRenderedPageBreak/>
        <w:t>que no es posible advertir en la Sentencia impugnada ninguna de las dos tachas constitucionales que le reprocha la mercantil recurrente. El Abogado del Estado rechaza, en primer lugar, la posibilidad de comprobar la desigualdad en la aplicación judicial de la ley que se denuncia (art. 14 CE), toda vez que la recurrente no ha aportado, según es siempre obligado conforme a una consolidada jurisprudencia constitucional, la oportuna certificación o copia de la Sentencia de contraste que cita en su demanda y de la que supuestamente se habría apartado sin ninguna motivación la ahora recurrida. Y niega también, en segundo lugar, que la Sentencia impugnada sea incongruente, toda vez que la cuestión sobre la pretendida inconstitucionalidad del Real Decreto 2456/1985, fue introducida ex novo por la actora en su escrito de alegaciones y, por tanto, en forma intempestiva, por lo que, de conformidad con lo dispuesto en el art. 65.1 LJCA, el órgano judicial no estaba obligado a responderla.</w:t>
      </w:r>
    </w:p>
    <w:p w:rsidR="0052098F" w:rsidRDefault="0052098F" w:rsidP="0052098F">
      <w:pPr>
        <w:pStyle w:val="TextoNormal"/>
      </w:pPr>
    </w:p>
    <w:p w:rsidR="0052098F" w:rsidRDefault="0052098F" w:rsidP="0052098F">
      <w:pPr>
        <w:pStyle w:val="TextoNormal"/>
      </w:pPr>
      <w:r w:rsidRPr="0052098F">
        <w:rPr>
          <w:rStyle w:val="NumeroAFNegritaCaracter"/>
        </w:rPr>
        <w:t>7</w:t>
      </w:r>
      <w:r>
        <w:t>. Con fecha 1 de marzo de 2007 la entidad Frigoríficos Canarios y Explotaciones Pesqueras, S.A., presentó su escrito de alegaciones, reiterando las ya formuladas en su escrito de demanda de amparo constitucional.</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7 de marzo de 2007 el Ministerio Fiscal presentó su escrito de alegaciones. Tras resumir los principales antecedentes del caso el Fiscal niega también, por su parte, que el órgano judicial no diera respuesta a todas las cuestiones planteadas en el proceso por la recurrente, según se desprende del examen pormenorizado de las actuaciones judiciales, sin perjuicio, añade, de que la motivación de esa respuesta judicial sea reprochable con arreglo al art. 24.1 CE, en la medida que resulta manifiestamente irracional, cuando no arbitraria o patentemente errónea, por cuanto ignora por completo, sin ninguna razón que lo justifique, la previa declaración de inconstitucionalidad del art. 9 de la Ley 18/1985, de 1 de julio, decidida por este Tribunal Constitucional en su Sentencia 63/2003, de 27 de marzo, dictada en la cuestión de inconstitucionalidad núm. 249-1995, y promovida precisamente por la propia Sala de lo Contencioso-Administrativo, con sede en Las Palmas de Gran Canaria, del Tribunal Superior de Justicia de Canarias. </w:t>
      </w:r>
    </w:p>
    <w:p w:rsidR="0052098F" w:rsidRDefault="0052098F" w:rsidP="0052098F">
      <w:pPr>
        <w:pStyle w:val="TextoNormal"/>
      </w:pPr>
      <w:r>
        <w:t>Seguidamente el Fiscal analiza la tacha de desigualdad que se denuncia para concluir que, efectivamente, en el presente asunto, según se desprende del contraste entre la Sentencia impugnada, de 16 de enero de 2004, y la citada por la mercantil recurrente como término de comparación, de 17 de septiembre de 2003, concurren todos los requisitos que son necesarios para comprobar la lesión del art. 14 CE, por infracción del principio de igualdad en la aplicación judicial de la ley. Y concluye interesando el otorgamiento del amparo solicitado por vulneración de los derechos a la igualdad del art. 14 CE y a la tutela judicial efectiva del art. 24.1 CE por la incorrecta motivación de las resoluciones recurridas.</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21 de febrero de 2008, se señaló para deliberación y votación de la presente Sentencia el día 25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Conforme con más detalle se ha señalado en los antecedentes de esta resolución la mercantil recurrente en amparo impugna la Sentencia de la Sección Primera de la Sala de lo Contencioso-Administrativo, con sede en Las Palmas de Gran Canaria, del Tribunal Superior de Justicia de Canarias, de 16 de enero de 2004, por dos motivos. De un lado porque </w:t>
      </w:r>
      <w:r>
        <w:lastRenderedPageBreak/>
        <w:t>considera que se ha apartado sin ninguna motivación que lo justifique del criterio que el propio órgano judicial, poco antes y en un asunto idéntico, había mantenido en su Sentencia de 17 de septiembre de 2003 y, en consecuencia, que ha vulnerado por este motivo el derecho a la igualdad en la aplicación judicial de la ley que garantiza el art. 14 CE. Y de otro porque, en su criterio, la citada Sentencia incurrió en incongruencia omisiva o ex silentio contraria al art. 24.1 CE al dejar sin resolver la cuestión que planteó en el proceso judicial interesando la nulidad del Real Decreto 2546/1985, de 27 de diciembre, aplicado por la Administración para girar la liquidación discutida en el proceso judicial, por infracción del principio de reserva de ley en materia tributaria. La recurrente extiende esta última tacha constitucional al Auto de 16 de julio de 2004, que desestimó el incidente de nulidad promovido, en la medida que no acertó a reparar el vicio de incongruencia omisiva que denunció entonces por el mismo motivo.</w:t>
      </w:r>
    </w:p>
    <w:p w:rsidR="0052098F" w:rsidRDefault="0052098F" w:rsidP="0052098F">
      <w:pPr>
        <w:pStyle w:val="TextoNormal"/>
      </w:pPr>
      <w:r>
        <w:t>El Abogado del Estado rechaza que la Sentencia recurrida haya incurrido en las mencionadas tachas constitucionales. En el primer caso porque la mercantil recurrente no ha aportado a este proceso de amparo el término de comparación que es imprescindible para poder comprobar la lesión del art. 14 CE que denuncia. Y en el otro porque la cuestión que la Sentencia supuestamente dejó imprejuzgada fue planteada ex novo por la recurrente en su escrito de conclusiones y, por tanto, de forma improcedente, por lo que no reclamaba ninguna respuesta del órgano judicial.</w:t>
      </w:r>
    </w:p>
    <w:p w:rsidR="0052098F" w:rsidRDefault="0052098F" w:rsidP="0052098F">
      <w:pPr>
        <w:pStyle w:val="TextoNormal"/>
      </w:pPr>
      <w:r>
        <w:t>El Ministerio Fiscal, que niega también la existencia de la incongruencia omisiva que denuncia la mercantil recurrente, bien que con las destacadas matizaciones que se han expuesto en los antecedentes, interesa en todo caso el otorgamiento del amparo solicitado por el segundo motivo considerado, pues, en su opinión, en el presente asunto concurren efectivamente todos los requisitos exigidos por la jurisprudencia constitucional para poder apreciar la lesión del art. 14 CE por infracción del principio de igualdad en la aplicación judicial de la Ley.</w:t>
      </w:r>
    </w:p>
    <w:p w:rsidR="0052098F" w:rsidRDefault="0052098F" w:rsidP="0052098F">
      <w:pPr>
        <w:pStyle w:val="TextoNormal"/>
      </w:pPr>
    </w:p>
    <w:p w:rsidR="0052098F" w:rsidRDefault="0052098F" w:rsidP="0052098F">
      <w:pPr>
        <w:pStyle w:val="TextoNormal"/>
      </w:pPr>
      <w:r w:rsidRPr="0052098F">
        <w:rPr>
          <w:rStyle w:val="NumeroAFNegritaCaracter"/>
        </w:rPr>
        <w:t>2</w:t>
      </w:r>
      <w:r>
        <w:t>. Comenzando nuestro análisis por la denunciada lesión del art. 14 CE importa recordar una vez más que, según es doctrina constitucional consolidada, que está resumida entre otras muchas en la más reciente STC 184/2007, de 10 de septiembre (FJ 2), para poder comprobar la lesión del principio de igualdad en la aplicación judicial de la ley es preciso que concurran los siguientes requisitos:</w:t>
      </w:r>
    </w:p>
    <w:p w:rsidR="0052098F" w:rsidRDefault="0052098F" w:rsidP="0052098F">
      <w:pPr>
        <w:pStyle w:val="TextoNormal"/>
      </w:pPr>
      <w:r>
        <w:t xml:space="preserve">a) La acreditación de un tertium comparationis, puesto que el juicio de igualdad sólo puede realizarse sobre la comparación entre la Sentencia impugnada y las precedentes resoluciones del mismo órgano judicial dictadas en casos sustancialmente iguales pero resueltos de forma contradictoria.    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puramente arbitrario, carente de fundamentación suficiente y razonable.    c) La existencia de alteridad en los supuestos contrastados, es decir, de “la referencia a otro” exigible en todo alegato de discriminación en aplicación de la Ley, excluyente de la comparación consigo mismo.    d) Finalmente la ausencia de toda motivación que justifique en términos generalizables el cambio de criterio, bien lo sea para separarse de </w:t>
      </w:r>
      <w:r>
        <w:lastRenderedPageBreak/>
        <w:t>una línea doctrinal previa y consolidada, bien lo sea con quiebra de un antecedente inmediato en el tiempo y exactamente igual desde la perspectiva jurídica con la que se enjuició. Como también está dicho en esa misma doctrina,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w:t>
      </w:r>
    </w:p>
    <w:p w:rsidR="0052098F" w:rsidRDefault="0052098F" w:rsidP="0052098F">
      <w:pPr>
        <w:pStyle w:val="TextoNormal"/>
      </w:pPr>
    </w:p>
    <w:p w:rsidR="0052098F" w:rsidRDefault="0052098F" w:rsidP="0052098F">
      <w:pPr>
        <w:pStyle w:val="TextoNormal"/>
      </w:pPr>
      <w:r w:rsidRPr="0052098F">
        <w:rPr>
          <w:rStyle w:val="NumeroAFNegritaCaracter"/>
        </w:rPr>
        <w:t>3</w:t>
      </w:r>
      <w:r>
        <w:t>. La aplicación de esta consolidada doctrina al presente caso conduce directamente, conforme también ha interesado el Ministerio Fiscal, al otorgamiento del amparo solicitado. Si se lee, en efecto, la Sentencia de contraste dictada asimismo, con fecha de 17 de septiembre de 2003, por la Sección Primera de la Sala de lo Contencioso-Administrativo, con sede en las Palmas de Gran Canaria, del Tribunal Superior de Justicia de Canarias, no hay duda que en esa otra ocasión precedente el órgano judicial estimó el recurso entonces interpuesto y, en consecuencia, declaró la nulidad de las liquidaciones giradas por la Junta de Puertos del Estado por el concepto de canon por concesiones administrativas por ocupación del dominio público, al considerar que las resoluciones entonces impugnadas carecían de la imprescindible cobertura en una norma con rango legal, toda vez que el Real Decreto 2546/1985, aplicado por la Administración para practicar las controvertidas liquidaciones, es una norma de rango meramente reglamentario, y el art. 9 de la Ley 18/1985, de 1 de julio, que autorizaba al Gobierno para fijar el canon correspondiente, había sido declarado inconstitucional y, por tanto, nulo por este Tribunal Constitucional en su Sentencia 63/2003, de 27 de marzo, por vulnerar la reserva de ley en materia tributaria que previenen los arts. 31.3 y 133 CE.</w:t>
      </w:r>
    </w:p>
    <w:p w:rsidR="0052098F" w:rsidRDefault="0052098F" w:rsidP="0052098F">
      <w:pPr>
        <w:pStyle w:val="TextoNormal"/>
      </w:pPr>
      <w:r>
        <w:t>En cambio, en la Sentencia ahora impugnada, el órgano judicial, en un asunto sustancialmente idéntico, declaró que la liquidación impugnada en el proceso contencioso, y girada también por la Junta de Puertos del Estado en Las Palmas por el mismo concepto de canon por concesiones, “se basa en la previsión del art. 9 de la Ley 18/1985, de 1 de julio, que modifica parcialmente la Ley 1/1966, de 28 de enero, sobre régimen financiero de los puertos … que permite [al Gobierno] la actualización anual del canon de la concesión”. Por este motivo la Sentencia concluye que “la Administración actuó conforme a la legalidad vigente”. Sorprendentemente, en esta ocasión, como con acierto advierte el Fiscal, no hay ninguna mención a lo decidido previamente por este Tribunal en la citada Sentencia 63/2003, de 27 de marzo, no obstante conocer el órgano judicial su existencia, y pese a que ahora también, según consta anotado en la propia Sentencia, la mercantil recurrente había opuesto como motivo de impugnación que el citado art. 8 del Real Decreto 2546/1985, de 27 de diciembre, pugnaba con la reserva del ley del art. 31.3 CE y carecía de la imprescindible cobertura legal.</w:t>
      </w:r>
    </w:p>
    <w:p w:rsidR="0052098F" w:rsidRDefault="0052098F" w:rsidP="0052098F">
      <w:pPr>
        <w:pStyle w:val="TextoNormal"/>
      </w:pPr>
      <w:r>
        <w:lastRenderedPageBreak/>
        <w:t>No existiendo ninguna duda acerca de la identidad del órgano judicial, ni sobre la igualdad sustancial entre los supuestos enjuiciados y resueltos en cada caso, la divergencia de criterio es tan manifiesta, y la ausencia de cualquier explicación que lo justifique tan llamativa, que el único obstáculo que con relativo rigor existe para poder confirmar la lesión del art. 14 CE que se denuncia es previo y de orden meramente procesal. Es el que apunta el Abogado del Estado cuando subraya que el hecho de que la recurrente no haya aportado a este proceso constitucional copia de la citada Sentencia de contraste impide comprobar la lesión del art. 14 CE y, por tanto, que dicha circunstancia es motivo suficiente para desestimar la tacha de desigualdad.</w:t>
      </w:r>
    </w:p>
    <w:p w:rsidR="0052098F" w:rsidRDefault="0052098F" w:rsidP="0052098F">
      <w:pPr>
        <w:pStyle w:val="TextoNormal"/>
      </w:pPr>
      <w:r>
        <w:t>Ciertamente tiene razón el Abogado del Estado cuando advierte, con cita de las SSTC 102/1999, de 31 de mayo (FJ 2), 111/2001, de 7 de mayo (FJ 2), y 54/2006, de 27 de febrero (FJ 4), que es carga procesal del demandante de amparo aportar en la debida forma el adecuado tertium comparationis. Como lo es también, en principio, que la simple cita de la Sentencia aducida como término de contraste, o la simple reproducción de algunos de sus párrafos, no es suficiente para entender cabalmente cumplido el indicado requisito.</w:t>
      </w:r>
    </w:p>
    <w:p w:rsidR="0052098F" w:rsidRDefault="0052098F" w:rsidP="0052098F">
      <w:pPr>
        <w:pStyle w:val="TextoNormal"/>
      </w:pPr>
      <w:r>
        <w:t>No obstante la citada carga procesal no puede ser interpretada, bajo cualquier condición, en el riguroso sentido propuesto por el Abogado del Estado. Como sucede las más de las veces, las particulares circunstancias concurrentes en cada caso pueden imponer alguna matización. Singularmente, para comprobar si el recurrente ha cumplido el requisito de la acreditación de un tertium comparationis, atender al origen de la resolución puede en ocasiones resultar indispensable.</w:t>
      </w:r>
    </w:p>
    <w:p w:rsidR="0052098F" w:rsidRDefault="0052098F" w:rsidP="0052098F">
      <w:pPr>
        <w:pStyle w:val="TextoNormal"/>
      </w:pPr>
      <w:r>
        <w:t>A este respecto, en el presente caso, importa subrayar el hecho, ya destacado más arriba, de que en el recurso contencioso-administrativo núm. 41-1993, que es el resuelto por la Sentencia de 17 de septiembre de 2003, invocada por la mercantil recurrente en amparo como término de contraste, la Sala de lo Contencioso-Administrativo con sede en las Palmas de Gran Canaria del Tribunal Superior de Justicia de Canarias elevó a este Tribunal cuestión de inconstitucionalidad en relación, entre otros preceptos legales, con el repetido art. 9 de la Ley 18/1985, de 1 de julio, por su posible vulneración de los arts. 31.3 y 133 CE. Como también se ha señalado, dicha cuestión, registrada con el núm. 249-1995, fue resuelta finalmente por la STC 63/2003, de 27 de marzo, que declaró la inconstitucionalidad del citado precepto legal cuestionado. Por este motivo no hay duda que el Tribunal conocía perfectamente de antemano las circunstancias y pormenores de ese otro recurso contencioso y de que, por consiguiente, aun en defecto de la correspondiente copia de la citada Sentencia de contraste, disponía de elementos suficientes para poder comprobar en el presente recurso de amparo la necesaria identidad sustancial entre los respectivos supuestos, sin por ello incurrir en reconstrucción alguna de la demanda.</w:t>
      </w:r>
    </w:p>
    <w:p w:rsidR="0052098F" w:rsidRDefault="0052098F" w:rsidP="0052098F">
      <w:pPr>
        <w:pStyle w:val="TextoNormal"/>
      </w:pPr>
      <w:r>
        <w:t>Esta significada circunstancia, ciertamente excepcional, impide en esta ocasión aceptar el reparo opuesto por el Abogado del Estado. En consecuencia debemos concluir, según más arriba hemos adelantado, que la Sentencia de la Sala de lo Contencioso-Administrativo con sede en Las Palmas de Gran Canaria del Tribunal Superior de Justicia de Canarias, de 16 de enero de 2004, efectivamente vulneró el derecho fundamental de la mercantil recurrente a la igualdad en la aplicación de la ley (art.  14 CE).</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La estimación de este motivo de amparo y, en consecuencia, la anulación de la Sentencia impugnada, con la consiguiente retroacción de las actuaciones judiciales al momento anterior al de dictar sentencia para que citado el órgano judicial dicte otra respetuosa con el derecho fundamental del art. 14 CE y con la declaración de inconstitucionalidad del art. 9 de la Ley 18/1985, de 1 de julio, decidida en nuestra STC 63/2003, de 27 de marzo, hacen </w:t>
      </w:r>
      <w:r>
        <w:lastRenderedPageBreak/>
        <w:t>innecesario que nos pronunciemos sobre el vicio de incongruencia omisiva o ex silentio que la mercantil recurrente asimismo reprocha a la Sentencia recurrida.</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la mercantil Frigoríficos Canarios y Explotaciones Pesqueras, S.A. y, en su virtud:</w:t>
      </w:r>
    </w:p>
    <w:p w:rsidR="0052098F" w:rsidRDefault="0052098F" w:rsidP="0052098F">
      <w:pPr>
        <w:pStyle w:val="TextoNormal"/>
      </w:pPr>
      <w:r>
        <w:t>1º Declarar que ha sido vulnerado su derecho a la igualdad en la aplicación de la ley (art. 14 CE).</w:t>
      </w:r>
    </w:p>
    <w:p w:rsidR="0052098F" w:rsidRDefault="0052098F" w:rsidP="0052098F">
      <w:pPr>
        <w:pStyle w:val="TextoNormal"/>
      </w:pPr>
      <w:r>
        <w:t>2º Restablecer a la entidad recurrente en la integridad de su derecho y, a tal fin, anular la Sentencia de fecha 16 de enero de 2004, dictada por la Sección Primera de la Sala de lo Contencioso-Administrativo, con sede en Las Palmas de Gran Canaria, del Tribunal Superior de Justicia de Canarias, en el recurso contencioso-administrativo núm. 409-1993, y asimismo, en cuanto declara su firmeza, el Auto de 16 de julio de 2004, dictado en el incidente de nulidad de actuaciones promovido contra la anterior, retrotrayendo las actuaciones al momento anterior al de dictarse la Sentencia anulada, para que el órgano judicial dicte otra con respeto al derecho fundamental reconocido y a lo resuelto por este Tribunal Constitucional en su Sentencia 63/2003, de 27 de marzo.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veinticinco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5" w:name="SENTENCIA_2008_32"/>
      <w:r>
        <w:lastRenderedPageBreak/>
        <w:t>SENTENCIA 32/2008, de 25 de febrero de 2008</w:t>
      </w:r>
    </w:p>
    <w:bookmarkEnd w:id="35"/>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76, de 28 de marzo de 2008)</w:t>
      </w:r>
    </w:p>
    <w:p w:rsidR="0052098F" w:rsidRDefault="0052098F" w:rsidP="0052098F">
      <w:pPr>
        <w:pStyle w:val="TtuloBOE"/>
      </w:pPr>
    </w:p>
    <w:p w:rsidR="0052098F" w:rsidRDefault="0052098F" w:rsidP="0052098F">
      <w:pPr>
        <w:pStyle w:val="SntesisDescriptiva"/>
      </w:pPr>
      <w:r>
        <w:t>ECLI:ES:TC:2008:32</w:t>
      </w:r>
    </w:p>
    <w:p w:rsidR="0052098F" w:rsidRDefault="0052098F" w:rsidP="0052098F">
      <w:pPr>
        <w:pStyle w:val="SntesisDescriptiva"/>
      </w:pPr>
    </w:p>
    <w:p w:rsidR="0052098F" w:rsidRDefault="0052098F" w:rsidP="0052098F">
      <w:pPr>
        <w:pStyle w:val="SntesisDescriptiva"/>
      </w:pPr>
      <w:r>
        <w:t>Recurso de amparo 7482-2004. Promovido por Cañete Corchero Abogados, S.L., frente a la Sentencia de un Juzgado de lo Contencioso-Administrativo de Madrid que desestimó su demanda contra el Ayuntamiento de Madrid sobre providencias de apremio derivadas de once multas de tráfico.</w:t>
      </w:r>
    </w:p>
    <w:p w:rsidR="0052098F" w:rsidRDefault="0052098F" w:rsidP="0052098F">
      <w:pPr>
        <w:pStyle w:val="SntesisDescriptiva"/>
      </w:pPr>
    </w:p>
    <w:p w:rsidR="0052098F" w:rsidRDefault="0052098F" w:rsidP="0052098F">
      <w:pPr>
        <w:pStyle w:val="SntesisAnaltica"/>
      </w:pPr>
      <w:r>
        <w:t>Vulneración del derecho de defensa en el procedimiento administrativo sancionador: emplazamiento edictal de la empresa titular del vehículo infractor (STC 54/2003).</w:t>
      </w:r>
    </w:p>
    <w:p w:rsidR="0052098F" w:rsidRDefault="0052098F" w:rsidP="0052098F">
      <w:pPr>
        <w:pStyle w:val="SntesisAnaltica"/>
      </w:pPr>
    </w:p>
    <w:p w:rsidR="0052098F" w:rsidRDefault="0052098F" w:rsidP="0052098F">
      <w:pPr>
        <w:pStyle w:val="Extracto"/>
      </w:pPr>
      <w:r>
        <w:t>1.</w:t>
      </w:r>
      <w:r>
        <w:tab/>
        <w:t>Se vulnera el derecho a la defensa cuando, en un procedimiento administrativo sancionador en materia de tráfico, una vez frustradas las posibilidades de notificación personal del recurrente por ser ignorado su paradero, la Administración sancionadora se limita a proceder a la notificación edictal sin desplegar una mínima actividad indagatoria en oficinas y registros públicos para intentar determinar un domicilio de notificaciones alternativo [FJ 3].</w:t>
      </w:r>
    </w:p>
    <w:p w:rsidR="0052098F" w:rsidRDefault="0052098F" w:rsidP="0052098F">
      <w:pPr>
        <w:pStyle w:val="Extracto"/>
      </w:pPr>
    </w:p>
    <w:p w:rsidR="0052098F" w:rsidRDefault="0052098F" w:rsidP="0052098F">
      <w:pPr>
        <w:pStyle w:val="Extracto"/>
      </w:pPr>
      <w:r>
        <w:t>2.</w:t>
      </w:r>
      <w:r>
        <w:tab/>
        <w:t>Aplica doctrina general sobre el derecho de defensa y a ser informado de la acusación y, en particular, sobre la notificación edictal de personas jurídicas en procedimientos sancionadores en materia de tráfico (SSTC 54/2003, 226/2007) [FJ 2].</w:t>
      </w:r>
    </w:p>
    <w:p w:rsidR="0052098F" w:rsidRDefault="0052098F" w:rsidP="0052098F">
      <w:pPr>
        <w:pStyle w:val="Extracto"/>
      </w:pPr>
    </w:p>
    <w:p w:rsidR="0052098F" w:rsidRDefault="0052098F" w:rsidP="0052098F">
      <w:pPr>
        <w:pStyle w:val="Extracto"/>
      </w:pPr>
      <w:r>
        <w:t>3.</w:t>
      </w:r>
      <w:r>
        <w:tab/>
        <w:t>Procede declarar la nulidad de las resoluciones administrativas sancionadoras, de las resoluciones administrativas dictadas en vía ejecutiva para hacer efectiva la liquidación de las multas y de la resolución judicial impugnada, en la medida que no reparó los derechos vulnerados [FJ 3].</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7482-2004, interpuesto por Cañete Corchero Abogados, S.L., representada por el Procurador de los Tribunales don Óscar Gil de Sagredo Garicano </w:t>
      </w:r>
      <w:r>
        <w:lastRenderedPageBreak/>
        <w:t>y bajo la dirección del Letrado don Santiago Cañete Corchero, contra la Sentencia del Juzgado de lo Contencioso-Administrativo núm. 23 de Madrid de 21 de octubre de 2004, dictada en el procedimiento ordinario núm. 7-2004. Ha comparecido la Letrada del Ayuntamiento de Madrid. Ha intervenido el Ministerio Fiscal. Ha sido Ponente el Magistrado don Pablo Pérez Tremps,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13 de diciembre de 2004, el Procurador de los Tribunales don Óscar Gil de Sagredo Garicano, en nombre y representación de Cañete Corchero Abogados, S.L., y bajo la dirección del Letrado don Santiago Cañete Corchero, interpuso recurso de amparo contra la resolución judicial que se menciona en el encabezamiento de esta Sentencia, por la que se desestimó el recurso contencioso-administrativo interpuesto contra las sanciones de tráfico impuestas en los expedientes administrativos sancionadores núms. 94.180.530; 91.187.432; 94.203.931; 94.206.736; 94.205.192; 94.211.646; 94.215.719; 94.218.969; 75.381.625; 94.221.673 y 94.232.561, cuya liquidación fue confirmada por Resolución del tesorero municipal del Ayuntamiento de Madrid de 3 de octubre de 2003, por la que se desestima el recurso potestativo de reposición contra la providencia de apremio colectiva de 16 de junio de 2003, dictada en el expediente núm. 2583431.9.</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El recurso tiene su origen en los siguientes antecedentes: </w:t>
      </w:r>
    </w:p>
    <w:p w:rsidR="0052098F" w:rsidRDefault="0052098F" w:rsidP="0052098F">
      <w:pPr>
        <w:pStyle w:val="TextoNormal"/>
      </w:pPr>
      <w:r>
        <w:t xml:space="preserve">a) El tesorero municipal del Ayuntamiento de Madrid dictó providencia de apremio colectiva de 16 de junio de 2003 contra la entidad recurrente por un total de 9.231,31 €, por once sanciones de tráfico impagadas impuestas por incumplimiento de la obligación de identificar al conductor responsable de las infracciones cometidas con un vehículo titularidad de la sociedad recurrente. En concreto, las sanciones fueron impuestas por las Resoluciones del quinto teniente de Alcalde —titular de la rama de Hacienda, Personal y Régimen Interior— del Ayuntamiento de Madrid de 20 de agosto de 2002, dictada en el expediente núm. 94.180.530; de 27 de agosto de 2002, dictada en el expediente núm. 91.187.432; de 27 de septiembre de 2002, dictada en el expediente núm. 94.203.931; de 27 de septiembre de 2002, dictada en el expediente núm. 94.206.736; de 9 de octubre de 2002, dictada en el expediente núm. 94.205.192; de 9 de octubre de 2002, dictada en el expediente núm. 94.211.646; de 15 de octubre de 2002, dictada en el expediente núm. 94.215.719; de 31 de octubre de 2002, dictada en el expediente núm. 94.218.969; de 7 de noviembre de 2002, dictada en el expediente núm. 75.381.625; de 7 de noviembre de 2002, dictada en el expediente núm. 94.221.673 y de 28 de noviembre de 2002, dictada en el expediente núm. 94.232.561. La providencia fue notificada por correo certificado en el domicilio social de la entidad recurrente, quien interpuso recurso potestativo de reposición, alegando, entre otros extremos, que se había producido un incorrecto emplazamiento edictal en los expedientes sancionadores, ya que las notificaciones fueron remitidas a un domicilio que no era el de la empresa, quien ya tenía un domicilio social distinto desde más de dos años antes a la incoación de los expedientes, según constaba notificado a la propia Administración. El recurso fue desestimado por Resolución del tesorero municipal de 3 de octubre de 2003, con fundamento en que, en aplicación del art. 59.4 LPC, al no haberse podido efectuar las notificaciones personalmente, se había efectuado por medio de edictos. </w:t>
      </w:r>
    </w:p>
    <w:p w:rsidR="0052098F" w:rsidRDefault="0052098F" w:rsidP="0052098F">
      <w:pPr>
        <w:pStyle w:val="TextoNormal"/>
      </w:pPr>
      <w:r>
        <w:lastRenderedPageBreak/>
        <w:t>b) La entidad recurrente interpuso recurso contencioso-administrativo, dando lugar al procedimiento ordinario núm. 7-2004, que fue tramitado por el Juzgado de lo Contencioso-Administrativo núm. 23 de Madrid. En dicho recurso volvió a insistir en que las multas impuestas traían causa de procedimientos sancionadores en que no fue legalmente notificada, ya que desde fecha anterior a la comisión de las infracciones, constaba comunicado el cambio de domicilio social y fiscal de la empresa. El recurso fue desestimado por Sentencia de 21 de octubre de 2004, argumentando que hubo una correcta notificación por edictos, ya que se intentaron realizar todas las notificaciones en el domicilio que figuraba en el Registro de Vehículos, existiendo una obligación establecida por ley de comunicar los cambios de domicilio a dicho Registro, lo que no se efectuó en el presente caso.</w:t>
      </w:r>
    </w:p>
    <w:p w:rsidR="0052098F" w:rsidRDefault="0052098F" w:rsidP="0052098F">
      <w:pPr>
        <w:pStyle w:val="TextoNormal"/>
      </w:pPr>
    </w:p>
    <w:p w:rsidR="0052098F" w:rsidRDefault="0052098F" w:rsidP="0052098F">
      <w:pPr>
        <w:pStyle w:val="TextoNormal"/>
      </w:pPr>
      <w:r w:rsidRPr="0052098F">
        <w:rPr>
          <w:rStyle w:val="NumeroAFNegritaCaracter"/>
        </w:rPr>
        <w:t>3</w:t>
      </w:r>
      <w:r>
        <w:t>. La entidad recurrente aduce en la demanda de amparo que se ha vulnerado su derecho a la tutela judicial efectiva (art. 24.1 CE), ya que se le han impuesto diversas sanciones de tráfico sin respetar su derecho a la defensa contradictoria en los respectivos procedimientos administrativos sancionadores, debido a una incorrecta notificación edictal, ya que su domicilio social no era al que se dirigieron las notificaciones en dichos procedimientos sino en el que, efectivamente, se notificó la providencia de apremio. Este último domicilio, además, es el que ya más de dos años antes de iniciarse estos procedimientos, figuraba como domicilio social en el Registro Mercantil y fiscal en los censos de la Agencia Estatal de la Administración Tributaria y de la Hacienda de la Comunidad de Madrid.</w:t>
      </w:r>
    </w:p>
    <w:p w:rsidR="0052098F" w:rsidRDefault="0052098F" w:rsidP="0052098F">
      <w:pPr>
        <w:pStyle w:val="TextoNormal"/>
      </w:pPr>
    </w:p>
    <w:p w:rsidR="0052098F" w:rsidRDefault="0052098F" w:rsidP="0052098F">
      <w:pPr>
        <w:pStyle w:val="TextoNormal"/>
      </w:pPr>
      <w:r w:rsidRPr="0052098F">
        <w:rPr>
          <w:rStyle w:val="NumeroAFNegritaCaracter"/>
        </w:rPr>
        <w:t>4</w:t>
      </w:r>
      <w:r>
        <w:t>. La Sección Segunda de este Tribunal, por providencia de 22 de mayo de 2007, acordó admitir a trámite la demanda de amparo y, en aplicación de lo dispuesto en el art. 51 LOTC, requerir atentamente del Ayuntamiento y del órgano judicial la remisión del testimonio de las actuaciones correspondientes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346/2007, de 23 de julio, acordando denegar la suspensión solicitada.</w:t>
      </w:r>
    </w:p>
    <w:p w:rsidR="0052098F" w:rsidRDefault="0052098F" w:rsidP="0052098F">
      <w:pPr>
        <w:pStyle w:val="TextoNormal"/>
      </w:pPr>
    </w:p>
    <w:p w:rsidR="0052098F" w:rsidRDefault="0052098F" w:rsidP="0052098F">
      <w:pPr>
        <w:pStyle w:val="TextoNormal"/>
      </w:pPr>
      <w:r w:rsidRPr="0052098F">
        <w:rPr>
          <w:rStyle w:val="NumeroAFNegritaCaracter"/>
        </w:rPr>
        <w:t>5</w:t>
      </w:r>
      <w:r>
        <w:t>. La Secretaría de Justicia de la Sala Primera de este Tribunal, por diligencia de ordenación de 22 de octubre de 2007, tuvo por personado y parte a la Letrada del Ayuntamiento de Madrid, en la representación que ostenta, y, de conformidad con el art. 52 LOTC, acordó dar vista de las actuaciones al Ministerio Fiscal y a las partes personadas por plazo común de veinte días para que presentaran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El Ministerio Fiscal, en escrito registrado el 10 de diciembre de 2007, interesó que se otorgara el amparo por vulneración de los derechos a la defensa y a ser informado de la acusación (art. 24.2 CE) y se anularan todas las resoluciones administrativas sancionadoras y de liquidación, así como la resolución judicial impugnada. A esos efectos, argumenta que siendo la notificación de la incoación de un expediente sancionador un requisito imprescindible para ejercer el derecho de defensa por el administrado, en el presente caso, aun habiéndose efectuado las notificaciones en el domicilio que figuraba en el registro de Vehículos, sin embargo, no se desplegó por la Administración sancionadora toda la actividad que le era exigible para realizar la notificación personal, máxime en un caso, como el presente, en que el domicilio social de la empresa ya constaba en el Registro Mercantil y en los censos </w:t>
      </w:r>
      <w:r>
        <w:lastRenderedPageBreak/>
        <w:t>de la Agencia Estatal de la Administración Tributaria y de la Hacienda de la Comunidad de Madrid, lo que también contrasta con la absoluta normalidad con la que se notificó el procedimiento ejecutivo en dicho domicilio social.</w:t>
      </w:r>
    </w:p>
    <w:p w:rsidR="0052098F" w:rsidRDefault="0052098F" w:rsidP="0052098F">
      <w:pPr>
        <w:pStyle w:val="TextoNormal"/>
      </w:pPr>
    </w:p>
    <w:p w:rsidR="0052098F" w:rsidRDefault="0052098F" w:rsidP="0052098F">
      <w:pPr>
        <w:pStyle w:val="TextoNormal"/>
      </w:pPr>
      <w:r w:rsidRPr="0052098F">
        <w:rPr>
          <w:rStyle w:val="NumeroAFNegritaCaracter"/>
        </w:rPr>
        <w:t>7</w:t>
      </w:r>
      <w:r>
        <w:t>. El Ayuntamiento de Madrid y la entidad recurrente no presentaron alegaciones.</w:t>
      </w:r>
    </w:p>
    <w:p w:rsidR="0052098F" w:rsidRDefault="0052098F" w:rsidP="0052098F">
      <w:pPr>
        <w:pStyle w:val="TextoNormal"/>
      </w:pPr>
    </w:p>
    <w:p w:rsidR="0052098F" w:rsidRDefault="0052098F" w:rsidP="0052098F">
      <w:pPr>
        <w:pStyle w:val="TextoNormal"/>
      </w:pPr>
      <w:r w:rsidRPr="0052098F">
        <w:rPr>
          <w:rStyle w:val="NumeroAFNegritaCaracter"/>
        </w:rPr>
        <w:t>8</w:t>
      </w:r>
      <w:r>
        <w:t>. Por providencia de 21 de febrero de 2008 se señaló para deliberación y votación de la presente Sentencia el día 25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objeto de este recurso de amparo, que ha de entenderse interpuesto de conformidad con el art. 43 LOTC, es determinar si la notificación edictal de la que fue objeto la entidad recurrente en los diversos procedimientos administrativos sancionares ha vulnerado su derecho a la defensa y a ser informado de la acusación (art. 24.2 CE).</w:t>
      </w:r>
    </w:p>
    <w:p w:rsidR="0052098F" w:rsidRDefault="0052098F" w:rsidP="0052098F">
      <w:pPr>
        <w:pStyle w:val="TextoNormal"/>
      </w:pPr>
    </w:p>
    <w:p w:rsidR="0052098F" w:rsidRDefault="0052098F" w:rsidP="0052098F">
      <w:pPr>
        <w:pStyle w:val="TextoNormal"/>
      </w:pPr>
      <w:r w:rsidRPr="0052098F">
        <w:rPr>
          <w:rStyle w:val="NumeroAFNegritaCaracter"/>
        </w:rPr>
        <w:t>2</w:t>
      </w:r>
      <w:r>
        <w:t>. Este Tribunal ha reiterado que entre las garantías del art. 24 CE que son de aplicación al procedimiento administrativo sancionador están los derechos de defensa y a ser informado de la acusación, cuyo ejercicio presupone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(STC 226/2007, de 22 de octubre, FJ 3). A esos efectos, siendo de aplicación directa lo afirmado en relación con los procedimientos judiciales, este Tribunal ha destacado la exigencia de procurar el emplazamiento o citación personal de los interesados, siempre que sea factible, por lo que el emplazamiento edictal constituye un remedio último de carácter supletorio y excepcional, que requiere el agotamiento previo de las modalidades aptas para asegurar en el mayor grado posible la recepción de la notificación por el destinatario de la misma, a cuyo fin deben de extremarse las gestiones en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(por todas, STC 158/2007, de 2 de julio, FJ 2).</w:t>
      </w:r>
    </w:p>
    <w:p w:rsidR="0052098F" w:rsidRDefault="0052098F" w:rsidP="0052098F">
      <w:pPr>
        <w:pStyle w:val="TextoNormal"/>
      </w:pPr>
      <w:r>
        <w:t>Más en concreto, por lo que se refiere a supuestos de notificación edictal de personas jurídicas en procedimientos sancionadores en materia de tráfico este Tribunal ya ha puesto de manifiesto que, incluso en los casos en que resulte frustrada la posibilidad de notificación personal en el domicilio que figure en el Registro de Vehículos, responde a la diligencia mínima exigible a la Administración sancionadora, antes de acudir a la vía edictal, el intentar la notificación en el domicilio social que aparezca inscrito en el Registro Mercantil y al que, con la mayor normalidad, se dirigen después las actuaciones en vía ejecutiva administrativa (SSTC 54/2003, de 24 de marzo, FJ 4; 145/2004, de 13 de septiembre, FJ 4; y 226/2007, de 22 de octubre, FJ 4).</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3</w:t>
      </w:r>
      <w:r>
        <w:t>. En el presente caso, como ha quedado acreditado en las actuaciones y se ha expuesto con más detalle en los antecedentes, la entidad recurrente fue objeto de diversos procedimientos administrativos sancionadores en materia de tráfico cuyas incoaciones y resoluciones sancionadoras fueron notificadas por edictos. Estas notificaciones edictales se produjeron tras intentarse sin resultado las notificaciones personales en un domicilio social que, aun siendo el que figuraba en el Registro de Vehículos, ya había cambiado, habiéndose inscrito la modificación del domicilio social más de dos años antes de la incoación de dichos procedimientos tanto en el Registro Mercantil como en los censos de la Agencia Estatal de la Administración Tributaria y de la Hacienda de la Comunidad de Madrid. Este nuevo domicilio social, además, fue al que, con la mayor normalidad y sin realizar ninguna averiguación de paradero, se dirigió la notificación de la providencia de apremio, primer acto administrativo del que tuvo conocimiento la entidad recurrente.</w:t>
      </w:r>
    </w:p>
    <w:p w:rsidR="0052098F" w:rsidRDefault="0052098F" w:rsidP="0052098F">
      <w:pPr>
        <w:pStyle w:val="TextoNormal"/>
      </w:pPr>
      <w:r>
        <w:t>En atención a lo expuesto hay que concluir, conforme también interesa el Ministerio Fiscal, que se ha vulnerado a la entidad recurrente su derecho a la defensa y a ser informado de la acusación (art. 24.2 CE). En efecto, es cierto que, como se señala en la Sentencia recaída en la vía judicial previa, el Ayuntamiento de Madrid cumplió con la obligación formal de dirigir las diversas notificaciones a que daban lugar los procedimientos sancionadores al domicilio de la entidad recurrente que figuraba en el Registro de Vehículos y que fue la recurrente la que incumplió su obligación, como titular de un vehículo, de notificar a dicho Registro el cambio de domicilio. Ahora bien, más allá de ello, una vez frustradas las posibilidades de notificación personal a la entidad recurrente por ser ignorado su paradero en ese domicilio, la Administración sancionadora no podía limitarse a proceder a la notificación edictal sin desplegar una mínima actividad indagatoria en oficinas y registros públicos para intentar determinar un domicilio de notificaciones alternativo en que pudiera ser notificada personalmente. Ello le hubiera llevado, sin mayor esfuerzo, a una correcta determinación del domicilio social de la recurrente, tal como se verifica con la aparente normalidad con la que en vía de ejecución se accedió a dichos datos para la notificación da la providencia de apremio.</w:t>
      </w:r>
    </w:p>
    <w:p w:rsidR="0052098F" w:rsidRDefault="0052098F" w:rsidP="0052098F">
      <w:pPr>
        <w:pStyle w:val="TextoNormal"/>
      </w:pPr>
      <w:r>
        <w:t>Para el restablecimiento de los derechos vulnerados resulta necesaria la anulación de las resoluciones administrativas sancionadoras, de las resoluciones administrativas dictadas en vía ejecutiva para hacer efectiva la liquidación de las multas y de la resolución judicial impugnada, en la medida que no reparó los derechos vulnerados.</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a Cañete Corchero Abogados, S.L., el amparo solicitado y, en consecuencia:</w:t>
      </w:r>
    </w:p>
    <w:p w:rsidR="0052098F" w:rsidRDefault="0052098F" w:rsidP="0052098F">
      <w:pPr>
        <w:pStyle w:val="TextoNormal"/>
      </w:pPr>
      <w:r>
        <w:t>1º Reconocer su derecho a la defensa y a ser informado de la acusación (art. 24.2 CE).</w:t>
      </w:r>
    </w:p>
    <w:p w:rsidR="0052098F" w:rsidRDefault="0052098F" w:rsidP="0052098F">
      <w:pPr>
        <w:pStyle w:val="TextoNormal"/>
      </w:pPr>
      <w:r>
        <w:t xml:space="preserve">2º Declarar la nulidad de las Resoluciones del quinto teniente de Alcalde —titular de la rama de Hacienda, Personal y Régimen Interior— del Ayuntamiento de Madrid de 20 de agosto de 2002, dictada en el expediente núm. 94.180.530; de 27 de agosto de 2002, dictada en el expediente núm. 91.187.432; de 27 de septiembre de 2002, dictada en el expediente núm. 94.203.931; de 27 de septiembre de 2002, dictada en el expediente núm. 94.206.736; </w:t>
      </w:r>
      <w:r>
        <w:lastRenderedPageBreak/>
        <w:t>de 9 de octubre de 2002, dictada en el expediente núm.  94.205.192; de 9 de octubre de 2002, dictada en el expediente núm. 94.211.646; de 15 de octubre de 2002, dictada en el expediente núm. 94.215.719; de 31 de octubre de 2002, dictada en el expediente núm. 94.218.969; de 7 de noviembre de 2002, dictada en el expediente núm. 75.381.625; de 7 de noviembre de 2002, dictada en el expediente núm. 94.221.673 y de 28 de noviembre de 2002, dictada en el expediente núm. 94.232.561, y de la providencia de apremio colectiva de 16 de junio de 2003 y la Resolución del tesorero municipal del Ayuntamiento de Madrid de 3 de octubre de 2003, dictadas en el expediente núm. 2583431.9; así como la Sentencia del Juzgado de lo Contencioso-Administrativo núm. 23 de Madrid de 21 de octubre de 2004, dictada en el procedimiento ordinario núm. 7-2004.</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veinticinco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6" w:name="SENTENCIA_2008_33"/>
      <w:r>
        <w:lastRenderedPageBreak/>
        <w:t>SENTENCIA 33/2008, de 25 de febrero de 2008</w:t>
      </w:r>
    </w:p>
    <w:bookmarkEnd w:id="36"/>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76, de 28 de marzo de 2008)</w:t>
      </w:r>
    </w:p>
    <w:p w:rsidR="0052098F" w:rsidRDefault="0052098F" w:rsidP="0052098F">
      <w:pPr>
        <w:pStyle w:val="TtuloBOE"/>
      </w:pPr>
    </w:p>
    <w:p w:rsidR="0052098F" w:rsidRDefault="0052098F" w:rsidP="0052098F">
      <w:pPr>
        <w:pStyle w:val="SntesisDescriptiva"/>
      </w:pPr>
      <w:r>
        <w:t>ECLI:ES:TC:2008:33</w:t>
      </w:r>
    </w:p>
    <w:p w:rsidR="0052098F" w:rsidRDefault="0052098F" w:rsidP="0052098F">
      <w:pPr>
        <w:pStyle w:val="SntesisDescriptiva"/>
      </w:pPr>
    </w:p>
    <w:p w:rsidR="0052098F" w:rsidRDefault="0052098F" w:rsidP="0052098F">
      <w:pPr>
        <w:pStyle w:val="SntesisDescriptiva"/>
      </w:pPr>
      <w:r>
        <w:t>Recurso de amparo 1829-2005. Promovido por el Consorcio de Compensación de Seguros respecto a la Sentencia de la Audiencia Provincial de Palencia que declaró mal admitida la apelación en litigio civil sobre indemnización de lesiones en accidente de tráfico causado por vehículo desconocido.</w:t>
      </w:r>
    </w:p>
    <w:p w:rsidR="0052098F" w:rsidRDefault="0052098F" w:rsidP="0052098F">
      <w:pPr>
        <w:pStyle w:val="SntesisDescriptiva"/>
      </w:pPr>
    </w:p>
    <w:p w:rsidR="0052098F" w:rsidRDefault="0052098F" w:rsidP="0052098F">
      <w:pPr>
        <w:pStyle w:val="SntesisAnaltica"/>
      </w:pPr>
      <w:r>
        <w:t>Supuesta vulneración del derecho a la tutela judicial efectiva (acceso al recurso legal): inadmisión de recurso de apelación civil por no haber consignado los intereses de la deuda en litigio por discrepancias sobre el alcance de la exención legal en favor del Estado.</w:t>
      </w:r>
    </w:p>
    <w:p w:rsidR="0052098F" w:rsidRDefault="0052098F" w:rsidP="0052098F">
      <w:pPr>
        <w:pStyle w:val="SntesisAnaltica"/>
      </w:pPr>
    </w:p>
    <w:p w:rsidR="0052098F" w:rsidRDefault="0052098F" w:rsidP="0052098F">
      <w:pPr>
        <w:pStyle w:val="Extracto"/>
      </w:pPr>
      <w:r>
        <w:t>1.</w:t>
      </w:r>
      <w:r>
        <w:tab/>
        <w:t>Si a la entidad recurrente le resulta de aplicación la exención de la consignación de intereses prevista en la Ley de asistencia jurídica al Estado e instituciones públicas, es una cuestión de legalidad ordinaria sobre la que no le corresponde pronunciarse a este Tribunal, satisfaciendo las exigencias del art. 24.1 CE la exposición razonada de los argumentos por los que el órgano judicial considera que la excepción no resulta de aplicación a la entidad recurrente (STC 221/2007) [FJ 3].</w:t>
      </w:r>
    </w:p>
    <w:p w:rsidR="0052098F" w:rsidRDefault="0052098F" w:rsidP="0052098F">
      <w:pPr>
        <w:pStyle w:val="Extracto"/>
      </w:pPr>
    </w:p>
    <w:p w:rsidR="0052098F" w:rsidRDefault="0052098F" w:rsidP="0052098F">
      <w:pPr>
        <w:pStyle w:val="Extracto"/>
      </w:pPr>
      <w:r>
        <w:t>2.</w:t>
      </w:r>
      <w:r>
        <w:tab/>
        <w:t>La alegación de una aplicación rigorista y desproporcionada de la causa de inadmisión prevista en el art. 449.3 LEC queda fuera del canon de constitucionalidad imperante en la vertiente de la tutela judicial que atañe al acceso al recurso, sin que el razonamiento de la Sentencia impugnada respecto de la finalidad de dicho precepto y su aplicación al caso resulte arbitrario, irrazonable o fruto del error patente (STC 253/2007) [FJ 4].</w:t>
      </w:r>
    </w:p>
    <w:p w:rsidR="0052098F" w:rsidRDefault="0052098F" w:rsidP="0052098F">
      <w:pPr>
        <w:pStyle w:val="Extracto"/>
      </w:pPr>
    </w:p>
    <w:p w:rsidR="0052098F" w:rsidRDefault="0052098F" w:rsidP="0052098F">
      <w:pPr>
        <w:pStyle w:val="Extracto"/>
      </w:pPr>
      <w:r>
        <w:t>3.</w:t>
      </w:r>
      <w:r>
        <w:tab/>
        <w:t>Se aplica doctrina sobre la tutela judicial efectiva en el ámbito del acceso al recurso (SSTC 221/2005, 253/2007)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lastRenderedPageBreak/>
        <w:t>SENTENCIA</w:t>
      </w:r>
    </w:p>
    <w:p w:rsidR="0052098F" w:rsidRDefault="0052098F" w:rsidP="0052098F">
      <w:pPr>
        <w:pStyle w:val="TextoNormalCentrado"/>
        <w:keepNext/>
      </w:pPr>
    </w:p>
    <w:p w:rsidR="0052098F" w:rsidRDefault="0052098F" w:rsidP="0052098F">
      <w:pPr>
        <w:pStyle w:val="TextoNormal"/>
      </w:pPr>
      <w:r>
        <w:t>En el recurso de amparo núm. 1829-2005, promovido por el Consorcio de Compensación de Seguros, representado y asistido por el Abogado del Estado, contra la Sentencia de fecha 24 de enero de 2005 dictada por la Sección Primera de la Audiencia Provincial de Palencia en el recurso de apelación núm. 483-2004, que declara la inadmisibilidad del recurso por falta de consignación del importe de los intereses a cuyo pago, junto al principal de la deuda indemnizatoria, fue condenado dicho Consorcio por Sentencia de 15 de julio de 2004 del Juzgado de Primera Instancia núm. 5 de Palencia en autos de procedimiento ordinario núm. 87-2004. Ha intervenido el Ministerio Fiscal. Ha sido Ponente el Magistrado don Javier Delgado Barrio,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15 de marzo de 2005, el Abogado del Estado interpuso recurso de amparo en representación del Consorcio de Compensación de Seguros contra la resolución judicial mencionada en el encabezamiento, por vulnerar el derecho fundamental de la entidad recurrente a la tutela judicial efectiva proclamado en el art. 24.1 de la Constitución Española, en su dimensión de derecho de acceso al recurso previsto en la ley.</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que originan la demanda de amparo son, en síntesis, los siguientes: </w:t>
      </w:r>
    </w:p>
    <w:p w:rsidR="0052098F" w:rsidRDefault="0052098F" w:rsidP="0052098F">
      <w:pPr>
        <w:pStyle w:val="TextoNormal"/>
      </w:pPr>
      <w:r>
        <w:t xml:space="preserve">a) Por el Juzgado de Primera Instancia núm. 5 de Palencia se dictó Sentencia de fecha 15 de julio de 2004 en los autos de procedimiento ordinario núm. 87-2004, por la que se condenó al Consorcio de Compensación de Seguros a pagar a la actora la cantidad de 8.884,72 euros más los intereses legales como consecuencia de las lesiones sufridas por aquélla en accidente de tráfico causado por vehículo desconocido. </w:t>
      </w:r>
    </w:p>
    <w:p w:rsidR="0052098F" w:rsidRDefault="0052098F" w:rsidP="0052098F">
      <w:pPr>
        <w:pStyle w:val="TextoNormal"/>
      </w:pPr>
      <w:r>
        <w:t>b) Contra la anterior Sentencia interpuso en plazo recurso de apelación el Consorcio de Compensación de Seguros, previa consignación del importe en concepto de principal a cuyo pago fue condenado. Admitida a trámite inicialmente la apelación por el Juzgado a quo, la Sección Primera de la Audiencia Provincial de Palencia “desestimó” la apelación por Sentencia de 24 de enero de 2005, ahora impugnada, al considerar que el recurso no debió ser admitido por el Juzgado a quo, toda vez que el Consorcio no consignó, junto a la suma indemnizatoria, los intereses legales a cuyo pago fue también condenado, por lo que procedió a confirmar la Sentencia dictada en la instancia sin entrar en el fondo del recurso.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Contra esta Sentencia de la Sección Primera de la Audiencia Provincial de Palencia de 24 de enero de 2005 se formula recurso de amparo, al considerar que vulnera el derecho fundamental del demandante a la tutela judicial efectiva (art. 24.1 CE) en su dimensión de derecho de acceso al recurso previsto en la ley, por cuanto se sustenta en una interpretación groseramente formalista, manifiestamente irrazonable y desproporcionada de los requisitos exigidos para acceder al recurso, inadmitiendo el mismo sin entrar en el fondo de la cuestión formulada. Considera la entidad recurrente que el Consorcio de Compensación de Seguros no está obligado a consignar cantidad alguna, por lo que la resolución de desestimación (inadmisión) se fundamenta en una causa legal inexistente o en una interpretación de la legalidad arbitraria o manifiestamente irrazonable, al tiempo que, aun considerando la existencia de dicha obligación, resulta en el presente caso manifiestamente desproporcionada la </w:t>
      </w:r>
      <w:r>
        <w:lastRenderedPageBreak/>
        <w:t>inadmisión del recurso sin conceder la posibilidad de subsanación de una mínima insuficiencia de la consignación a quien ha manifestado tan claro propósito, no sólo de recurrir, sino de consignar, haciéndolo en la práctica totalidad de la cantidad consignable.</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23 de mayo de 2007 la Sección Primera de este Tribunal acordó la admisión a trámite de la demanda de amparo así como, a tenor de lo establecido en el art. 51 LOTC, requerir atentamente a la Sección Primera de la Audiencia Provincial de Palencia y al Juzgado de Primera Instancia núm. 5 de esa ciudad para que en el plazo de diez días remitiesen respectivamente testimonio del rollo de apelación núm. 483-2004 y de las actuaciones del procedimiento ordinario núm. 87-2004, interesando al propio tiempo que se emplazase a quienes hubieran sido parte en el mencionado procedimiento, a excepción de la entidad recurrente ya personada, para que pudieran comparecer en este proceso constitucional.</w:t>
      </w:r>
    </w:p>
    <w:p w:rsidR="0052098F" w:rsidRDefault="0052098F" w:rsidP="0052098F">
      <w:pPr>
        <w:pStyle w:val="TextoNormal"/>
      </w:pPr>
    </w:p>
    <w:p w:rsidR="0052098F" w:rsidRDefault="0052098F" w:rsidP="0052098F">
      <w:pPr>
        <w:pStyle w:val="TextoNormal"/>
      </w:pPr>
      <w:r w:rsidRPr="0052098F">
        <w:rPr>
          <w:rStyle w:val="NumeroAFNegritaCaracter"/>
        </w:rPr>
        <w:t>5</w:t>
      </w:r>
      <w:r>
        <w:t>. Mediante diligencia de ordenación de 13 de julio de 2007 del Secretario de Justicia de la Sala Primera de este Tribunal se tuvo por recibido el testimonio requerido y, de conformidad con lo dispuesto en el art. 52 LOTC, se acordó dar vista de todas las actuaciones del presente recurso de amparo a las partes personadas y al Ministerio Fiscal para que, dentro del plazo común de veinte días, pudieran presentar las alegaciones que a su derecho conviniera.</w:t>
      </w:r>
    </w:p>
    <w:p w:rsidR="0052098F" w:rsidRDefault="0052098F" w:rsidP="0052098F">
      <w:pPr>
        <w:pStyle w:val="TextoNormal"/>
      </w:pPr>
    </w:p>
    <w:p w:rsidR="0052098F" w:rsidRDefault="0052098F" w:rsidP="0052098F">
      <w:pPr>
        <w:pStyle w:val="TextoNormal"/>
      </w:pPr>
      <w:r w:rsidRPr="0052098F">
        <w:rPr>
          <w:rStyle w:val="NumeroAFNegritaCaracter"/>
        </w:rPr>
        <w:t>6</w:t>
      </w:r>
      <w:r>
        <w:t>. Mediante escrito registrado el 3 de septiembre de 2007, el Abogado del Estado evacuó el trámite de alegaciones conferido en la representación que ostenta, solicitando la estimación del amparo pretendido. Tras aducir en apoyo de su pretensión otras resoluciones pronunciadas por este Tribunal con posterioridad a la presentación de la demanda de amparo, el Abogado del Estado se reitera en los motivos y razonamientos contenidos en su escrito de demanda.</w:t>
      </w:r>
    </w:p>
    <w:p w:rsidR="0052098F" w:rsidRDefault="0052098F" w:rsidP="0052098F">
      <w:pPr>
        <w:pStyle w:val="TextoNormal"/>
      </w:pPr>
    </w:p>
    <w:p w:rsidR="0052098F" w:rsidRDefault="0052098F" w:rsidP="0052098F">
      <w:pPr>
        <w:pStyle w:val="TextoNormal"/>
      </w:pPr>
      <w:r w:rsidRPr="0052098F">
        <w:rPr>
          <w:rStyle w:val="NumeroAFNegritaCaracter"/>
        </w:rPr>
        <w:t>7</w:t>
      </w:r>
      <w:r>
        <w:t>. Por su parte el Fiscal ante el Tribunal Constitucional cumplimentó el trámite de alegaciones conferido mediante escrito registrado el 26 de septiembre de 2007, por el que interesa de este Tribunal el otorgamiento del amparo solicitado. En cuanto al primero de los motivos de lesión aducidos por la entidad recurrente, considera el Fiscal que no puede calificarse como arbitraria ni manifiestamente irrazonable, desde la óptica constitucional, la interpretación legal que efectúa el Tribunal sentenciador respecto de la existencia de obligación de consignación de la entidad recurrente en el caso enjuiciado, sin perjuicio de la valoración que pueda merecer en el plano de la legalidad. Estima, sin embargo, el representante del Ministerio público que la decisión de inadmisión del recurso por falta de consignación, resultó en el caso enjuiciado formalista, enervante y carente de proporcionalidad (segundo motivo), por cuanto acreditado por el Consorcio de Compensación de Seguros su propósito de realizar aquélla, y la evidente desproporción entre el principal consignado y los intereses no consignados, la Sala debió habilitar trámite para la subsanación en lo relativo a la cantidad correspondiente a los intereses, y al no hacerlo así infringió el art. 24.1 CE, relativo a la preservación del derecho al recurso. Por ello, el Fiscal concluye interesando de este Tribunal la concesión del amparo con la anulación de la Sentencia impugnada, a fin de que se dicte otra que permita la subsanación del defecto de consignación indicado.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8</w:t>
      </w:r>
      <w:r>
        <w:t>. Por providencia de 21 de febrero de 2008 se señaló para la deliberación y votación de la presente Sentencia el día 25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cuestión planteada en este proceso consiste en determinar si la Sentencia impugnada vulneró el derecho fundamental de la entidad recurrente a la tutela judicial efectiva (art. 24.1 CE), en su dimensión de derecho de acceso a los recursos previstos legalmente, al considerar inadmisible la apelación por ella interpuesta, a causa del incumplimiento del requisito establecido en el art. 449.3 de la Ley de enjuiciamiento civil (LEC) por falta de consignación, junto al importe del principal de la deuda indemnizatoria, de los intereses legales a cuyo pago fue también condenada en la instancia.</w:t>
      </w:r>
    </w:p>
    <w:p w:rsidR="0052098F" w:rsidRDefault="0052098F" w:rsidP="0052098F">
      <w:pPr>
        <w:pStyle w:val="TextoNormal"/>
      </w:pPr>
      <w:r>
        <w:t>Dos son los motivos en los que la entidad recurrente fundamenta la vulneración del art. 24.1 CE alegada: de un lado, se sostiene que la Sentencia impugnada, al acordar la inadmisión del recurso de apelación sin resolver sobre su fondo, se sustenta sobre una causa de inadmisión inexistente, por cuanto el Consorcio de Compensación de Seguros, dada su condición de entidad pública empresarial, no está legalmente obligado a realizar el depósito o consignación a que se refiere el mencionado precepto de la Ley de enjuiciamiento civil, de conformidad con lo dispuesto en el art. 12 de la Ley 52/1997, de 27 de noviembre, de asistencia jurídica al Estado e instituciones públicas, y de otro lado se aduce que la resolución impugnada efectúa en el presente caso una aplicación rigorista y manifiestamente desproporcionada del aludido requisito, por cuanto acuerda la inadmisión del recurso sin conceder la posibilidad de subsanar una mínima insuficiencia de la consignación a quien ha manifestado su propósito de recurrir y consignar, habiéndolo hecho en la práctica totalidad de la cantidad consignable, alegación esta última que comparte el Ministerio Fiscal que interesa el otorgamiento del amparo.</w:t>
      </w:r>
    </w:p>
    <w:p w:rsidR="0052098F" w:rsidRDefault="0052098F" w:rsidP="0052098F">
      <w:pPr>
        <w:pStyle w:val="TextoNormal"/>
      </w:pPr>
    </w:p>
    <w:p w:rsidR="0052098F" w:rsidRDefault="0052098F" w:rsidP="0052098F">
      <w:pPr>
        <w:pStyle w:val="TextoNormal"/>
      </w:pPr>
      <w:r w:rsidRPr="0052098F">
        <w:rPr>
          <w:rStyle w:val="NumeroAFNegritaCaracter"/>
        </w:rPr>
        <w:t>2</w:t>
      </w:r>
      <w:r>
        <w:t>. La reiterada doctrina de este Tribunal (entre otras muchas, STC 221/2005, de 12 de septiembre, FJ 2) viene declarando que “el derecho a la tutela judicial efectiva comprende el de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114/2004, de 12 de julio, FJ 3; 79/2005, de 4 de abril, FJ 2; 221/2005 entre otras muchas)”.</w:t>
      </w:r>
    </w:p>
    <w:p w:rsidR="0052098F" w:rsidRDefault="0052098F" w:rsidP="0052098F">
      <w:pPr>
        <w:pStyle w:val="TextoNormal"/>
      </w:pPr>
      <w:r>
        <w:t>Ya en este punto, es de “recordar que si bien el derecho a obtener una resolución de fondo se extiende tanto al ámbito del acceso a la jurisdicción como al del acceso al recurso, el alcance de este derecho no es el mismo en la fase inicial del proceso, una vez conseguida una primera respuesta judicial a la pretensión, que ‘es la sustancia medular de la tutela y su contenido esencial para acceder al sistema judicial’ (STC 37/1995, de 7 de febrero, FJ 5), que en las sucesivas fases de recursos que puedan interponerse contra esa decisión (STC 37/1995, de 7 de febrero, FJ 5)” (STC 221/2005, de 12 de septiembre, FJ 2).</w:t>
      </w:r>
    </w:p>
    <w:p w:rsidR="0052098F" w:rsidRDefault="0052098F" w:rsidP="0052098F">
      <w:pPr>
        <w:pStyle w:val="TextoNormal"/>
      </w:pPr>
      <w:r>
        <w:t>Y, así, venimos declarando:</w:t>
      </w:r>
    </w:p>
    <w:p w:rsidR="0052098F" w:rsidRDefault="0052098F" w:rsidP="0052098F">
      <w:pPr>
        <w:pStyle w:val="TextoNormal"/>
      </w:pPr>
      <w:r>
        <w:t xml:space="preserve">a) En el acceso a la jurisdicción, se proscribe no sólo la arbitrariedad, irrazonabilidad o el error patente, sino también “aquellas decisiones de inadmisión —o de no pronunciamiento sobre el fondo— que por su rigorismo, por su formalismo excesivo o por cualquier </w:t>
      </w:r>
      <w:r>
        <w:lastRenderedPageBreak/>
        <w:t>otra razón revelen una clara desproporción entre los fines que aquellas causas de inadmisión —o no pronunciamiento sobre el fondo— preservan y los intereses que sacrifican (entre otras muchas, SSTC 27/2003, de 10 de febrero, FJ 4; 3/2004, 14 de enero, FJ 3; 79/2005, de 2 de abril, FJ 2)” (STC 133/2005, de 21 de mayo, FJ 2).</w:t>
      </w:r>
    </w:p>
    <w:p w:rsidR="0052098F" w:rsidRDefault="0052098F" w:rsidP="0052098F">
      <w:pPr>
        <w:pStyle w:val="TextoNormal"/>
      </w:pPr>
      <w:r>
        <w:t>b) En cambio, en el acceso al recurso, salvo en materia penal, operan en esta jurisdicción constitucional los tres primeros criterios, pero no el último: “La decisión sobre la admisión de los recursos o no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de 8 de abril, FJ 3). Son los Jueces y Tribunales, por lo tanto, a quienes corresponde determinar cuáles son los requisitos y presupuestos que la ley exige para el acceso a los recursos que establece, así como la verificación y control de su concurrencia en cada caso (STC 230/2001, de 26 de noviembre, FJ 2). En el mismo sentido, en la STC 258/2000, de 30 de octubre (FJ 2), con cita de innumerables decisiones anteriores, afirmamos que este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(STC 253/2007, de 17 de diciembre, FJ 3).</w:t>
      </w:r>
    </w:p>
    <w:p w:rsidR="0052098F" w:rsidRDefault="0052098F" w:rsidP="0052098F">
      <w:pPr>
        <w:pStyle w:val="TextoNormal"/>
      </w:pPr>
    </w:p>
    <w:p w:rsidR="0052098F" w:rsidRDefault="0052098F" w:rsidP="0052098F">
      <w:pPr>
        <w:pStyle w:val="TextoNormal"/>
      </w:pPr>
      <w:r w:rsidRPr="0052098F">
        <w:rPr>
          <w:rStyle w:val="NumeroAFNegritaCaracter"/>
        </w:rPr>
        <w:t>3</w:t>
      </w:r>
      <w:r>
        <w:t>. Ya se ha indicado que la entidad recurrente aduce, en primer lugar, que la Sala ha inadmitido el recurso en virtud de una causa inexistente, pues, a su juicio, estaba legalmente exenta de la obligación de consignar y, por tanto, falta el fundamento de la inadmisión apreciada por la Sala. Esta queja no puede prosperar, ya que a través de la misma lo que el recurrente expone es su discrepancia con la interpretación de la legalidad procesal efectuada por el órgano judicial. La cuestión relativa a si al Consorcio de Compensación de Seguros le resulta de aplicación la exención de la consignación prevista en el art. 12 de la Ley 52/1997, de 27 de noviembre, de asistencia jurídica al Estado e instituciones públicas, es una cuestión de legalidad ordinaria sobre la que no le corresponde pronunciarse a este Tribunal. El órgano judicial ha expuesto de forma razonada los argumentos por los que considera que la excepción prevista en el referido precepto legal no resulta de aplicación a la entidad recurrente, por lo que al tratarse de una decisión debidamente razonada —no incurre en quiebras lógicas en su argumentación ni es fruto de un error patente, que ha de ser de “carácter eminentemente fáctico” (STC 221/2007, de 8 de octubre, FJ 3)— satisface las exigencias que se derivan del art. 24.1 CE.</w:t>
      </w:r>
    </w:p>
    <w:p w:rsidR="0052098F" w:rsidRDefault="0052098F" w:rsidP="0052098F">
      <w:pPr>
        <w:pStyle w:val="TextoNormal"/>
      </w:pPr>
    </w:p>
    <w:p w:rsidR="0052098F" w:rsidRDefault="0052098F" w:rsidP="0052098F">
      <w:pPr>
        <w:pStyle w:val="TextoNormal"/>
      </w:pPr>
      <w:r w:rsidRPr="0052098F">
        <w:rPr>
          <w:rStyle w:val="NumeroAFNegritaCaracter"/>
        </w:rPr>
        <w:t>4</w:t>
      </w:r>
      <w:r>
        <w:t>. Alega también la entidad recurrente que la Sentencia impugnada ha vulnerado su derecho de acceso al recurso al haberle impedido obtener un pronunciamiento sobre el fondo de la cuestión planteada en la segunda instancia, debido a la aplicación rigorista del requisito de la consignación que estima desproporcionada al no haber otorgado la posibilidad de subsanación del defecto apreciado —una consignación insuficiente—, permitida por el art. 449.6 en relación con el art. 231, ambos de la LEC.</w:t>
      </w:r>
    </w:p>
    <w:p w:rsidR="0052098F" w:rsidRDefault="0052098F" w:rsidP="0052098F">
      <w:pPr>
        <w:pStyle w:val="TextoNormal"/>
      </w:pPr>
      <w:r>
        <w:lastRenderedPageBreak/>
        <w:t>Pero tampoco esta queja puede prosperar, como ya hemos señalado en la STC 253/2007, de 17 de diciembre, FJ 3, para una consignación también insuficiente, pues, aplicando la doctrina constitucional antes citada y situándonos en el control constitucional externo que en los casos de acceso al recurso nos corresponde, hemos de concluir que la alegación de una aplicación rigorista y desproporcionada de la causa de inadmisión prevista en el art. 449.3 LEC queda fuera del canon de constitucionalidad imperante en la vertiente de la tutela judicial que atañe al acceso al recurso, sin que el razonamiento de la Sentencia impugnada respecto de la finalidad de dicho precepto y su aplicación al caso resulte arbitrario, irrazonable o fruto del error patente.</w:t>
      </w:r>
    </w:p>
    <w:p w:rsidR="0052098F" w:rsidRDefault="0052098F" w:rsidP="0052098F">
      <w:pPr>
        <w:pStyle w:val="TextoNormal"/>
      </w:pPr>
      <w:r>
        <w:t>Procedente será por consecuencia el pronunciamiento previsto en el art. 53 b) LOTC.</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Denegar el amparo solicitado por el Consorcio de Compensación de Seguros.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veinticinco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7" w:name="SENTENCIA_2008_34"/>
      <w:r>
        <w:lastRenderedPageBreak/>
        <w:t>SENTENCIA 34/2008, de 25 de febrero de 2008</w:t>
      </w:r>
    </w:p>
    <w:bookmarkEnd w:id="37"/>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76, de 28 de marzo de 2008)</w:t>
      </w:r>
    </w:p>
    <w:p w:rsidR="0052098F" w:rsidRDefault="0052098F" w:rsidP="0052098F">
      <w:pPr>
        <w:pStyle w:val="TtuloBOE"/>
      </w:pPr>
    </w:p>
    <w:p w:rsidR="0052098F" w:rsidRDefault="0052098F" w:rsidP="0052098F">
      <w:pPr>
        <w:pStyle w:val="SntesisDescriptiva"/>
      </w:pPr>
      <w:r>
        <w:t>ECLI:ES:TC:2008:34</w:t>
      </w:r>
    </w:p>
    <w:p w:rsidR="0052098F" w:rsidRDefault="0052098F" w:rsidP="0052098F">
      <w:pPr>
        <w:pStyle w:val="SntesisDescriptiva"/>
      </w:pPr>
    </w:p>
    <w:p w:rsidR="0052098F" w:rsidRDefault="0052098F" w:rsidP="0052098F">
      <w:pPr>
        <w:pStyle w:val="SntesisDescriptiva"/>
      </w:pPr>
      <w:r>
        <w:t>Recurso de amparo 3066-2005. Promovido por don Juan Manuel Falcón Ros respecto a los Autos de la Audiencia Provincial de Murcia y de un Juzgado de Instrucción de Cieza que acordaron el sobreseimiento de unas diligencias previas por delito contra la integridad moral.</w:t>
      </w:r>
    </w:p>
    <w:p w:rsidR="0052098F" w:rsidRDefault="0052098F" w:rsidP="0052098F">
      <w:pPr>
        <w:pStyle w:val="SntesisDescriptiva"/>
      </w:pPr>
    </w:p>
    <w:p w:rsidR="0052098F" w:rsidRDefault="0052098F" w:rsidP="0052098F">
      <w:pPr>
        <w:pStyle w:val="SntesisAnaltica"/>
      </w:pPr>
      <w:r>
        <w:t>Vulneración del derecho a la tutela judicial efectiva: investigación insuficiente de una denuncia de tratos inhumanos y degradantes sufridos bajo custodia policial (STC 224/2007).</w:t>
      </w:r>
    </w:p>
    <w:p w:rsidR="0052098F" w:rsidRDefault="0052098F" w:rsidP="0052098F">
      <w:pPr>
        <w:pStyle w:val="SntesisAnaltica"/>
      </w:pPr>
    </w:p>
    <w:p w:rsidR="0052098F" w:rsidRDefault="0052098F" w:rsidP="0052098F">
      <w:pPr>
        <w:pStyle w:val="Extracto"/>
      </w:pPr>
      <w:r>
        <w:t>1.</w:t>
      </w:r>
      <w:r>
        <w:tab/>
        <w:t>Frente a la denuncia de malos tratos policiales inhumanos o degradantes por parte del detenido se clausura la investigación judicial cuando perviven sospechas razonables acerca de la posibilidad de que el delito se hubiera cometido, existiendo aún medios de investigación disponibles para despejarlas, lo que vulnera el derecho a la tutela judicial efectiva [FFJJ 8, 9].</w:t>
      </w:r>
    </w:p>
    <w:p w:rsidR="0052098F" w:rsidRDefault="0052098F" w:rsidP="0052098F">
      <w:pPr>
        <w:pStyle w:val="Extracto"/>
      </w:pPr>
    </w:p>
    <w:p w:rsidR="0052098F" w:rsidRDefault="0052098F" w:rsidP="0052098F">
      <w:pPr>
        <w:pStyle w:val="Extracto"/>
      </w:pPr>
      <w:r>
        <w:t>2.</w:t>
      </w:r>
      <w:r>
        <w:tab/>
        <w:t>Las sospechas de veracidad de los hechos denunciados son suficientes para que deba perseverarse en la indagación, apenas iniciada, ya que el detenido había sido trasladado en dos ocasiones al hospital, habiéndose consignado en los partes médicos ciertos dolores y contusiones, y al haber manifestado tanto al médico como al Juez de Instrucción, que había sido golpeado [FJ 8].</w:t>
      </w:r>
    </w:p>
    <w:p w:rsidR="0052098F" w:rsidRDefault="0052098F" w:rsidP="0052098F">
      <w:pPr>
        <w:pStyle w:val="Extracto"/>
      </w:pPr>
    </w:p>
    <w:p w:rsidR="0052098F" w:rsidRDefault="0052098F" w:rsidP="0052098F">
      <w:pPr>
        <w:pStyle w:val="Extracto"/>
      </w:pPr>
      <w:r>
        <w:t>3.</w:t>
      </w:r>
      <w:r>
        <w:tab/>
        <w:t>Las exigencias del derecho a la tutela judicial efectiva no permiten aceptar como razón suficiente para negar toda credibilidad al denunciante la de su ánimo de defensa frente a la imputación que finalmente fue calificada como una falta de respeto a la autoridad [FJ 8].</w:t>
      </w:r>
    </w:p>
    <w:p w:rsidR="0052098F" w:rsidRDefault="0052098F" w:rsidP="0052098F">
      <w:pPr>
        <w:pStyle w:val="Extracto"/>
      </w:pPr>
    </w:p>
    <w:p w:rsidR="0052098F" w:rsidRDefault="0052098F" w:rsidP="0052098F">
      <w:pPr>
        <w:pStyle w:val="Extracto"/>
      </w:pPr>
      <w:r>
        <w:t>4.</w:t>
      </w:r>
      <w:r>
        <w:tab/>
        <w:t>La compatibilidad de las lesiones constatadas con el relato policial no es bastante para disipar la sospecha levantada con la denuncia, máxime cuando carece de la precisión necesaria frente a la alegación del denunciante de que entre los síntomas no se describen algunos que corresponderían a su versión y sí otros que no casarían con la misma [FJ 8].</w:t>
      </w:r>
    </w:p>
    <w:p w:rsidR="0052098F" w:rsidRDefault="0052098F" w:rsidP="0052098F">
      <w:pPr>
        <w:pStyle w:val="Extracto"/>
      </w:pPr>
    </w:p>
    <w:p w:rsidR="0052098F" w:rsidRDefault="0052098F" w:rsidP="0052098F">
      <w:pPr>
        <w:pStyle w:val="Extracto"/>
      </w:pPr>
      <w:r>
        <w:t>5.</w:t>
      </w:r>
      <w:r>
        <w:tab/>
        <w:t>Se pueden señalar, como medios de investigación disponibles para despejar las sospechas, el reconocimiento del médico forense, la declaración del testigo que presenció la detención, el reconocimiento de los médicos que atendieron al detenido o los testimonios de los agentes que participaron en la detención [FJ 8].</w:t>
      </w:r>
    </w:p>
    <w:p w:rsidR="0052098F" w:rsidRDefault="0052098F" w:rsidP="0052098F">
      <w:pPr>
        <w:pStyle w:val="Extracto"/>
      </w:pPr>
    </w:p>
    <w:p w:rsidR="0052098F" w:rsidRDefault="0052098F" w:rsidP="0052098F">
      <w:pPr>
        <w:pStyle w:val="Extracto"/>
      </w:pPr>
      <w:r>
        <w:t>6.</w:t>
      </w:r>
      <w:r>
        <w:tab/>
        <w:t>Resulta relevante para apreciar, tanto la insuficiencia de la motivación judicial respecto de la inexistencia de indicios, como la existencia de diligencias de indagación remanentes, el hecho de no ser el Juez de Instrucción finalmente decisor el que recibiera la declaración del recurrente, testimonio éste que constituye un medio de indagación de lo denunciado particularmente idóneo [FFJJ 7, 8].</w:t>
      </w:r>
    </w:p>
    <w:p w:rsidR="0052098F" w:rsidRDefault="0052098F" w:rsidP="0052098F">
      <w:pPr>
        <w:pStyle w:val="Extracto"/>
      </w:pPr>
    </w:p>
    <w:p w:rsidR="0052098F" w:rsidRDefault="0052098F" w:rsidP="0052098F">
      <w:pPr>
        <w:pStyle w:val="Extracto"/>
      </w:pPr>
      <w:r>
        <w:t>7.</w:t>
      </w:r>
      <w:r>
        <w:tab/>
        <w:t>Doctrina sobre las exigencias derivadas del derecho a la tutela judicial efectiva en relación con las decisiones judiciales de sobreseimiento de instrucciones penales incoadas por denuncias de torturas o de tratos inhumanos o degradantes (STC 224/2007) [FFJJ 3, 7].</w:t>
      </w:r>
    </w:p>
    <w:p w:rsidR="0052098F" w:rsidRDefault="0052098F" w:rsidP="0052098F">
      <w:pPr>
        <w:pStyle w:val="Extracto"/>
      </w:pPr>
    </w:p>
    <w:p w:rsidR="0052098F" w:rsidRDefault="0052098F" w:rsidP="0052098F">
      <w:pPr>
        <w:pStyle w:val="Extracto"/>
      </w:pPr>
      <w:r>
        <w:t>8.</w:t>
      </w:r>
      <w:r>
        <w:tab/>
        <w:t>Aplica doctrina del Tribunal Europeo de Derechos Humanos sobre las exigencias derivadas del derecho a la tutela judicial efectiva en relación con las decisiones judiciales de sobreseimiento de instrucciones penales incoadas por denuncias de torturas o de tratos inhumanos o degradantes (SSTEDH Kmetty c. Hungría de 2003, y Martínez Sala y otros c. España, de 2004) [FFJJ 5, 6, 7].</w:t>
      </w:r>
    </w:p>
    <w:p w:rsidR="0052098F" w:rsidRDefault="0052098F" w:rsidP="0052098F">
      <w:pPr>
        <w:pStyle w:val="Extracto"/>
      </w:pPr>
    </w:p>
    <w:p w:rsidR="0052098F" w:rsidRDefault="0052098F" w:rsidP="0052098F">
      <w:pPr>
        <w:pStyle w:val="Extracto"/>
      </w:pPr>
      <w:r>
        <w:t>9.</w:t>
      </w:r>
      <w:r>
        <w:tab/>
        <w:t>Procede declarar la nulidad de los Autos impugnados y retrotraer las actuaciones al momento procesal oportuno anterior a aquél en que se produjo la lesión estimada [FJ 9].</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3066-2005, promovido por don Juan Manuel Falcón Ros, representado por la Procuradora de los Tribunales doña María Jesús García Letrado y asistido por el Abogado don Juan Carlos Ballesteros Ros, contra el Auto de la Sección Cuarta de la Audiencia Provincial de Murcia de 16 de marzo de 2005, confirmatorio del Auto del Juzgado de Instrucción núm. 1 de Cieza de 27 de abril de 2004, confirmatorio a su vez, en resolución de recurso de reforma, de su Auto de 4 de febrero de 2004, de sobreseimiento provisional en causa por denuncia de delito contra la integridad moral (en diligencias previas 117-2004). Ha intervenido el Ministerio Fiscal. Ha sido Ponente la Presidenta doña María Emilia Casas Baamonde,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día 28 de abril de 2005, la Procuradora de los Tribunales doña María Jesús García Letrado interpone recurso de amparo en nombre de don Juan Manuel Falcón Ros contra los Autos mencionados en el encabezamiento.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2</w:t>
      </w:r>
      <w:r>
        <w:t xml:space="preserve">. Los hechos relevantes para el examen de la pretensión de amparo son, sucintamente relatados, los siguientes: </w:t>
      </w:r>
    </w:p>
    <w:p w:rsidR="0052098F" w:rsidRDefault="0052098F" w:rsidP="0052098F">
      <w:pPr>
        <w:pStyle w:val="TextoNormal"/>
      </w:pPr>
      <w:r>
        <w:t xml:space="preserve">a) El recurrente fue detenido el 1 de enero de 2004 por un supuesto delito de desobediencia, resistencia y atentado. En el atestado policial dos agentes de la Guardia Civil relatan que el mismo —que iba acompañado de un amigo— aparentemente ocultaba algo en su boca, que luego tragó; que se resistió a un cacheo; que amenazó a los agentes y empujó a uno de ellos, cayendo con él al suelo y ocasionándose una herida superficial en el labio. El detenido fue esposado. “Tras ser introducido en los calabozos, comienza a golpearse con la cabeza en la pared, a la vez que daba patadas y puñetazos a la misma, teniendo que ser de nuevo reducido por los agentes, para evitar que se lesionase. En todo momento el detenido seguía con las amenazas … teniendo que ser trasladado al Hospital … para reconocimiento médico”. </w:t>
      </w:r>
    </w:p>
    <w:p w:rsidR="0052098F" w:rsidRDefault="0052098F" w:rsidP="0052098F">
      <w:pPr>
        <w:pStyle w:val="TextoNormal"/>
      </w:pPr>
      <w:r>
        <w:t xml:space="preserve">En el parte médico de urgencias se dice que el recurrente “refiere haber sido golpeado”. Afirma también la existencia de “factor etílico”, “tumefacción a nivel frontal derecho y herida en labio inferior con leve inflamación”, “dolor a la palpación en testículo derecho”, “dolor a la presión en codo derecho”. Y concluye: “contusión frontal, en codo derecho y probable en testículo derecho”, “Hic labio inferior”; “Ingestión etílica y sospecha de ingestión de estupefaciente (se niega a realizar analítica de orina para determinación sustancias)”. </w:t>
      </w:r>
    </w:p>
    <w:p w:rsidR="0052098F" w:rsidRDefault="0052098F" w:rsidP="0052098F">
      <w:pPr>
        <w:pStyle w:val="TextoNormal"/>
      </w:pPr>
      <w:r>
        <w:t xml:space="preserve">El Letrado de oficio hizo fotos al detenido en el calabozo, según consta en diligencia policial. </w:t>
      </w:r>
    </w:p>
    <w:p w:rsidR="0052098F" w:rsidRDefault="0052098F" w:rsidP="0052098F">
      <w:pPr>
        <w:pStyle w:val="TextoNormal"/>
      </w:pPr>
      <w:r>
        <w:t xml:space="preserve">El recurrente formuló denuncia contra uno de los agentes el mismo día de su detención, pues, según su versión, le tiró al suelo y le puso la cabeza contra el mismo, “a la vez que lo cogía del cuello y le apretaba en la nuez diciéndole que eches lo que lleves en la boca”; le golpeó después la cabeza contra el vehículo en el que fue detenido; y después, en el calabozo, le agredió “por todo el cuerpo” y le pegó “en las partes genitales una patada”. Por ello “se tiró media hora vomitando dentro de los calabozos”. </w:t>
      </w:r>
    </w:p>
    <w:p w:rsidR="0052098F" w:rsidRDefault="0052098F" w:rsidP="0052098F">
      <w:pPr>
        <w:pStyle w:val="TextoNormal"/>
      </w:pPr>
      <w:r>
        <w:t xml:space="preserve">El mismo día vuelve a ir a urgencias a petición suya por tener fuertes dolores de cabeza. El parte dice que “refiere dolor en codo derecho” y “sensación de dolor abdominal”. Y en el diagnóstico señala: “contusión en codo” y “dolor abdominal”. </w:t>
      </w:r>
    </w:p>
    <w:p w:rsidR="0052098F" w:rsidRDefault="0052098F" w:rsidP="0052098F">
      <w:pPr>
        <w:pStyle w:val="TextoNormal"/>
      </w:pPr>
      <w:r>
        <w:t xml:space="preserve">Todavía el mismo día, 1 de enero de 2004, le toma declaración como detenido el Juez de Instrucción (núm. 2 de Cieza) y allí vuelve a referir que había sido golpeado contra el coche y en las dependencias policiales. </w:t>
      </w:r>
    </w:p>
    <w:p w:rsidR="0052098F" w:rsidRDefault="0052098F" w:rsidP="0052098F">
      <w:pPr>
        <w:pStyle w:val="TextoNormal"/>
      </w:pPr>
      <w:r>
        <w:t xml:space="preserve">b) Mediante Auto de 4 de febrero de 2004 el Juzgado de Instrucción núm. 1 de Cieza acuerda el sobreseimiento provisional y el archivo de la causa, pues “de lo actuado no aparece debidamente justificada la perpetración del delito”. Se da la circunstancia de que este Auto es de la misma fecha que el Auto en el que el Juzgado que lo dicta (de Instrucción núm. 1 de Cieza) acepta la inhibición del Juzgado que venía instruyendo (de Instrucción núm. 2 de Cieza). </w:t>
      </w:r>
    </w:p>
    <w:p w:rsidR="0052098F" w:rsidRDefault="0052098F" w:rsidP="0052098F">
      <w:pPr>
        <w:pStyle w:val="TextoNormal"/>
      </w:pPr>
      <w:r>
        <w:t xml:space="preserve">c) Este Auto es confirmado en reforma por otro de 27 de abril de 2004: “deben darse por reproducidas las alegaciones y circunstancias fácticas concurrentes en el supuesto de hecho explicitadas por el Ministerio Fiscal en su escrito de impugnación … sin que, en definitiva, se considere desvirtuado, en este caso, el principio de confianza y veracidad que asiste a los miembros de las Fuerzas y Cuerpos de Seguridad del Estado cuando se hallan en el ejercicio de sus funciones públicas”. </w:t>
      </w:r>
    </w:p>
    <w:p w:rsidR="0052098F" w:rsidRDefault="0052098F" w:rsidP="0052098F">
      <w:pPr>
        <w:pStyle w:val="TextoNormal"/>
      </w:pPr>
      <w:r>
        <w:t xml:space="preserve">En el recurso de reforma la representación del denunciante había solicitado la reapertura del procedimiento y la práctica de las siguientes tres diligencias: reconocimiento del denunciante por el Médico forense, rueda de reconocimiento en la que intervengan los agentes </w:t>
      </w:r>
      <w:r>
        <w:lastRenderedPageBreak/>
        <w:t xml:space="preserve">que procedieron a la detención, y declaración del testigo que viajaba con el denunciante en el momento de su detención. </w:t>
      </w:r>
    </w:p>
    <w:p w:rsidR="0052098F" w:rsidRDefault="0052098F" w:rsidP="0052098F">
      <w:pPr>
        <w:pStyle w:val="TextoNormal"/>
      </w:pPr>
      <w:r>
        <w:t xml:space="preserve">El Ministerio Fiscal sustenta su posición en que el Juzgador “no atribuye a la declaración del denunciante verosimilitud suficiente que justifique la imputación formal de persona alguna” y en que comparte ese criterio: “Las circunstancias en que se realiza la intervención de la Guardia Civil la madrugada del 1 de enero de 2004, la condición de imputado del propio denunciante, el inequívoco propósito de defensa en la denuncia formulada y la entidad de las lesiones sufridas por Juan Manuel Falcón, que no van más allá de las que pudieran resultar de los hechos que se relatan en el atestado policial, son motivos para dudar de la credibilidad del denunciante”. </w:t>
      </w:r>
    </w:p>
    <w:p w:rsidR="0052098F" w:rsidRDefault="0052098F" w:rsidP="0052098F">
      <w:pPr>
        <w:pStyle w:val="TextoNormal"/>
      </w:pPr>
      <w:r>
        <w:t xml:space="preserve">d) El citado Auto es, a su vez, confirmado en apelación por el recurrido en amparo, de la Sección Cuarta de la Audiencia Provincial de Murcia 16 de marzo de 2005, “pues a tenor de las circunstancias concurrentes en el momento de la detención de Juan Manuel Falcón Ros, se pone de manifiesto que no existen indicios determinantes de la perpetración de la infracción penal que se atribuye por el recurrente, y que las lesiones sufridas por éste son consecuencia de la forma de ocurrir los hechos, de su oposición violenta a la detención y de la resistencia empleada”. </w:t>
      </w:r>
    </w:p>
    <w:p w:rsidR="0052098F" w:rsidRDefault="0052098F" w:rsidP="0052098F">
      <w:pPr>
        <w:pStyle w:val="TextoNormal"/>
      </w:pPr>
      <w:r>
        <w:t xml:space="preserve">En el recurso de apelación se habían vuelto a solicitar las diligencias de prueba pedidas en el de reforma. </w:t>
      </w:r>
    </w:p>
    <w:p w:rsidR="0052098F" w:rsidRDefault="0052098F" w:rsidP="0052098F">
      <w:pPr>
        <w:pStyle w:val="TextoNormal"/>
      </w:pPr>
      <w:r>
        <w:t>e) El procedimiento continuó como juicio de faltas contra el recurrente, que finalizó mediante Sentencia del Juzgado de Instrucción núm. 1 de Cieza de 15 de noviembre de 2005 condenatoria por falta de respeto a la autoridad a una pena de cuarenta días de multa (cuota: 4 euros). La condena incluye una indemnización de 260 euros y el pago de las costas. La Sentencia no fue recurrida y devino firme.</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La pretensión de la demanda consiste en que se anule el Auto recurrido para que se dicte otro que ordene la prosecución de la instrucción de la causa con la práctica de nuevas diligencias. Esta petición se sustenta en la consideración de que dicha resolución ha vulnerado el derecho del recurrente a la tutela judicial efectiva (art. 24.1 CE). </w:t>
      </w:r>
    </w:p>
    <w:p w:rsidR="0052098F" w:rsidRDefault="0052098F" w:rsidP="0052098F">
      <w:pPr>
        <w:pStyle w:val="TextoNormal"/>
      </w:pPr>
      <w:r>
        <w:t>Para sustentar esta vulneración alega el recurrente que el sobreseimiento se sustentó únicamente en “otorgar sin discusión alguna confianza y presunción de veracidad a los miembros de las Fuerzas y Cuerpos de Seguridad del Estado”, como una presunción iuris et de iure que es improcedente en sí y que olvida además que la denuncia se refiere precisamente a una conducta irregular de un agente en el ejercicio de sus funciones. A partir de ello no se procedió a la identificación del presunto agresor; “nada se acordó respecto de que el Médico forense procediera a la revisión” del detenido; y no se llamó a declarar a un testigo presencial identificado en el atestado. Y tampoco se reparó en lo inverosímil de la versión de lo sucedido de los agentes en relación a lo que indican los partes médicos, y en que el detenido refirió espontáneamente en el servicio de urgencias del hospital que “había sido golpeado”.</w:t>
      </w:r>
    </w:p>
    <w:p w:rsidR="0052098F" w:rsidRDefault="0052098F" w:rsidP="0052098F">
      <w:pPr>
        <w:pStyle w:val="TextoNormal"/>
      </w:pPr>
    </w:p>
    <w:p w:rsidR="0052098F" w:rsidRDefault="0052098F" w:rsidP="0052098F">
      <w:pPr>
        <w:pStyle w:val="TextoNormal"/>
      </w:pPr>
      <w:r w:rsidRPr="0052098F">
        <w:rPr>
          <w:rStyle w:val="NumeroAFNegritaCaracter"/>
        </w:rPr>
        <w:t>4</w:t>
      </w:r>
      <w:r>
        <w:t>. Mediante diligencia de ordenación de su Secretaría de Justicia de 16 de enero de 2007 y conforme a lo prevenido en el art. 88 LOTC, la Sección Primera de este Tribunal requiere de los órganos judiciales correspondientes testimonio de las actuaciones del procedimiento que origina el presente recurso.</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Mediante providencia de 21 de marzo de 2007, la Sección Primera de este Tribunal acuerda admitir a trámite la demanda de amparo y, conforme a lo previsto en el art. 51 </w:t>
      </w:r>
      <w:r>
        <w:lastRenderedPageBreak/>
        <w:t>LOTC, requerir del Juzgado de Instrucción núm. 1 de Cieza el emplazamiento de quienes fueron parte en el procedimiento que origina el presente recurso para que puedan comparecer en este proceso constitucional.</w:t>
      </w:r>
    </w:p>
    <w:p w:rsidR="0052098F" w:rsidRDefault="0052098F" w:rsidP="0052098F">
      <w:pPr>
        <w:pStyle w:val="TextoNormal"/>
      </w:pPr>
    </w:p>
    <w:p w:rsidR="0052098F" w:rsidRDefault="0052098F" w:rsidP="0052098F">
      <w:pPr>
        <w:pStyle w:val="TextoNormal"/>
      </w:pPr>
      <w:r w:rsidRPr="0052098F">
        <w:rPr>
          <w:rStyle w:val="NumeroAFNegritaCaracter"/>
        </w:rPr>
        <w:t>6</w:t>
      </w:r>
      <w:r>
        <w:t>. Mediante diligencia de ordenación de su Secretaría de Justicia de 4 de mayo de 2007, la Sección Primera de este Tribunal acuerda dar vista al Ministerio Fiscal y a la representación del recurrente de las actuaciones del presente recurso de amparo, con concesión de un plazo de veinte días para la presentación de las alegaciones previstas en el art. 52.1 LOTC.</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Ministerio Fiscal, mediante escrito de 22 de junio de 2007, interesa el otorgamiento del amparo por vulneración del derecho del actor a su integridad física y la consecuente anulación de los Autos impugnados “a fin de que se realice por el Juzgado instructor una diligente investigación de los hechos denunciados”. </w:t>
      </w:r>
    </w:p>
    <w:p w:rsidR="0052098F" w:rsidRDefault="0052098F" w:rsidP="0052098F">
      <w:pPr>
        <w:pStyle w:val="TextoNormal"/>
      </w:pPr>
      <w:r>
        <w:t xml:space="preserve">Recuerda el Fiscal en primer lugar que, en la interpretación que del mismo hace el Tribunal Europeo de Derechos Humanos, el art. 3 del Convenio europeo de derechos humanos tiene una vertiente procesal, consistente en la necesidad de llevar a cabo una investigación efectiva para la identificación y castigo de los responsables cada vez que existan motivos razonables para creer que agentes del Estado han realizado tratamientos contrarios a dicho artículo sobre personas privadas de libertad. Así, aunque el amparo pretendido se plantea desde el art. 24.1 CE, debe ponerse en relación con el art. 15 CE, de modo que la falta de práctica de diligencias de prueba puede lesionar éste último derecho fundamental. Los derechos “protegidos en el art. 15 CE son de tal relevancia que exigen” una “diligente investigación, de forma que en lo posible queden disipadas todas las dudas que la denuncia pueda producir”. </w:t>
      </w:r>
    </w:p>
    <w:p w:rsidR="0052098F" w:rsidRDefault="0052098F" w:rsidP="0052098F">
      <w:pPr>
        <w:pStyle w:val="TextoNormal"/>
      </w:pPr>
      <w:r>
        <w:t>En el presente caso constata el Fiscal “que no se llega a practicar ni la más mínima diligencia tendente a esclarecer la realidad de lo denunciado por el detenido —como hubiera sido, al menos, el reconocimiento por el médico forense—, no obstante existir tal cúmulo de datos objetivos que indiciariamente apuntaban hacia aquella realidad … Es evidente … que la instrucción judicial no se habría agotado en manera alguna y al no actuar así adoptando la diligencia que el caso exigía, los órganos judiciales habrían lesionado el derecho sustantivo a la integridad física del recurrente, como consecuencia de la proyección procesal del derecho protegido por el artículo 15 CE”.</w:t>
      </w:r>
    </w:p>
    <w:p w:rsidR="0052098F" w:rsidRDefault="0052098F" w:rsidP="0052098F">
      <w:pPr>
        <w:pStyle w:val="TextoNormal"/>
      </w:pPr>
    </w:p>
    <w:p w:rsidR="0052098F" w:rsidRDefault="0052098F" w:rsidP="0052098F">
      <w:pPr>
        <w:pStyle w:val="TextoNormal"/>
      </w:pPr>
      <w:r w:rsidRPr="0052098F">
        <w:rPr>
          <w:rStyle w:val="NumeroAFNegritaCaracter"/>
        </w:rPr>
        <w:t>8</w:t>
      </w:r>
      <w:r>
        <w:t>. Por providencia de 21 de febrero de 2008, se señaló para deliberación y votación de la presente Sentencia el día 25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demandante de amparo denunció que había sido maltratado por un agente de la Guardia Civil tanto en el momento de su detención como durante su posterior estancia en el calabozo, imputado por una conducta que finalmente fue calificada como una falta de respeto a la autoridad. La causa a la que dio lugar su denuncia fue sobreseída provisionalmente, y es esta decisión la que reputa vulneradora de su derecho a la tutela judicial efectiva (art. 24.1 CE), pues alega que se adoptó sin indagación alguna acerca de lo sucedido y sustentada en una improcedente presunción de veracidad de lo relatado por los agentes policiales cuya conducta irregular se denunciaba.</w:t>
      </w:r>
    </w:p>
    <w:p w:rsidR="0052098F" w:rsidRDefault="0052098F" w:rsidP="0052098F">
      <w:pPr>
        <w:pStyle w:val="TextoNormal"/>
      </w:pPr>
      <w:r>
        <w:lastRenderedPageBreak/>
        <w:t>El Ministerio Fiscal interesa el otorgamiento del amparo por considerar, con apoyo en la jurisprudencia del Tribunal Europeo de Derechos Humanos, que la prohibición de la tortura y de los tratos inhumanos y degradantes del art. 15 CE exige una investigación diligente y eficaz que no se ha producido en el presente caso, a pesar de la concurrencia inicial de indicios de verosimilitud de la denuncia del demandante de amparo. Consecuencias del otorgamiento del amparo deberían ser la anulación de los Autos de sobreseimiento y la realización de dicha investigación.</w:t>
      </w:r>
    </w:p>
    <w:p w:rsidR="0052098F" w:rsidRDefault="0052098F" w:rsidP="0052098F">
      <w:pPr>
        <w:pStyle w:val="TextoNormal"/>
      </w:pPr>
    </w:p>
    <w:p w:rsidR="0052098F" w:rsidRDefault="0052098F" w:rsidP="0052098F">
      <w:pPr>
        <w:pStyle w:val="TextoNormal"/>
      </w:pPr>
      <w:r w:rsidRPr="0052098F">
        <w:rPr>
          <w:rStyle w:val="NumeroAFNegritaCaracter"/>
        </w:rPr>
        <w:t>2</w:t>
      </w:r>
      <w:r>
        <w:t>. Se trata, como puede verse, de la queja de quien se dice víctima de un delito y acude a la jurisdicción penal con la finalidad de que se abra un procedimiento para que, en su caso, se pueda ejercer la pretensión penal consistente en que, previa identificación del agente de la Guardia Civil que le agredió, se le declare autor de un delito y se le imponga la pena correspondiente. Se trata así, según nuestra reiterada doctrina jurisprudencial, de una demanda sustentada en el derecho a la tutela judicial efectiva (art. 24.1 CE) que como tal debe ser tratada en nuestra jurisdicción de amparo, cuyo objeto consiste en que se practiquen “las actuaciones necesarias de investigación, acordadas en el seno del procedimiento penal que legalmente corresponda, de sumario, diligencias previas o preparatorias” (STC 94/2001, de 2 de abril, FJ 2). Como hemos dicho en ocasiones tan numerosas que excusa la cita de nuestra jurisprudencia, el contenido primario del derecho que proclama el art. 24.1 CE garantiza la satisfacción de la pretensión, que se producirá siempre que reciba una respuesta judicial motivada y fundada en Derecho, lo que no sucederá si es arbitraria o manifiestamente irrazonable, o está incursa en un error patente. De este modo, el derecho a la tutela judicial efectiva del querellante —“que, sin mayor problema podemos trasladar al denunciante que, como ofendido, promueve la actividad jurisdiccional a través de su denuncia” (STC 138/1997, de 22 de julio, FJ 5)— puede satisfacerse adecuadamente en el plano constitucional con una decisión ab initio de inadmisión de la denuncia o de la querella; o con una decisión posterior de finalización de la instrucción, sobreseimiento y archivo de la causa; o con una decisión final relativa al fondo de la pretensión penal que se deducía. En sentido contrario, cabrá declarar la vulneración del derecho fundamental a la tutela judicial efectiva en cualquiera de los momentos señalados, pudiendo radicar la actuación lesiva en la decisión de no proseguir con las indagaciones penales —vulneración del derecho a la tutela judicial efectiva que, cuando se refiera a diligencias debidamente solicitadas por el recurrente que ha sido parte en el proceso judicial podrá vincularse a la eventual vulneración del derecho a la utilización de los medios de prueba pertinentes para la defensa— o, realizadas éstas de un modo suficiente, en la determinación de lo sucedido a partir de las mismas o en la calificación jurídica de los hechos que se constatan.</w:t>
      </w:r>
    </w:p>
    <w:p w:rsidR="0052098F" w:rsidRDefault="0052098F" w:rsidP="0052098F">
      <w:pPr>
        <w:pStyle w:val="TextoNormal"/>
      </w:pPr>
      <w:r>
        <w:t xml:space="preserve">Debemos, por tanto, comenzar nuestro enjuiciamiento recordando que “el ejercicio de la acción penal no comporta en el marco del art. 24.1 CE un derecho incondicionado a la apertura y plena substanciación del proceso penal, sino sólo a obtener un pronunciamiento motivado del Juez en la fase instructora sobre la calificación jurídica que le merecen los hechos, expresando las razones por las que inadmite su tramitación, o acuerda el sobreseimiento y archivo de las actuaciones. De modo que las exigencias derivadas del derecho a la tutela judicial efectiva se verán satisfechas por la resolución de inadmisión si se fundamenta de forma razonable en la exclusión ab initio del carácter delictivo de los hechos imputados, y, si se admite la querella, por la resolución que acuerda la terminación anticipada del proceso penal, sin apertura de la fase de plenario, en caso de que se sustente razonablemente en la concurrencia de los motivos legalmente previstos de sobreseimiento libre o provisional de conformidad con los arts. 637, 641 y 789.5.1 [de la Ley deenjuiciamiento criminal: LECrim] </w:t>
      </w:r>
      <w:r>
        <w:lastRenderedPageBreak/>
        <w:t>(entre otras muchas, SSTC 148/1987, de 28 de septiembre, FJ 2; 175/1989, de 30 de octubre, FJ 1; 297/1994, de 14 de noviembre, FJ 6; 111/1995, de 4 de julio, FJ 3; 31/1996, de 27 de febrero, FJ 10; 177/1996, de 11 de noviembre, FJ 11; 138/1997, de 4 de junio, FJ 5; 115/2001, de 10 de mayo, FJ 11; 129/2001, de 4 de junio, FJ 2, y 178/2001, de 17 de septiembre, FJ 2.b) … De lo aquí expuesto se deduce que el análisis de la demanda de amparo se ciñe a la cuestión de si las resoluciones judiciales de terminación anticipada del procedimiento penal se fundaron de forma razonable, no arbitraria, ni incursa en error patente en alguna de las causas legalmente previstas” (STC 63/2002, de 11 de marzo, FFJJ 3 y 4).</w:t>
      </w:r>
    </w:p>
    <w:p w:rsidR="0052098F" w:rsidRDefault="0052098F" w:rsidP="0052098F">
      <w:pPr>
        <w:pStyle w:val="TextoNormal"/>
      </w:pPr>
    </w:p>
    <w:p w:rsidR="0052098F" w:rsidRDefault="0052098F" w:rsidP="0052098F">
      <w:pPr>
        <w:pStyle w:val="TextoNormal"/>
      </w:pPr>
      <w:r w:rsidRPr="0052098F">
        <w:rPr>
          <w:rStyle w:val="NumeroAFNegritaCaracter"/>
        </w:rPr>
        <w:t>3</w:t>
      </w:r>
      <w:r>
        <w:t>. Resulta necesario, no obstante, precisar que es el derecho a la tutela judicial efectiva del querellante o del denunciante el que está en discusión en este tipo de quejas o, en su caso, a partir de su participación en el proceso, sus derechos y garantías procesales, pero nunca un supuesto derecho genérico a la pena de otro, pues “como dijo el Pleno de este Tribunal en la STC 157/1990, en modo alguno puede confundirse el derecho a la jurisdicción penal para instar la aplicación del ius puniendi con el derecho material a penar, de exclusiva naturaleza pública y cuya titularidad corresponde al Estado” (STC 232/1998, de 1 de diciembre, FJ 2). No es diferente la situación cuando se alega que la infracción penal consistió en la vulneración de derechos fundamentales, pues “no form[a] parte del contenido de derecho fundamental alguno la condena penal de quien lo vulnere con su comportamiento (SSTC 41/1997, 74/1997)” (STC 218/1997, de 4 de diciembre, FJ 2). El Tribunal Constitucional, en fin, “ha configurado el derecho de acción penal esencialmente como un ius ut procedatur, es decir, no como parte de ningún otro derecho fundamental sustantivo, sino, estrictamente, como manifestación específica del derecho a la jurisdicción (SSTC 31/1996, FFJJ 10 y 11; y 199/1996, FJ 5, que contienen abundantes referencias a la doctrina anterior), que ha de enjuiciarse en sede de amparo constitucional desde la perspectiva del art. 24.1 CE y al que, desde luego, son aplicables las garantías del 24.2” (SSTC 41/1997, de 10 de marzo, FJ 5; 218/1997, de 4 de diciembre, FJ 2).</w:t>
      </w:r>
    </w:p>
    <w:p w:rsidR="0052098F" w:rsidRDefault="0052098F" w:rsidP="0052098F">
      <w:pPr>
        <w:pStyle w:val="TextoNormal"/>
      </w:pPr>
      <w:r>
        <w:t>La doctrina expuesta no significa que sea irrelevante que la denuncia o querella se interponga en defensa de derechos fundamentales que el demandante de amparo reputa vulnerados por el delito que había denunciado. Con independencia del sentido de la actuación judicial de amparo respecto a un conflicto suscitado entre particulares en materia de derechos fundamentales, que no es el caso, la intervención judicial relativa a la iniciación o prosecución de la investigación penal promovida por la lesión de derechos fundamentales puede ocasionar una vulneración de los mismos a través de “consideraciones o declaraciones judiciales que atenten a su contenido” (SSTC 218/1997, de 4 de diciembre, FJ 2; 21/2000, de 31 de enero, FJ 2; 81/2002, de 22 de abril, FJ 2; 189/2004, de 2 de noviembre, FJ 5.a), sin perjuicio, además, de que esa intervención judicial, sin ser la propia de la tutela de los derechos sustantivos que se dicen lesionados, deba tomarlos en cuenta en la medida en que formen parte del fondo de la decisión.</w:t>
      </w:r>
    </w:p>
    <w:p w:rsidR="0052098F" w:rsidRDefault="0052098F" w:rsidP="0052098F">
      <w:pPr>
        <w:pStyle w:val="TextoNormal"/>
      </w:pPr>
      <w:r>
        <w:t xml:space="preserve">En efecto, constituye doctrina consolidada de este Tribunal la que señala que las exigencias del derecho a la tutela judicial efectiva son distintas y más estrictas, “reforzadas” (por todas, SSTC 63/2001, de 17 de marzo, FJ 7; 164/2003, de 29 de septiembre, FJ 5; 63/2005, de 14 de marzo, FJ 3; 224/2007, de 22 de octubre, FJ 3), cuando, a pesar de que la decisión judicial no verse directamente sobre la preservación o los límites de un derecho fundamental, uno de estos derechos, distinto al de la propia tutela judicial, esté implicado (STC 11/2004, de 9 de febrero, FJ 2), esté vinculado (STC 180/2005, de 4 de julio, FJ 7), conectado (SSTC 25/2000, de 31 de enero, FJ 2; 11/2004, de 9 de febrero, FJ 2; 71/2004, de 19 de abril, FJ 4), o en juego (SSTC 63/2001, de 17 de marzo, FJ 7; 115/2003, de 16 de junio, </w:t>
      </w:r>
      <w:r>
        <w:lastRenderedPageBreak/>
        <w:t>FJ 3), o quede afectado (STC 186/2003, de 27 de octubre, FJ 5; 192/2003, de 27 de octubre, FJ 3) por tal decisión. Tal cosa sucederá, significativamente para los efectos del presente caso de demanda de protección penal del derecho a no padecer torturas ni tratos inhumanos o degradantes, cuando “la tutela judicial efectiva se impetra para la defensa de un derecho sustantivo fundamental” (entre otras, SSTC 84/2001, de 26 de marzo, FJ 3; 203/2002, de 28 de octubre, FJ 3; 51/2003, de 17 de marzo, FJ 4; 142/2004, de 13 de septiembre, FJ 3; 74/2005, de 4 de abril, FJ 2). Estamos en estos casos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84/2001, de 26 de marzo, FJ 3; 112/2004, de 12  de julio, FJ 4; 28/2005, de 14 de febrero, FJ 3; 196/2005, de 18 de julio, FJ 3).</w:t>
      </w:r>
    </w:p>
    <w:p w:rsidR="0052098F" w:rsidRDefault="0052098F" w:rsidP="0052098F">
      <w:pPr>
        <w:pStyle w:val="TextoNormal"/>
      </w:pPr>
      <w:r>
        <w:t>En tales supuestos el art. 24.1 CE exige, además de una resolución motivada y fundada en Derecho, una resolución coherente con el derecho fundamental que está en juego (SSTC 11/2004, de 9 de febrero, FJ 2; 63/2005, de 17 de marzo, FJ 3). Es necesario así, en primer lugar, que se dé una “relación directa y manifiesta ... entre la norma que el juzgador declara aplicable y el fallo de la resolución exteriorizada en su argumentación jurídica” (STC 115/2003, de 16 de junio, FJ 3), y que “en la propia resolución se evidencie de modo incuestionable que su razón de ser es una aplicación razonada de las normas que se consideran adecuadas al caso” (STC 186/2003, de 27 de octubre, FJ 5). Y sobre todo es necesario también que la resolución judicial sea “conforme” con el mismo (STC 24/2005, de 14 de febrero, FJ 3), “compatible” con él (STC 196/2005, de 18 de julio, FJ 4), esto es, que exprese o trasluzca “una argumentación axiológica que sea respetuosa” con su contenido (STC 63/2005, de 17 de marzo, FJ 3). De este modo, como recordaba recientemente la STC 224/2007, de 22 de octubre, es “perfectamente posible que existan resoluciones judiciales que satisfagan las exigencias del meritado art. 24.1 CE, por recoger las razones de hecho y de derecho que fundamenten la medida acordada, pero que, desde la perspectiva del libre ejercicio de los derechos fundamentales, no expresen de modo constitucionalmente adecuado las razones justificativas de las decisiones adoptadas” (SSTC 14/2002, de 28 de enero, FJ 5; 251/2005, de 10 de octubre, FJ 4)” (FJ 3).</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Con la jurisprudencia expuesta debemos analizar la queja del recurrente que denuncia la vulneración de su derecho a la tutela judicial efectiva porque no se investigó suficientemente su denuncia de que había sido maltratado durante su detención. A partir de los concretos datos de la índole de los hechos que se denunciaban, de la información que al respecto se iba aportando, de la instrucción practicada, y de las razones alegadas para su cierre, nos corresponde enjuiciar la constitucionalidad de la decisión judicial de clausurar la investigación y archivar la causa por entender que no se habían producido los graves hechos denunciados. La evaluación de la efectividad y de la suficiencia de la tutela judicial dispensada coincidirá aquí con la suficiencia de la indagación judicial y dependerá, como se expresó en el fundamento anterior, no sólo de que las decisiones impugnadas de cierre de la misma estén motivadas y jurídicamente fundadas, sino también de que sean conformes con el derecho fundamental a no sufrir torturas ni tratos inhumanos o degradantes. Debiendo insistirse en que la suficiencia de la investigación judicial no puede ser resuelta sólo con criterios </w:t>
      </w:r>
      <w:r>
        <w:lastRenderedPageBreak/>
        <w:t>abstractos, sino en función tanto de los datos que se aportaron inicialmente a la instrucción y de los después conocidos, que aportaban o eliminaban argumentos para continuarla o para darla por terminada, como de la gravedad de los hechos investigados y de la dificultad propia de la investigación, que pueden exigir nuevas y más incisivas diligencias que en otro tipo de causas serían innecesarias.</w:t>
      </w:r>
    </w:p>
    <w:p w:rsidR="0052098F" w:rsidRDefault="0052098F" w:rsidP="0052098F">
      <w:pPr>
        <w:pStyle w:val="TextoNormal"/>
      </w:pPr>
      <w:r>
        <w:t>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w:t>
      </w:r>
    </w:p>
    <w:p w:rsidR="0052098F" w:rsidRDefault="0052098F" w:rsidP="0052098F">
      <w:pPr>
        <w:pStyle w:val="TextoNormal"/>
      </w:pPr>
    </w:p>
    <w:p w:rsidR="0052098F" w:rsidRDefault="0052098F" w:rsidP="0052098F">
      <w:pPr>
        <w:pStyle w:val="TextoNormal"/>
      </w:pPr>
      <w:r w:rsidRPr="0052098F">
        <w:rPr>
          <w:rStyle w:val="NumeroAFNegritaCaracter"/>
        </w:rPr>
        <w:t>5</w:t>
      </w:r>
      <w:r>
        <w:t>. Los tres comportamientos absolutamente prohibidos por el art. 15 CE se caracterizan por la irrogación de “padecimientos físicos o psíquicos ilícitos e infligidos de modo vejatorio para quien los sufre y con esa propia intención de vejar y doblegar la voluntad del sujeto paciente” (SSTC 120/1990, de 27 de junio, FJ 9; 57/1994, de 28 de febrero, FJ 4; 196/2006, de 3 de julio, FJ 4). Cada tipo de conducta prohibida se distingue por “la diferente intensidad del sufrimiento causado” en “una escala gradual cuyo último nivel estaría constituido por la pena o trato degradante” (ATC 333/1997, de 13 de octubre, FJ 5; también, SSTC 137/1990, de 19 de julio, FJ 7; 215/1994, de 14 de julio, FJ 5), para cuya apreciación ha de concurrir “un umbral mínimo de severidad” (ATC 333/1997, FJ 5; conforme a la SSTEDH de 25 de febrero de 1982, caso Campbell y Cosans c. Reino Unido, § 28; de 25 de marzo de 1993, Castello-Roberts c. Reino Unido, § 30). Tales conductas constituyen un atentado “frontal y radical” a la dignidad humana, “bien porque cosifican al individuo, rebajándolo a un nivel material o animal, bien porque lo mediatizan o instrumentalizan, olvidándose de que toda persona es un fin en sí mismo” (STC 181/2004, de 2 de noviembre, FJ 13).</w:t>
      </w:r>
    </w:p>
    <w:p w:rsidR="0052098F" w:rsidRDefault="0052098F" w:rsidP="0052098F">
      <w:pPr>
        <w:pStyle w:val="TextoNormal"/>
      </w:pPr>
      <w:r>
        <w:t>Dado que la tortura y los tratos inhumanos y degradantes son actos intolerables de violación de la dignidad humana, a la par que una negación frontal de la transparencia y la sujeción a la ley del ejercicio del poder propias de un Estado de Derecho, su prohibición constituye un valor fundamental de las sociedades democráticas (SSTC 91/2000, de 30 de marzo, FJ 8; 32/2003, de 13 de febrero, FJ 7; 181/2004, de 2 de noviembre, FJ 13; y SSTEDH de 7 de julio de 1989, Soering c. Reino Unido, § 88; de 28 de julio de 1999, Selmouni c. Francia, § 95; de 11 de abril de 2000, Sevtap Veznedaroglu c. Turquía, § 28; de 16 de diciembre de 2003, Kmetty c. Hungría, § 32; de 2 de noviembre de 2004, Martínez Sala y otros c. España, § 120). Por ello, tal prohibición se configura en la Constitución española y en los tratados internacionales de derechos humanos como una prohibición absoluta en el doble sentido de que queda proscrita para todo tipo de supuestos y con independencia de la conducta pasada o temida de las personas investigadas, detenidas o penadas, por una parte y, por otra, de que no admite ponderación justificante alguna con otros derechos o bienes constitucionales.</w:t>
      </w:r>
    </w:p>
    <w:p w:rsidR="0052098F" w:rsidRDefault="0052098F" w:rsidP="0052098F">
      <w:pPr>
        <w:pStyle w:val="TextoNormal"/>
      </w:pPr>
      <w:r>
        <w:t xml:space="preserve">Si la gravedad es la primera de las características de la tortura y de los tratos inhumanos y degradantes que importa destacar en orden al análisis de la suficiencia y de la efectividad de la tutela judicial que ha de seguir a su denuncia, constituye la segunda característica la difícil detectabilidad y perseguibilidad de este tipo de conductas. A su natural comisión en una situación de clandestinidad se une el hecho de que, al menos en su configuración histórica, en su realización más habitual y en la definición que procuran el art. 1 de la Convención contra la tortura y otros tratos o penas crueles, inhumanos o degradantes, y el art. 174 del Código penal, la tortura y los tratos inhumanos y degradantes son conductas que se realizan </w:t>
      </w:r>
      <w:r>
        <w:lastRenderedPageBreak/>
        <w:t>en el seno del poder público y que cuentan por ello con los resortes del mismo para potenciar esa opacidad. A las dificultades probatorias de este hecho para la persona que denuncia haber sido objeto de torturas o de tratos inhumanos o degradantes ha de sumarse la existencia de técnicas de aflicción de sufrimientos que no dejan huella en el cuerpo del maltratado, así como la peculiar situación psicológica de inferioridad, humillación y desesperanza que dificulta una denuncia de su parte.</w:t>
      </w:r>
    </w:p>
    <w:p w:rsidR="0052098F" w:rsidRDefault="0052098F" w:rsidP="0052098F">
      <w:pPr>
        <w:pStyle w:val="TextoNormal"/>
      </w:pPr>
      <w:r>
        <w:t>La experiencia histórica y la reflexión en torno a estos factores confirman que la persecución y la sanción de la tortura y de los tratos inhumanos y degradantes, y el efecto de prevención futura de su vulneración que de los mismos resulta, sólo son posibles con una actuación judicial especialmente intensa y perseverante de investigación de sus denuncias. Así lo afirma el Tribunal Europeo de Derechos Humanos, para quien “sin una investigación oficial efectiva … la prohibición general de tortura y de trato y castigo inhumano y degradante, a pesar de su importancia fundamental, sería ineficaz en la práctica y en algunos casos los agentes del Estado podrían abusar de los derechos de aquellos bajo su control con total impunidad” (STEDH de 11 de abril de 2000, Sevtap Veznedaroglu c. Turquía, § 32; también, SSTEDH de 28 octubre 1998, Assenov y otros c. Bulgaria, § 102; de 16 de diciembre de 2003, Kmetty c. Hungría, § 38). La misma preocupación revela la Convención contra la tortura y otros tratos o penas crueles, inhumanos o degradantes (arts. 2.1, 12 y 13).</w:t>
      </w:r>
    </w:p>
    <w:p w:rsidR="0052098F" w:rsidRDefault="0052098F" w:rsidP="0052098F">
      <w:pPr>
        <w:pStyle w:val="TextoNormal"/>
      </w:pPr>
    </w:p>
    <w:p w:rsidR="0052098F" w:rsidRDefault="0052098F" w:rsidP="0052098F">
      <w:pPr>
        <w:pStyle w:val="TextoNormal"/>
      </w:pPr>
      <w:r w:rsidRPr="0052098F">
        <w:rPr>
          <w:rStyle w:val="NumeroAFNegritaCaracter"/>
        </w:rPr>
        <w:t>6</w:t>
      </w:r>
      <w:r>
        <w:t>. El derecho a la tutela judicial efectiva de quien denuncia haber sido víctima de torturas o de tratos inhumanos o degradantes exige, según el canon reforzado descrito en el fundamento jurídico 4, una resolución motivada y fundada en Derecho y acorde con la prohibición absoluta de tales conductas. Tal concordancia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Por lo mismo en un supuesto de valoración judicial de las declaraciones de unos acusados que habían sufrido previamente torturas y malos tratos, este Tribunal consideró que resulta exigible una “diligencia reforzada del órgano judicial” no sólo “a la vista de los derechos fundamentales en juego” y “de la gravedad de la vulneración”, sino también “de la absoluta necesidad de tutela de los mismos en ese contexto” (STC 7/2004, de 9 de febrero, FJ 8).</w:t>
      </w:r>
    </w:p>
    <w:p w:rsidR="0052098F" w:rsidRDefault="0052098F" w:rsidP="0052098F">
      <w:pPr>
        <w:pStyle w:val="TextoNormal"/>
      </w:pPr>
      <w:r>
        <w:t xml:space="preserve">Todo ello conduce a la confluencia de esta exigencia singular de tutela judicial con el concepto de “investigación oficial eficaz” (STC 7/2004, de 9 de febrero, FJ 2), que utiliza en este ámbito el Tribunal Europeo de Derechos Humanos (SSTEDH de 11 de abril de 2000, Sevtap Veznedaroglu c. Turquía, § 32; de 16 de diciembre de 2003, Kmetty c. Hungría, § 38; de 2 de noviembre de 2004, Martínez Sala y otros c. España, § 156), a cuya jurisprudencia “corresponde concretar el contenido de los derechos declarados en el Convenio que, en principio, han de reconocer, como contenido mínimo de sus derechos fundamentales, los Estados signatarios del mismo (SSTC 36/1984, de 14 de marzo, 114/1984, de 29 de noviembre, 245/1991, de 16 de diciembre, 85/1994, de14 de marzo y 49/1999, de 5 de abril)” (STC 91/2000, de 30 de marzo, FJ 7). En concreto, hemos señalado que sus “consideraciones … al interpretar el art. 3 del Convenio europeo para la protección de los derechos humanos … son plenamente aplicables a la interpretación del art. 15 de la Constitución, que coincide literalmente con aquél, de acuerdo con lo establecido en el art. 10.2 de la Constitución, </w:t>
      </w:r>
      <w:r>
        <w:lastRenderedPageBreak/>
        <w:t>según el cual, ‘las normas relativas a los derechos fundamentales y a las libertades que la Constitución reconoce se interpretarán de conformidad con la Declaración universal de derechos humanos y los tratados y acuerdos internacionales sobre las mismas materias ratificados por España’, entre los que se cuenta el mencionado Convenio europeo” (STC 65/1986, de 22 de mayo, FJ 4).</w:t>
      </w:r>
    </w:p>
    <w:p w:rsidR="0052098F" w:rsidRDefault="0052098F" w:rsidP="0052098F">
      <w:pPr>
        <w:pStyle w:val="TextoNormal"/>
      </w:pPr>
      <w:r>
        <w:t>La tutela judicial será así suficiente y efectiva ex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Como hemos dicho “resulta inútil, e incluso improcedente, cualquier medida investigadora que, ya sin poder alterar la convicción del Juez, prolongase indebidamente … la causa, contrariando los propios derechos constitucionales que obligan a no alargar innecesariamente la fase sumarial en perjuicio de los querellados” (SSTC 191/1989, de 16 de noviembre, FJ 3; 232/1998, de 1 de diciembre, FJ 3). Por el contrario,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En suma,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(STC 224/2007, de 22 de octubre, FJ 3).</w:t>
      </w:r>
    </w:p>
    <w:p w:rsidR="0052098F" w:rsidRDefault="0052098F" w:rsidP="0052098F">
      <w:pPr>
        <w:pStyle w:val="TextoNormal"/>
      </w:pPr>
    </w:p>
    <w:p w:rsidR="0052098F" w:rsidRDefault="0052098F" w:rsidP="0052098F">
      <w:pPr>
        <w:pStyle w:val="TextoNormal"/>
      </w:pPr>
      <w:r w:rsidRPr="0052098F">
        <w:rPr>
          <w:rStyle w:val="NumeroAFNegritaCaracter"/>
        </w:rPr>
        <w:t>7</w:t>
      </w:r>
      <w:r>
        <w:t>. Para valorar si existe una sospecha razonable de tortura, o de trato inhumano, o de trato degradante, y si tal sospecha es disipable, lo que convertiría en inconstitucional ex art. 24.1 CE el cierre de la investigación, es necesario tomar en consideración las circunstancias concretas de cada caso en el contexto propio de este tipo de denuncias y de la instrucción a la que dan lugar:</w:t>
      </w:r>
    </w:p>
    <w:p w:rsidR="0052098F" w:rsidRDefault="0052098F" w:rsidP="0052098F">
      <w:pPr>
        <w:pStyle w:val="TextoNormal"/>
      </w:pPr>
      <w:r>
        <w:t>a) Se ha de atender así, en primer lugar, a la probable escasez del acervo probatorio existente en este tipo de delitos clandestinos que, por una parte, debe alentar la diligencia del instructor para la práctica efectiva de las medidas posibles de investigación y, por otra, abunda en la dificultad de la víctima del delito de aportar medios de prueba sobre su comisión. A compensar tal dificultad responde la finalidad del principio de prueba como razón suficiente para que se inicie la actividad judicial de instrucción. La tutela judicial del derecho a no sufrir torturas ni tratos inhumanos o degradantes puede exigir así que se inicie o avance en una investigación allí donde quizás en otro tipo de supuestos podría advertirse una base insuficiente. A esta exigencia responden los estándares de “queja demostrable” (STEDH de 11 de abril de 2000, Sevtap Veznedaroglu c. Turquía, § 32), “sospecha razonable” (STEDH de 16 de diciembre de 2003, Kmetty c. Hungría, § 37) y “afirmación defendible” (STEDH de 2 de noviembre de 2004, Martínez Sala y otros c. España, § 156) utili</w:t>
      </w:r>
      <w:r>
        <w:lastRenderedPageBreak/>
        <w:t>zados por el Tribunal Europeo de Derechos Humanos para desencadenar la obligación judicial de una investigación oficial eficaz. Se trata de que las sevicias denunciadas sean “aparentemente verosímiles” (STC 224/2007, de 22 de octubre, FJ 3).</w:t>
      </w:r>
    </w:p>
    <w:p w:rsidR="0052098F" w:rsidRDefault="0052098F" w:rsidP="0052098F">
      <w:pPr>
        <w:pStyle w:val="TextoNormal"/>
      </w:pPr>
      <w:r>
        <w:t>b) El derecho a la tutela judicial efectiva no resulta vulnerado si el órgano judicial decide no abrir la investigación o clausurar la iniciada porque la denuncia se revele como no demostrable o la sospecha como no razonable. Para llegar a tal conclusión el órgano judicial debe observar algunas cautelas que se derivan de la posible peculiar situación psicológica del denunciante y de la cualificación oficial de los denunciados. La desigualdad de armas que tales factores puede acarrear debe compensarse con la firmeza judicial frente a la posible resistencia o demora en la aportación de medios de prueba, con la especial atención a diligencias de prueba cuyo origen se sitúe al margen de las instituciones afectadas por la denuncia, y con la presunción a efectos indagatorios de que las lesiones que eventualmente presente el detenido tras su detención y que eran inexistentes antes de la misma sean atribuibles a las personas encargadas de su custodia. Como recuerda la STC 7/2004, de 9 de febrero, el Tribunal Europeo de Derechos Humanos afirma que “cuando un detenido es puesto en libertad con evidencia de maltrato, el Estado está obligado a proporcionar las explicaciones necesarias sobre las heridas y que de no existir tales incurre en violación del art. 3 CEDH” (FJ 7). Afirma, en efecto, la STEDH de 28 de julio de 1999, Selmouni c. Francia, que “cuando un individuo que se encuentra en buen estado de salud es detenido preventivamente y que en el momento de su puesta en libertad se constata que está herido, corresponde al Estado proporcionar una explicación plausible del origen de las lesiones, a falta de la cual se aplicará el artículo 3 del Convenio (Sentencias Tomasi c. Francia de 27 de agosto 1992, serie A núm. 241-A, págs.  40-41, págs.  108-111, y Ribitsch c. Austria de 4 diciembre 1995, serie A núm. 336, pág. 26, § 34)” (§ 87).</w:t>
      </w:r>
    </w:p>
    <w:p w:rsidR="0052098F" w:rsidRDefault="0052098F" w:rsidP="0052098F">
      <w:pPr>
        <w:pStyle w:val="TextoNormal"/>
      </w:pPr>
      <w:r>
        <w:t>c) Constituye también una exigencia de racionalidad que la valoración del testimonio judicial del denunciante, que es un medio de indagación particularmente idóneo de las denuncias por tortura o por tratos inhumanos o degradantes, y de sus declaraciones previas ante los médicos, la policía o los órganos judiciales repare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efectiva” (STC 7/2004, de 9 de febrero, FJ 8).</w:t>
      </w:r>
    </w:p>
    <w:p w:rsidR="0052098F" w:rsidRDefault="0052098F" w:rsidP="0052098F">
      <w:pPr>
        <w:pStyle w:val="TextoNormal"/>
      </w:pPr>
    </w:p>
    <w:p w:rsidR="0052098F" w:rsidRDefault="0052098F" w:rsidP="0052098F">
      <w:pPr>
        <w:pStyle w:val="TextoNormal"/>
      </w:pPr>
      <w:r w:rsidRPr="0052098F">
        <w:rPr>
          <w:rStyle w:val="NumeroAFNegritaCaracter"/>
        </w:rPr>
        <w:t>8</w:t>
      </w:r>
      <w:r>
        <w:t>. La aplicación del canon descrito a la concreta investigación judicial realizada como consecuencia de la denuncia del recurrente por los presuntos malos tratos policiales sufridos durante su detención conduce a la conclusión de que la tutela dispensada por los órganos judiciales no fue suficiente y por ello, al otorgamiento del amparo por infracción del art. 24.1 CE. Es de señalar, en primer lugar, que se denunciaron unas agresiones que, de ser ciertas, alcanzarían la gravedad suficiente para constituir los tratos inhumanos o degradantes que prohíbe el art. 15 CE. Además, en segundo lugar, pervivían en el momento del cierre de la instrucción sospechas razonables acerca de la producción posible de las agresiones denunciadas. Y, en tercer y último lugar, existían aún, en tal momento, vías disponibles para tratar de despejar, en el sentido que fuere, tales sospechas. En consecuencia, debemos considerar insuficiente la investigación judicial realizada, habida cuenta de que tras la misma pervivían sospechas razonables de que podían haberse irrogado al denunciante tratos inhumanos o degradantes y dado que existían aún medios de investigación disponibles para despejarlas.</w:t>
      </w:r>
    </w:p>
    <w:p w:rsidR="0052098F" w:rsidRDefault="0052098F" w:rsidP="0052098F">
      <w:pPr>
        <w:pStyle w:val="TextoNormal"/>
      </w:pPr>
      <w:r>
        <w:lastRenderedPageBreak/>
        <w:t>a) Procede reiterar, en efecto, la índole de la denuncia, que comprendía golpes en la cabeza contra un automóvil durante la detención, agresiones “por todo el cuerpo” en el calabozo y, en particular, una “patada en las partes genitales”, que habría provocado al detenido vómitos durante media hora.</w:t>
      </w:r>
    </w:p>
    <w:p w:rsidR="0052098F" w:rsidRDefault="0052098F" w:rsidP="0052098F">
      <w:pPr>
        <w:pStyle w:val="TextoNormal"/>
      </w:pPr>
      <w:r>
        <w:t>b) Las sospechas de veracidad de los hechos denunciados pueden no ser contundentes, pero sí, en lo que importa al juicio constitucional, suficientes para que deba perseverarse en la indagación —apenas iniciada— si caben medios para ello. Se ha de insistir, al respecto, en que el detenido fue trasladado en dos ocasiones al hospital y que en los partes médicos correspondientes se consignan ciertos dolores y contusiones, como se ha recogido en los antecedentes de esta Sentencia (antecedente de hecho 2.a). Debe asimismo reseñarse, que ya en su primera visita al hospital, en la misma noche de su detención y antes de recibir asistencia letrada, el recurrente manifestó al Médico que le atendía que había sido golpeado, y que poco después realizó sus manifestaciones de denuncia, reiterando su relato respecto a las agresiones que decía haber padecido en su declaración como detenido ante el Juez de Instrucción, el mismo día 1 de enero de 2004.</w:t>
      </w:r>
    </w:p>
    <w:p w:rsidR="0052098F" w:rsidRDefault="0052098F" w:rsidP="0052098F">
      <w:pPr>
        <w:pStyle w:val="TextoNormal"/>
      </w:pPr>
      <w:r>
        <w:t>Ante esta situación, suficientemente indiciaria de los hechos denunciados como para perseverar en la indagación de lo sucedido, no resultan conformes con las exigencias reforzadas del derecho a la tutela judicial efectiva las razones que esgrimen los órganos judiciales para entender que no existían sospechas razonables de que fueran ciertos tales hechos y para adoptar la consecuente decisión de clausurar la investigación. El Juzgado de Instrucción que decreta el sobreseimiento provisional, que no es el que había practicado las diligencias ni el que había escuchado el denunciante, se limita a afirmar inicialmente que “de lo actuado no aparece debidamente justificada la perpetración del delito”, añadiendo después, en el Auto de reforma, que no considera “desvirtuado, en este caso, el principio de confianza y veracidad que asiste a los miembros de las Fuerzas y Cuerpos de Seguridad del Estado cuando se hallan en el ejercicio de sus funciones públicas”, remitiéndose asimismo a la impugnación del Ministerio Fiscal, que en su escrito aludía al “inequívoco propósito de defensa en la denuncia formulada” y a que las lesiones sufridas “no van más allá de las que pudieran resultar de los hechos que se relatan en el atestado policial”. El Auto de apelación, por su parte, argumenta que “no existen indicios determinantes de la perpetración de la infracción penal que se atribuye por el recurrente, y que las lesiones sufridas por éste son consecuencia de la forma de ocurrir los hechos, de su oposición violenta a la detención y de la resistencia empleada”.</w:t>
      </w:r>
    </w:p>
    <w:p w:rsidR="0052098F" w:rsidRDefault="0052098F" w:rsidP="0052098F">
      <w:pPr>
        <w:pStyle w:val="TextoNormal"/>
      </w:pPr>
      <w:r>
        <w:t>Las exigencias del derecho a la tutela judicial efectiva no permiten aceptar como razón suficiente para negar toda credibilidad al denunciante la de su ánimo de defensa frente a la imputación que pesaba o que temía que iba a pesar contra él so pena de cercenar a radice toda denuncia de maltrato policial a un detenido que, en cuanto tal, es o va a ser objeto de alguna imputación de la que tratará de defenderse. La misma razón sirve para negar en este contexto presunción de veracidad a las declaraciones de los agentes policiales implicados, debiendo añadirse, en el presente caso, que tal presunción no viene apoyada en mandato legal alguno, sino sólo en la expresión legal de los deberes de legalidad, integridad y respeto a la dignidad que comporta la actividad policial; sin que pueda dejar de hacerse alusión a las cautelas con que necesariamente ha de valorarse el testimonio de alguien en función de su condición actual o probable de imputado, como es la del agente que es o teme ser denunciado por tratos inhumanos o degradantes. Así las cosas el argumento de la compatibilidad de las lesiones constatadas con el relato policial no es bastante para disipar la sospecha levantada con la denuncia, máxime cuando carece de la precisión necesaria frente a la ale</w:t>
      </w:r>
      <w:r>
        <w:lastRenderedPageBreak/>
        <w:t>gación del denunciante de que entre los síntomas no se describen algunos que corresponderían a tal versión —“no es lógico que no se le objetivase ninguna lesión en las manos ni en los pies y en la cabeza sólo una contusión frontal”— y sí otros que no casarían con la misma —“leve inflamación en los testículos con dolor a la palpación en el derecho, contusión en codo derecho y herida en labio inferior con leve inflamación”.</w:t>
      </w:r>
    </w:p>
    <w:p w:rsidR="0052098F" w:rsidRDefault="0052098F" w:rsidP="0052098F">
      <w:pPr>
        <w:pStyle w:val="TextoNormal"/>
      </w:pPr>
      <w:r>
        <w:t>c) Puede resultar razonable que no se prosiga con una investigación que no aclara la inexistencia de los hechos denunciados, pero que, sin embargo, ha agotado ya los medios razonables y eficaces de investigación El canon de la investigación suficiente se refiere así tanto a la inexistencia de sospechas razonables, como a la utilidad de continuar con la instrucción.</w:t>
      </w:r>
    </w:p>
    <w:p w:rsidR="0052098F" w:rsidRDefault="0052098F" w:rsidP="0052098F">
      <w:pPr>
        <w:pStyle w:val="TextoNormal"/>
      </w:pPr>
      <w:r>
        <w:t>Pues bien, tampoco con esta perspectiva de análisis podemos afirmar que la tutela judicial prestada haya cumplido las exigencias del art. 24.1 CE. La falta de credibilidad de la denuncia, que los órganos judiciales afirman a partir de la presumida veracidad del testimonio policial y, genéricamente, de su corroboración por los partes médicos, podría haber sido desmentida o reafirmada por el reconocimiento del Médico forense y por la declaración del testigo que presenció la detención, que fueron las diligencias que, junto con la de reconocimiento en rueda, solicitó la representación del denunciante. No sobra señalar, en cualquier caso, que no se llamó a declarar a los médicos que atendieron al detenido, ni a los agentes que participaron en la detención, y que tampoco se recabaron las fotos que consta que realizó el Abogado del recurrente la noche de su detención. También resulta relevante para apreciar, tanto la insuficiencia de la motivación judicial respecto de la inexistencia de indicios, como la existencia de diligencias de indagación remanentes, el hecho de que no fuera el Juez de Instrucción finalmente decisor el que recibiera la declaración del recurrente, testimonio éste que constituye, como antes se ha señalado, un medio de indagación de lo denunciado particularmente idóneo.</w:t>
      </w:r>
    </w:p>
    <w:p w:rsidR="0052098F" w:rsidRDefault="0052098F" w:rsidP="0052098F">
      <w:pPr>
        <w:pStyle w:val="TextoNormal"/>
      </w:pPr>
      <w:r>
        <w:t>Debemos reiterar que desde la perspectiva constitucional de la tutela judicial de la prohibición absoluta de los tratos inhumanos o degradantes no se trata de que se practiquen todas y cada una de las diligencias solicitadas o imaginables, pero sí de que en un contexto aún de incertidumbre acerca de lo acaecido se practiquen aquéllas que a priori se revelen susceptibles de despejar tales dudas fácticas. Si hay sospechas razonables de maltrato y modo aún de despejarlas no puede considerarse investigación oficial eficaz la que proceda al archivo de las actuaciones.</w:t>
      </w:r>
    </w:p>
    <w:p w:rsidR="0052098F" w:rsidRDefault="0052098F" w:rsidP="0052098F">
      <w:pPr>
        <w:pStyle w:val="TextoNormal"/>
      </w:pPr>
    </w:p>
    <w:p w:rsidR="0052098F" w:rsidRDefault="0052098F" w:rsidP="0052098F">
      <w:pPr>
        <w:pStyle w:val="TextoNormal"/>
      </w:pPr>
      <w:r w:rsidRPr="0052098F">
        <w:rPr>
          <w:rStyle w:val="NumeroAFNegritaCaracter"/>
        </w:rPr>
        <w:t>9</w:t>
      </w:r>
      <w:r>
        <w:t>. Procede así la estimación de la demanda y el otorgamiento del amparo por vulneración del derecho a la tutela judicial efectiva debida, en síntesis, a que frente a la denuncia de tratos policiales inhumanos o degradantes por parte del detenido no se produjo una investigación judicial eficaz y que, aunque se emprendió prontamente la investigación judicial y tuvo cierto contenido, se clausuró cuando existían aún sospechas razonables acerca de la posibilidad de que el delito se hubiera cometido.</w:t>
      </w:r>
    </w:p>
    <w:p w:rsidR="0052098F" w:rsidRDefault="0052098F" w:rsidP="0052098F">
      <w:pPr>
        <w:pStyle w:val="TextoNormal"/>
      </w:pPr>
      <w:r>
        <w:t xml:space="preserve">Para el restablecimiento del recurrente en la integridad de su derecho procede declarar la nulidad de los Autos impugnados y la retroacción de actuaciones para que se dispense al recurrente la tutela judicial efectiva demandada. Si bien es cierto que ello supone la remoción de un pronunciamiento firme que exonera de responsabilidad penal, también lo es que se trata de un pronunciamiento que se produce en la fase inicial, y que por ello la seguridad jurídica queda menos afectada que con la anulación de una Sentencia penal absolutoria. Ha de recordarse, en cualquier caso, que constituye doctrina de este Tribunal la de que “si la queja del recurrente en amparo que ha intervenido como titular del ius ut procedatur en un proceso penal en el que ha recaído un pronunciamiento absolutorio se fundamenta en la </w:t>
      </w:r>
      <w:r>
        <w:lastRenderedPageBreak/>
        <w:t>vulneración de derechos procesales garantizados en el art. 24 CE, resulta procedente, en caso de otorgamiento del amparo, declarar la nulidad de las resoluciones judiciales impugnadas y retrotraer las actuaciones al momento procesal oportuno anterior a aquél en que se produjo la lesión estimada. Pues, en efecto, la mencionada imposibilidad de que este Tribunal declare la nulidad de sentencias penales absolutorias ‘no ha de entenderse referida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(por todas, SSTC 215/1999, de 29 de noviembre, FJ 1; 168/2001, de 16 de julio, FJ 7; y 4/2004, de 16 de enero, FJ 5)” (STC 12/2006, de 16 de enero, FJ 2).</w:t>
      </w:r>
    </w:p>
    <w:p w:rsidR="0052098F" w:rsidRDefault="0052098F" w:rsidP="0052098F">
      <w:pPr>
        <w:pStyle w:val="TextoNormal"/>
      </w:pPr>
      <w:r>
        <w:t>Esta doctrina resulta aplicable al presente supuesto porque el amparo se otorga, no por lo que dicen las resoluciones impugnadas de archivo, sino porque las mismas no han sido el resultado de una instrucción suficiente, y en tal sentido, de un proceso suficiente, con denegación constitucionalmente injustificada de algunas de las diligencias de prueba propuestas. Además, la vulneración del derecho a la tutela judicial efectiva por insuficiente investigación de una denuncia de tratos inhumanos y degradantes, con truncamiento indebido de un proceso judicial, constituye a su vez la restricción de la garantía esencial para la indemnidad de la interdicción absoluta de tales conductas constituida por un procedimiento judicial eficaz.</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Juan Manuel Falcón Ros y, en consecuencia:</w:t>
      </w:r>
    </w:p>
    <w:p w:rsidR="0052098F" w:rsidRDefault="0052098F" w:rsidP="0052098F">
      <w:pPr>
        <w:pStyle w:val="TextoNormal"/>
      </w:pPr>
      <w:r>
        <w:t>1º Reconocer su derecho a la tutela judicial efectiva sin indefensión (art. 24.1 CE) en relación con su derecho a no ser sometido a tratos inhumanos o degradantes (art. 15 CE).</w:t>
      </w:r>
    </w:p>
    <w:p w:rsidR="0052098F" w:rsidRDefault="0052098F" w:rsidP="0052098F">
      <w:pPr>
        <w:pStyle w:val="TextoNormal"/>
      </w:pPr>
      <w:r>
        <w:t>2º Declarar la nulidad de los Autos del Juzgado de Instrucción núm. núm. 1 de Cieza de 4 de febrero de 2004, de sobreseimiento provisional en diligencias previas 117-2004, y de 27 de abril de 2004, confirmatorio del anterior, y del Auto de la Sección Cuarta de la Audiencia Provincial de Murcia de 16 de marzo de 2005, confirmatorio a su vez de los dos anteriores.</w:t>
      </w:r>
    </w:p>
    <w:p w:rsidR="0052098F" w:rsidRDefault="0052098F" w:rsidP="0052098F">
      <w:pPr>
        <w:pStyle w:val="TextoNormal"/>
      </w:pPr>
      <w:r>
        <w:t>3º Ordenar la retroacción de las actuaciones al momento anterior al dictado del primero de los Autos para que el Juzgado de Instrucción núm. 1 de Cieza proceda conforme al derecho fundamental reconocido.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veinticinco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8" w:name="SENTENCIA_2008_35"/>
      <w:r>
        <w:lastRenderedPageBreak/>
        <w:t>SENTENCIA 35/2008, de 25 de febrero de 2008</w:t>
      </w:r>
    </w:p>
    <w:bookmarkEnd w:id="38"/>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76, de 28 de marzo de 2008)</w:t>
      </w:r>
    </w:p>
    <w:p w:rsidR="0052098F" w:rsidRDefault="0052098F" w:rsidP="0052098F">
      <w:pPr>
        <w:pStyle w:val="TtuloBOE"/>
      </w:pPr>
    </w:p>
    <w:p w:rsidR="0052098F" w:rsidRDefault="0052098F" w:rsidP="0052098F">
      <w:pPr>
        <w:pStyle w:val="SntesisDescriptiva"/>
      </w:pPr>
      <w:r>
        <w:t>ECLI:ES:TC:2008:35</w:t>
      </w:r>
    </w:p>
    <w:p w:rsidR="0052098F" w:rsidRDefault="0052098F" w:rsidP="0052098F">
      <w:pPr>
        <w:pStyle w:val="SntesisDescriptiva"/>
      </w:pPr>
    </w:p>
    <w:p w:rsidR="0052098F" w:rsidRDefault="0052098F" w:rsidP="0052098F">
      <w:pPr>
        <w:pStyle w:val="SntesisDescriptiva"/>
      </w:pPr>
      <w:r>
        <w:t>Recurso de amparo 5624-2005. Promovido por don Ángel García Hermosilla frente al Auto de un Juzgado de Instrucción de San Javier (Murcia) que denegó la incoación de un habeas corpus respecto a la duración de su detención en comisaría en diligencias por delito contra la salud pública.</w:t>
      </w:r>
    </w:p>
    <w:p w:rsidR="0052098F" w:rsidRDefault="0052098F" w:rsidP="0052098F">
      <w:pPr>
        <w:pStyle w:val="SntesisDescriptiva"/>
      </w:pPr>
    </w:p>
    <w:p w:rsidR="0052098F" w:rsidRDefault="0052098F" w:rsidP="0052098F">
      <w:pPr>
        <w:pStyle w:val="SntesisAnaltica"/>
      </w:pPr>
      <w:r>
        <w:t>Vulneración del derecho a la libertad personal: inadmisión a trámite de una petición de habeas corpus por razones de fondo (STC 86/1996).</w:t>
      </w:r>
    </w:p>
    <w:p w:rsidR="0052098F" w:rsidRDefault="0052098F" w:rsidP="0052098F">
      <w:pPr>
        <w:pStyle w:val="SntesisAnaltica"/>
      </w:pPr>
    </w:p>
    <w:p w:rsidR="0052098F" w:rsidRDefault="0052098F" w:rsidP="0052098F">
      <w:pPr>
        <w:pStyle w:val="Extracto"/>
      </w:pPr>
      <w:r>
        <w:t>1.</w:t>
      </w:r>
      <w:r>
        <w:tab/>
        <w:t>El que un órgano judicial deniegue la incoacción del procedimiento de habeas corpus con base en consideraciones formularias sobre la legalidad de la situación de privación de la libertad del demandante, desconoce la garantía del art. 17.4 CE, al anticipar el examen de fondo en el trámite de inadmisión, impidiendo que el recurrente comparezca ante el Juez e imposibilitando que formule alegaciones y que proponga medios de prueba para acreditarlas [FJ 4].</w:t>
      </w:r>
    </w:p>
    <w:p w:rsidR="0052098F" w:rsidRDefault="0052098F" w:rsidP="0052098F">
      <w:pPr>
        <w:pStyle w:val="Extracto"/>
      </w:pPr>
    </w:p>
    <w:p w:rsidR="0052098F" w:rsidRDefault="0052098F" w:rsidP="0052098F">
      <w:pPr>
        <w:pStyle w:val="Extracto"/>
      </w:pPr>
      <w:r>
        <w:t>2.</w:t>
      </w:r>
      <w:r>
        <w:tab/>
        <w:t>Doctrina sobre el reconocimiento constitucional del procedimiento de habeas corpus como garantía fundamental del derecho a la libertad (SSTC 86/1996, 46/2006) [FJ 2].</w:t>
      </w:r>
    </w:p>
    <w:p w:rsidR="0052098F" w:rsidRDefault="0052098F" w:rsidP="0052098F">
      <w:pPr>
        <w:pStyle w:val="Extracto"/>
      </w:pPr>
    </w:p>
    <w:p w:rsidR="0052098F" w:rsidRDefault="0052098F" w:rsidP="0052098F">
      <w:pPr>
        <w:pStyle w:val="Extracto"/>
      </w:pPr>
      <w:r>
        <w:t>3.</w:t>
      </w:r>
      <w:r>
        <w:tab/>
        <w:t>En los casos en que se deniegue la incoacción de un procedimiento de habeas corpus la perspectiva de examen que debe adoptarse es la del derecho a la libertad personal, en cuanto que la suficiencia o razonabilidad de la resolución judicial relativa a la garantía constitucional prevista en el art. 17.4 CE, forma parte de la propia garantía, por lo que resulta innecesario realizar cualquier otra consideración sobre la lesión a la tutela judicial efectiva (SSTC 98/1986, 122/2004) [FJ 1].</w:t>
      </w:r>
    </w:p>
    <w:p w:rsidR="0052098F" w:rsidRDefault="0052098F" w:rsidP="0052098F">
      <w:pPr>
        <w:pStyle w:val="Extracto"/>
      </w:pPr>
    </w:p>
    <w:p w:rsidR="0052098F" w:rsidRDefault="0052098F" w:rsidP="0052098F">
      <w:pPr>
        <w:pStyle w:val="Extracto"/>
      </w:pPr>
      <w:r>
        <w:t>4.</w:t>
      </w:r>
      <w:r>
        <w:tab/>
        <w:t>No cabe retrotraer actuaciones al momento en que se produjo la vulneración del derecho a la libertad para subsanarla, toda vez que el recurrente pasó a disposición judicial al día siguiente de dictarse el Auto impugnado en amparo, dejando así de concurrir el presupuesto de la privación de libertad no acordada judicialmente (SSTC 12/1994, 46/2006) [FJ 5].</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5624-2005, promovido por don Ángel García Hermosilla, representado por la Procuradora de los Tribunales doña María del Carmen Giménez Cardona y asistido por el Abogado don José Antonio Izquierdo Martínez, contra el Auto dictado el 23 de junio de 2005 por el Juzgado de Instrucción núm. 1 de San Javier (Murcia) en el procedimiento de habeas corpus núm. 1-2005. Ha intervenido el Ministerio Fiscal. Ha sido Ponente el Magistrado don Manuel Aragón Reyes,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22 de julio de 2005, doña María del Carmen Giménez Cardona, Procuradora de los Tribunales, en nombre y representación de don Ángel García Hermosilla, interpuso recurso de amparo contra la resolución judicial a la que se ha hecho mención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de los que trae causa la demanda de amparo, relevantes para la resolución de este recurso, son los que se expresan a continuación: </w:t>
      </w:r>
    </w:p>
    <w:p w:rsidR="0052098F" w:rsidRDefault="0052098F" w:rsidP="0052098F">
      <w:pPr>
        <w:pStyle w:val="TextoNormal"/>
      </w:pPr>
      <w:r>
        <w:t xml:space="preserve">a) El recurrente fue detenido por agentes de la Guardia Civil del puesto de San Javier a las 13:30 horas del día 22 de junio de 2005, por la comisión de un presunto delito contra la salud pública. A la mañana del día siguiente, su hermano, avisado telefónicamente de la detención desde el momento en que ésta se produjo, instó ante el Juzgado de Instrucción núm. 1 de San Javier procedimiento de habeas corpus, por considerar que la detención era ilegal, toda vez que el recurrente llevaba casi veinte horas detenido en dependencias policiales, sin que ello fuera necesario para la realización de las averiguaciones tendentes al esclarecimiento de los hechos. En la misma fecha el Juzgado de Instrucción núm. 1 de San Javier dictó providencia acusando recibo de la solicitud de habeas corpus, registrándola con el núm. 1-2005 y dando traslado para informe al Fiscal, que lo emitió ese mismo día, manifestando que no concurren ninguno de los supuestos para considerar que la detención es ilegal. </w:t>
      </w:r>
    </w:p>
    <w:p w:rsidR="0052098F" w:rsidRDefault="0052098F" w:rsidP="0052098F">
      <w:pPr>
        <w:pStyle w:val="TextoNormal"/>
      </w:pPr>
      <w:r>
        <w:t xml:space="preserve">b) El mismo día 23 de junio de 2005 el Juzgado de Instrucción núm. 1 de San Javier, dictó Auto por el que se deniega la solicitud de incoación del procedimiento de habeas corpus instado por don Francisco Javier García Hermosilla a favor de su hermano don Ángel García Hermosilla, al entender que no concurren en la detención de éste ninguna de las circunstancias enumeradas en el art. 1 de la Ley Orgánica 6/1984, de 24 de mayo, reguladora del procedimiento de habeas corpus, para considerar como ilegal una detención, por lo que al amparo del art. 6 de la referida Ley debe considerarse improcedente la solicitud efectuada. </w:t>
      </w:r>
    </w:p>
    <w:p w:rsidR="0052098F" w:rsidRDefault="0052098F" w:rsidP="0052098F">
      <w:pPr>
        <w:pStyle w:val="TextoNormal"/>
      </w:pPr>
      <w:r>
        <w:t>c) El recurrente fue puesto a disposición judicial al mediodía del siguiente 24 de junio de 2005 y tras los trámites oportunos se acordó por Auto del Juzgado de Instrucción núm. 1 de San Javier su libertad provisional en el marco de las diligencias previas de procedimiento abreviado núm. 1091-2005.</w:t>
      </w:r>
    </w:p>
    <w:p w:rsidR="0052098F" w:rsidRDefault="0052098F" w:rsidP="0052098F">
      <w:pPr>
        <w:pStyle w:val="TextoNormal"/>
      </w:pPr>
    </w:p>
    <w:p w:rsidR="0052098F" w:rsidRDefault="0052098F" w:rsidP="0052098F">
      <w:pPr>
        <w:pStyle w:val="TextoNormal"/>
      </w:pPr>
      <w:r w:rsidRPr="0052098F">
        <w:rPr>
          <w:rStyle w:val="NumeroAFNegritaCaracter"/>
        </w:rPr>
        <w:t>3</w:t>
      </w:r>
      <w:r>
        <w:t>. En la demanda de amparo se alega que el Auto impugnado ha vulnerado los derechos del recurrente a la libertad personal (art. 17 CE) y a la tutela judicial efectiva (art. 24.1 CE), por considerar que el órgano judicial, al inadmitir el procedimiento de habeas corpus, no ha preservado el derecho a la libertad del recurrente en amparo, en su concreción procesal de acceso al referido procedimiento para garantizar el control judicial de la corrección de la detención policial, que reputa ilegal. En desarrollo de la queja se invoca el derecho a que la detención preventiva no dure más que el tiempo estrictamente necesario para la realización de las averiguaciones tendentes al esclarecimiento de los hechos, argumentando que en el tiempo que permaneció detenido en las dependencias policiales, superior a 48 horas, no se practicaron diligencias de investigación que justificasen esa privación de libertad, que no tuvo así otro objeto que la intimidación del detenido, para conseguir una declaración inculpatoria. Igualmente se denuncia que el Juzgado de Instrucción, lejos de remediar esta situación, al denegar la solicitud de incoación del procedimiento de habeas corpus coadyuvó a que se prolongase la detención ilegal.</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4 de septiembre de 2005 la Sección Primera de este Tribunal acordó admitir a trámite la demanda de amparo y, a tenor de lo dispuesto en el art. 51 LOTC, requerir al Juzgado de Instrucción núm. 1 de San Javier para que en el plazo de diez días remitiese testimonio del procedimiento de habeas corpus núm. 1-2005.</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Secretaría de Justicia de la Sala Primera de este Tribunal de 25 de septiembre de 2005 se tuvo por recibido el testimonio de las actuaciones remitido por el Juzgado de Instrucción núm. 1 de San Javier y asimismo se procedió, conforme a lo dispuesto en el art. 52 LOTC, a dar vista de las mismas por un plazo común de veinte días al Ministerio Fiscal y a la Procuradora del demandante de amparo, para que dentro de dicho plazo presentasen las alegaciones que a su derecho conviniesen.</w:t>
      </w:r>
    </w:p>
    <w:p w:rsidR="0052098F" w:rsidRDefault="0052098F" w:rsidP="0052098F">
      <w:pPr>
        <w:pStyle w:val="TextoNormal"/>
      </w:pPr>
    </w:p>
    <w:p w:rsidR="0052098F" w:rsidRDefault="0052098F" w:rsidP="0052098F">
      <w:pPr>
        <w:pStyle w:val="TextoNormal"/>
      </w:pPr>
      <w:r w:rsidRPr="0052098F">
        <w:rPr>
          <w:rStyle w:val="NumeroAFNegritaCaracter"/>
        </w:rPr>
        <w:t>6</w:t>
      </w:r>
      <w:r>
        <w:t>. La representación procesal del recurrente presentó su escrito de alegaciones el 31 de octubre de 2007, dando por reproducidas las expuestas en la demanda de amparo.</w:t>
      </w:r>
    </w:p>
    <w:p w:rsidR="0052098F" w:rsidRDefault="0052098F" w:rsidP="0052098F">
      <w:pPr>
        <w:pStyle w:val="TextoNormal"/>
      </w:pPr>
    </w:p>
    <w:p w:rsidR="0052098F" w:rsidRDefault="0052098F" w:rsidP="0052098F">
      <w:pPr>
        <w:pStyle w:val="TextoNormal"/>
      </w:pPr>
      <w:r w:rsidRPr="0052098F">
        <w:rPr>
          <w:rStyle w:val="NumeroAFNegritaCaracter"/>
        </w:rPr>
        <w:t>7</w:t>
      </w:r>
      <w:r>
        <w:t>. El Ministerio Fiscal presentó su escrito de alegaciones el 15 de noviembre de 2007 interesando el otorgamiento del amparo solicitado. Señala el Ministerio Fiscal que la queja referida a la vulneración del derecho a la tutela judicial efectiva (art. 24.1 CE) se entiende subsumida en la lesión del derecho sustantivo a la libertad personal (art. 17 CE), vulneración que, en efecto, se ha producido en el presente caso, pues, de acuerdo con reiterada doctrina constitucional (cita las SSTC 94/2003, 23/2004, 122/2004 y 29/2006), no cabe fundamentar la inadmisión de la solicitud de incoación del procedimiento de habeas corpus en razones de fondo sobre la legalidad de la detención, privando así al detenido de su derecho a ser oído y proponer y practicar, en su caso, pruebas, para enjuiciar la ilicitud o ilicitud de la detención. En consecuencia, concluye el Fiscal, procede otorgar el amparo, reconociendo al recurrente su derecho a la libertad y anulando el Auto impugnado, sin que resulte procedente ningún otro pronunciamiento, toda vez que, como se indica en la propia demanda de amparo, el recurrente pasó a disposición judicial al día siguiente de dictarse el Auto, lo que hace innecesario acordar su puesta en libertad.</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8</w:t>
      </w:r>
      <w:r>
        <w:t>. Por providencia de 21 de febrero de 2008 se acordó señalar para deliberación y votación de la presente Sentencia el día 25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presente demanda de amparo tiene por objeto la impugnación del Auto del Juzgado de Instrucción núm. 1 de San Javier de 23 de junio de 2005, que denegó la incoación del procedimiento de habeas corpus que había instado el hermano del demandante de amparo a favor de éste, cuando se encontraba detenido en el puesto de la Guardia Civil de la localidad de San Javier, en el marco de unas diligencias policiales por presunto delito contra la salud pública, alegándose por el demandante de amparo la vulneración de su derecho a la libertad personal (art. 17 CE), en relación con el derecho a la tutela judicial efectiva (art. 24.1 CE), si bien ha de advertirse que, en supuestos como el presente, la perspectiva de examen que debe adoptarse es única y exclusivamente la del derecho a la libertad personal, en cuanto que la suficiencia o razonabilidad de la resolución judicial relativa a la garantía constitucional del procedimiento de habeas corpus, prevista en el art. 17.4 CE, forma parte de la propia garantía, por lo que resulta innecesario realizar cualquier otra consideración sobre la lesión a la tutela judicial efectiva (por todas, SSTC 98/1986, de 10 de julio, FJ 3; 288/2000, de 27 de noviembre, FJ 1; 61/2003, de 24 de marzo, FJ 1; y 122/2004, de 12 de julio, FJ 2).</w:t>
      </w:r>
    </w:p>
    <w:p w:rsidR="0052098F" w:rsidRDefault="0052098F" w:rsidP="0052098F">
      <w:pPr>
        <w:pStyle w:val="TextoNormal"/>
      </w:pPr>
    </w:p>
    <w:p w:rsidR="0052098F" w:rsidRDefault="0052098F" w:rsidP="0052098F">
      <w:pPr>
        <w:pStyle w:val="TextoNormal"/>
      </w:pPr>
      <w:r w:rsidRPr="0052098F">
        <w:rPr>
          <w:rStyle w:val="NumeroAFNegritaCaracter"/>
        </w:rPr>
        <w:t>2</w:t>
      </w:r>
      <w:r>
        <w:t>. En relación con la cuestión suscitada, este Tribunal ya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habeas corpus, generando una consolidada doctrina, recogida, entre otras muchas, en las SSTC 86/1996, de 21 de mayo, 94/2003, de 19 de mayo, 23/2004, de 23 de febrero, 122/2004, de 12 de julio, y 46/2006, de 13 de febrero, a cuya fundamentación resulta pertinente remitirse y que puede resumirse, a los efectos que a este recurso de amparo interesan, en los siguientes puntos:</w:t>
      </w:r>
    </w:p>
    <w:p w:rsidR="0052098F" w:rsidRDefault="0052098F" w:rsidP="0052098F">
      <w:pPr>
        <w:pStyle w:val="TextoNormal"/>
      </w:pPr>
      <w:r>
        <w:t>a) Aun cuando la Ley Orgánica reguladora del procedimiento de habeas corpus[IBI1] (LOHC) permita realizar un juicio de admisibilidad previo sobre la concurrencia de los requisitos para la tramitación del habeas corpus,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w:t>
      </w:r>
    </w:p>
    <w:p w:rsidR="0052098F" w:rsidRDefault="0052098F" w:rsidP="0052098F">
      <w:pPr>
        <w:pStyle w:val="TextoNormal"/>
      </w:pPr>
      <w:r>
        <w:t>b) Por ello, si se da el presupuesto de la privación de libertad no acordada judicialmente y se cumplen los requisitos formales para la admisión a trámite, no procede acordar la inadmisión del habeas corpus,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constitucionalmente legítimo fundamentar la inadmisión de este procedimiento en la afirmación de que el recurrente no se encontraba ilícitamente privado de libertad, precisamente porque el contenido propio de la pretensión formulada en el habeas corpus es el de determinar la licitud o ilicitud de dicha privación.</w:t>
      </w:r>
    </w:p>
    <w:p w:rsidR="0052098F" w:rsidRDefault="0052098F" w:rsidP="0052098F">
      <w:pPr>
        <w:pStyle w:val="TextoNormal"/>
      </w:pPr>
      <w:r>
        <w:lastRenderedPageBreak/>
        <w:t>c) En conclusión, 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Los únicos motivos legítimos para inadmitir un procedimiento de habeas corpus serán los basados, bien en la falta del presupuesto mismo de la situación de privación de libertad, bien en la no concurrencia de sus requisitos formales.</w:t>
      </w:r>
    </w:p>
    <w:p w:rsidR="0052098F" w:rsidRDefault="0052098F" w:rsidP="0052098F">
      <w:pPr>
        <w:pStyle w:val="TextoNormal"/>
      </w:pPr>
    </w:p>
    <w:p w:rsidR="0052098F" w:rsidRDefault="0052098F" w:rsidP="0052098F">
      <w:pPr>
        <w:pStyle w:val="TextoNormal"/>
      </w:pPr>
      <w:r w:rsidRPr="0052098F">
        <w:rPr>
          <w:rStyle w:val="NumeroAFNegritaCaracter"/>
        </w:rPr>
        <w:t>3</w:t>
      </w:r>
      <w:r>
        <w:t>. La aplicación de esta doctrina al supuesto enjuiciado conduce al otorgamiento del amparo solicitado, por las razones que se exponen a continuación. En el presente caso, según resulta del examen de las actuaciones judiciales, el hermano del demandante de amparo, que se encontraba detenido en un cuartel de la Guardia Civil desde las 13:30 horas del día 22 de junio de 2005 por un supuesto delito contra la salud pública, instó el día siguiente procedimiento de habeas corpus al considerar ilegal la detención policial, por rebasar el tiempo estrictamente necesario para la realización de averiguaciones tendentes al esclarecimiento de los hechos. El Juzgado de Instrucción, examinado el atestado policial y previa audiencia del Ministerio Fiscal, denegó la incoación del procedimiento de habeas corpus por Auto de 23 de junio de 2005, con el único y apodíctico argumento de que no concurren en la detención del demandante de amparo ninguna de las circunstancias enumeradas en el art. 1 LOHC para considerar que una persona ha sido ilegalmente detenida.</w:t>
      </w:r>
    </w:p>
    <w:p w:rsidR="0052098F" w:rsidRDefault="0052098F" w:rsidP="0052098F">
      <w:pPr>
        <w:pStyle w:val="TextoNormal"/>
      </w:pPr>
    </w:p>
    <w:p w:rsidR="0052098F" w:rsidRDefault="0052098F" w:rsidP="0052098F">
      <w:pPr>
        <w:pStyle w:val="TextoNormal"/>
      </w:pPr>
      <w:r w:rsidRPr="0052098F">
        <w:rPr>
          <w:rStyle w:val="NumeroAFNegritaCaracter"/>
        </w:rPr>
        <w:t>4</w:t>
      </w:r>
      <w:r>
        <w:t>. El referido razonamiento del Auto impugnado pone de manifiesto con absoluta nitidez que el órgano judicial denegó en este caso la incoación de procedimiento de habeas corpus no porque la solicitud careciese de los requisitos formales (presupuestos procesales y elementos formales de la solicitud a los que se refiere el art. 4 LOHC), ni porque no concurriera el presupuesto fáctico de una real y efectiva situación de privación de libertad, sino en virtud de la aplicación de una fórmula estereotipada basada en la afirmación de la legalidad de la detención policial del demandante de amparo.</w:t>
      </w:r>
    </w:p>
    <w:p w:rsidR="0052098F" w:rsidRDefault="0052098F" w:rsidP="0052098F">
      <w:pPr>
        <w:pStyle w:val="TextoNormal"/>
      </w:pPr>
      <w:r>
        <w:t>Ha de recordarse que el recurrente solicitó habeas corpus al considerar ilegal su detención por la Guardia Civil por rebasar el tiempo estrictamente necesario para realizar las investigaciones encaminadas al esclarecimiento de los hechos. En tal sentido debe tenerse en cuenta que hemos declarado reiteradamente que si bien el tiempo “estrictamente necesario” de toda detención gubernativa nunca puede sobrepasar el límite temporal de setenta y dos horas (art. 17.2 CE), límite no rebasado en el presente caso, “ese plazo actúa como límite máximo absoluto, y no impide que puedan calificarse como privaciones de libertad ilegales, en cuanto indebidamente prolongadas o mantenidas, aquéllas que, aun sin rebasar el indicado límite máximo, sobrepasen el tiempo indispensable para realizar las oportunas pesquisas dirigidas al esclarecimiento del hecho delictivo que se imputa al detenido, pues en tal caso se opera una restricción del derecho fundamental a la libertad personal que la norma constitucional no consiente” (SSTC 86/1996, de 21 de mayo, FJ 8; 224/1998, de 24 de noviembre, FJ 3; y 250/2006, de 24 de julio, FJ 3).</w:t>
      </w:r>
    </w:p>
    <w:p w:rsidR="0052098F" w:rsidRDefault="0052098F" w:rsidP="0052098F">
      <w:pPr>
        <w:pStyle w:val="TextoNormal"/>
      </w:pPr>
      <w:r>
        <w:t>De este modo, en el presente caso, al inadmitir a trámite el procedimiento de habeas corpus sin dar audiencia al detenido, el Juzgado de Instrucción no procedió a verificar si la detención gubernativa, aun no rebasando la duración máxima establecida en el art. 17.2 CE, podía ser considerada como ilegal por haberse prolongado durante más tiempo del estrictamente necesario.</w:t>
      </w:r>
    </w:p>
    <w:p w:rsidR="0052098F" w:rsidRDefault="0052098F" w:rsidP="0052098F">
      <w:pPr>
        <w:pStyle w:val="TextoNormal"/>
      </w:pPr>
      <w:r>
        <w:t xml:space="preserve">Ha de concluirse, pues, de conformidad con la doctrina constitucional de la que se ha dejado constancia, que el órgano judicial, al denegar la incoación del procedimiento de habeas corpus con base en consideraciones formularias sobre la legalidad de la situación de </w:t>
      </w:r>
      <w:r>
        <w:lastRenderedPageBreak/>
        <w:t>privación de libertad del demandante de amparo, ha desconocido la garantía específica del art. 17.4 CE, al anticipar el examen de fondo en el trámite de admisión, impidiendo así que el recurrente en amparo compareciera en el procedimiento de habeas corpus ante el Juez e imposibilitando que formulara alegaciones y que propusiera los medios de prueba pertinentes para acreditarlas. En definitiva, el órgano judicial no ejerció de forma eficaz su función de control de la privación de libertad de acuerdo con la naturaleza y función constitucional del procedimiento de habeas corpus.</w:t>
      </w:r>
    </w:p>
    <w:p w:rsidR="0052098F" w:rsidRDefault="0052098F" w:rsidP="0052098F">
      <w:pPr>
        <w:pStyle w:val="TextoNormal"/>
      </w:pPr>
    </w:p>
    <w:p w:rsidR="0052098F" w:rsidRDefault="0052098F" w:rsidP="0052098F">
      <w:pPr>
        <w:pStyle w:val="TextoNormal"/>
      </w:pPr>
      <w:r w:rsidRPr="0052098F">
        <w:rPr>
          <w:rStyle w:val="NumeroAFNegritaCaracter"/>
        </w:rPr>
        <w:t>5</w:t>
      </w:r>
      <w:r>
        <w:t>. En fin, en cuanto al alcance del otorgamiento del amparo, debemos advertir, como en casos análogos (SSTC 12/1994, de 17 de enero, FJ 7; 154/1995, de 24 de octubre, FJ 6; 209/2000, de 24 de julio, FJ 7; 224/2002, de 25 de noviembre, FJ 7; 23/2004, de 23 de febrero, FJ 7; 37/2005, de 28 de febrero, FJ 4; y 46/2006, de 13 de febrero, FJ 5, entre otras), que no cabe retrotraer las actuaciones al momento en que se produjo la vulneración del derecho a la libertad para subsanarla, toda vez que, como acertadamente advierte el Ministerio Fiscal, en la propia demanda de amparo se indica que el recurrente pasó a disposición judicial al día siguiente de dictarse el Auto impugnado en amparo, dejando así de concurrir el presupuesto de la privación de libertad no acordada judicialmente.</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Ángel García Hermosilla y, en su virtud:</w:t>
      </w:r>
    </w:p>
    <w:p w:rsidR="0052098F" w:rsidRDefault="0052098F" w:rsidP="0052098F">
      <w:pPr>
        <w:pStyle w:val="TextoNormal"/>
      </w:pPr>
      <w:r>
        <w:t>1º Declarar vulnerado su derecho a la libertad personal (art. 17.4 CE).</w:t>
      </w:r>
    </w:p>
    <w:p w:rsidR="0052098F" w:rsidRDefault="0052098F" w:rsidP="0052098F">
      <w:pPr>
        <w:pStyle w:val="TextoNormal"/>
      </w:pPr>
      <w:r>
        <w:t>2º Declarar la nulidad del Auto del Juzgado de Instrucción núm. núm. 1 de San Javier de 23 de junio de 2005, recaído en el procedimiento de habeas corpus núm. 1-2005.</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veinticinco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39" w:name="SENTENCIA_2008_36"/>
      <w:r>
        <w:lastRenderedPageBreak/>
        <w:t>SENTENCIA 36/2008, de 25 de febrero de 2008</w:t>
      </w:r>
    </w:p>
    <w:bookmarkEnd w:id="39"/>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76, de 28 de marzo de 2008)</w:t>
      </w:r>
    </w:p>
    <w:p w:rsidR="0052098F" w:rsidRDefault="0052098F" w:rsidP="0052098F">
      <w:pPr>
        <w:pStyle w:val="TtuloBOE"/>
      </w:pPr>
    </w:p>
    <w:p w:rsidR="0052098F" w:rsidRDefault="0052098F" w:rsidP="0052098F">
      <w:pPr>
        <w:pStyle w:val="SntesisDescriptiva"/>
      </w:pPr>
      <w:r>
        <w:t>ECLI:ES:TC:2008:36</w:t>
      </w:r>
    </w:p>
    <w:p w:rsidR="0052098F" w:rsidRDefault="0052098F" w:rsidP="0052098F">
      <w:pPr>
        <w:pStyle w:val="SntesisDescriptiva"/>
      </w:pPr>
    </w:p>
    <w:p w:rsidR="0052098F" w:rsidRDefault="0052098F" w:rsidP="0052098F">
      <w:pPr>
        <w:pStyle w:val="SntesisDescriptiva"/>
      </w:pPr>
      <w:r>
        <w:t>Recurso de amparo 925-2006. Promovido por don José María Botella Alfaro y otro frente a la Sentencia y el Auto de nulidad de la Audiencia Provincial de Valencia que, en grado de apelación, les condenó por delito de calumnias.</w:t>
      </w:r>
    </w:p>
    <w:p w:rsidR="0052098F" w:rsidRDefault="0052098F" w:rsidP="0052098F">
      <w:pPr>
        <w:pStyle w:val="SntesisDescriptiva"/>
      </w:pPr>
    </w:p>
    <w:p w:rsidR="0052098F" w:rsidRDefault="0052098F" w:rsidP="0052098F">
      <w:pPr>
        <w:pStyle w:val="SntesisAnaltica"/>
      </w:pPr>
      <w:r>
        <w:t>Supuesta vulneración del derecho al juez imparcial y vulneración de los derechos a un proceso con garantías y a la presunción de inocencia: Sala de apelación formada con un magistrado que había confirmado en apelación la revocación del sobreseimiento libre de la causa, mediante auto que no exteriorizaba un juicio anticipado; condena pronunciada en apelación sin haber celebrado vista pública (STC 167/2002).</w:t>
      </w:r>
    </w:p>
    <w:p w:rsidR="0052098F" w:rsidRDefault="0052098F" w:rsidP="0052098F">
      <w:pPr>
        <w:pStyle w:val="SntesisAnaltica"/>
      </w:pPr>
    </w:p>
    <w:p w:rsidR="0052098F" w:rsidRDefault="0052098F" w:rsidP="0052098F">
      <w:pPr>
        <w:pStyle w:val="Extracto"/>
      </w:pPr>
      <w:r>
        <w:t>1.</w:t>
      </w:r>
      <w:r>
        <w:tab/>
        <w:t>El realizar la Audiencia Provincial una nueva valoración de las pruebas personales que no había presenciado, negando credibilidad a los testimonios de los acusados, incumpliendo con la exigencia de respetar las garantías de publicidad, inmediación y contradicción, vulnera el derecho a un proceso con todas las garantías (STC 167/2002) [FFJJ 5, 6].</w:t>
      </w:r>
    </w:p>
    <w:p w:rsidR="0052098F" w:rsidRDefault="0052098F" w:rsidP="0052098F">
      <w:pPr>
        <w:pStyle w:val="Extracto"/>
      </w:pPr>
    </w:p>
    <w:p w:rsidR="0052098F" w:rsidRDefault="0052098F" w:rsidP="0052098F">
      <w:pPr>
        <w:pStyle w:val="Extracto"/>
      </w:pPr>
      <w:r>
        <w:t>2.</w:t>
      </w:r>
      <w:r>
        <w:tab/>
        <w:t>Cuando la prueba personal eliminada sea la única tomada en cuenta por la resolución impugnada y, a partir de su propia motivación, se constate que dicha prueba era esencial para llegar a la conclusión incriminatoria, se vulnera el derecho a la presunción de inocencia (SSTC 105/2005, 207/2007) [FFJJ 5, 7].</w:t>
      </w:r>
    </w:p>
    <w:p w:rsidR="0052098F" w:rsidRDefault="0052098F" w:rsidP="0052098F">
      <w:pPr>
        <w:pStyle w:val="Extracto"/>
      </w:pPr>
    </w:p>
    <w:p w:rsidR="0052098F" w:rsidRDefault="0052098F" w:rsidP="0052098F">
      <w:pPr>
        <w:pStyle w:val="Extracto"/>
      </w:pPr>
      <w:r>
        <w:t>3.</w:t>
      </w:r>
      <w:r>
        <w:tab/>
        <w:t>La ratificación en segunda instancia de una decisión previa de inculpación razonablemente fundada, sin anticipar juicio alguno sobre la responsabilidad penal y sin apreciar un contacto directo con el acusado ni con las pruebas, no vulnera el derecho al juez imparcial (SSTC 39/2004, 156/2007) [FJ 2].</w:t>
      </w:r>
    </w:p>
    <w:p w:rsidR="0052098F" w:rsidRDefault="0052098F" w:rsidP="0052098F">
      <w:pPr>
        <w:pStyle w:val="Extracto"/>
      </w:pPr>
    </w:p>
    <w:p w:rsidR="0052098F" w:rsidRDefault="0052098F" w:rsidP="0052098F">
      <w:pPr>
        <w:pStyle w:val="Extracto"/>
      </w:pPr>
      <w:r>
        <w:t>4.</w:t>
      </w:r>
      <w:r>
        <w:tab/>
        <w:t>La imparcialidad judicial garantiza que los Jueces y Magistrados que intervengan en la resolución de una causa se acerquen a la misma sin prevenciones ni prejuicios en su ánimo derivados de una relación o contacto previos con el objeto del proceso [FJ 2].</w:t>
      </w:r>
    </w:p>
    <w:p w:rsidR="0052098F" w:rsidRDefault="0052098F" w:rsidP="0052098F">
      <w:pPr>
        <w:pStyle w:val="Extracto"/>
      </w:pPr>
    </w:p>
    <w:p w:rsidR="0052098F" w:rsidRDefault="0052098F" w:rsidP="0052098F">
      <w:pPr>
        <w:pStyle w:val="Extracto"/>
      </w:pPr>
      <w:r>
        <w:t>5.</w:t>
      </w:r>
      <w:r>
        <w:tab/>
        <w:t>Doctrina sobre el derecho al Juez imparcial del Tribunal Europeo de Derechos Humanos (24 de mayo de 1989, caso Hauschildt c. Dinamarca)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925-2006, promovido por don José María Botella Alfaro y don Rafael Llorca Vallés, representados por la Procuradora de los Tribunales doña Beatriz Martínez Martínez y asistidos por el Letrado don José María Blasco Serrano, contra la Sentencia dictada por la Sección Segunda de la Audiencia Provincial de Valencia el 29 de septiembre de 2005 y el Auto de 15 de diciembre de 2005, que desestima el incidente de nulidad de actuaciones promovido contra la anterior. Ha intervenido el Ministerio Fiscal. Ha comparecido don Rafael Soler Vert, representado por la Procuradora doña María Luz Albácar Medina y asistido por el Letrado don Lorenzo Casasús Esteban. Ha sido Ponente la Magistrada doña Elisa Pérez Vera,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que tuvo entrada en el Registro General de este Tribunal el día 31 de enero de 2006, la Procuradora de los Tribunales doña Beatriz Martínez Martínez, en nombre y representación de don José María Botella Alfaro y don Rafael Llorca Vallés, interpuso recurso de amparo contra las resoluciones judiciales que se citan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tiene su origen el presente recurso y relevantes para su resolución son, sucintamente expuestos, los siguientes: </w:t>
      </w:r>
    </w:p>
    <w:p w:rsidR="0052098F" w:rsidRDefault="0052098F" w:rsidP="0052098F">
      <w:pPr>
        <w:pStyle w:val="TextoNormal"/>
      </w:pPr>
      <w:r>
        <w:t xml:space="preserve">a) Los recurrentes fueron absueltos del delito de calumnias del que venían siendo acusados, mediante Sentencia del Juzgado de lo Penal núm. 12 de Valencia, de fecha 13 de junio de 2005. </w:t>
      </w:r>
    </w:p>
    <w:p w:rsidR="0052098F" w:rsidRDefault="0052098F" w:rsidP="0052098F">
      <w:pPr>
        <w:pStyle w:val="TextoNormal"/>
      </w:pPr>
      <w:r>
        <w:t xml:space="preserve">Dicha Sentencia contiene la siguiente declaración de hechos probados: </w:t>
      </w:r>
    </w:p>
    <w:p w:rsidR="0052098F" w:rsidRDefault="0052098F" w:rsidP="0052098F">
      <w:pPr>
        <w:pStyle w:val="TextoNormal"/>
      </w:pPr>
      <w:r>
        <w:t xml:space="preserve">“Se declara probado que el pasado día 18 de diciembre de 2002 el alcalde de La Pobla Larga José María Botella Alfaro y Rafael Lorca Vallés y otras personas, ambos mayores de edad y sin antecedentes penales, presentaron ante la Fiscalía del Tribunal Superior de Justicia de Valencia una denuncia relativa a presuntas irregularidades en la compraventa de unos terrenos realizada por Rafael Soler Vert por si los hechos son constitutivos de infracción penal. Tras las oportunas investigaciones en Fiscalía por Decreto de 14 de abril de 2003 del Fiscal Jefe se acordó el archivo de las diligencias de investigación penal. </w:t>
      </w:r>
    </w:p>
    <w:p w:rsidR="0052098F" w:rsidRDefault="0052098F" w:rsidP="0052098F">
      <w:pPr>
        <w:pStyle w:val="TextoNormal"/>
      </w:pPr>
      <w:r>
        <w:t xml:space="preserve">Tanto José María Botella Alfaro como Rafael Lorca Vallés no tenían intención, al interponer la denuncia, de imputar una infracción penal a Rafael Soler a sabiendas de su falsedad o faltando a la verdad. </w:t>
      </w:r>
    </w:p>
    <w:p w:rsidR="0052098F" w:rsidRDefault="0052098F" w:rsidP="0052098F">
      <w:pPr>
        <w:pStyle w:val="TextoNormal"/>
      </w:pPr>
      <w:r>
        <w:t xml:space="preserve">Posteriormente Rafael Soler Vert presentó querella por calumnias contra los Sres. Botella y Llorca ante el Juzgado de Instrucción de Alzira el 21 de mayo de 2003”. </w:t>
      </w:r>
    </w:p>
    <w:p w:rsidR="0052098F" w:rsidRDefault="0052098F" w:rsidP="0052098F">
      <w:pPr>
        <w:pStyle w:val="TextoNormal"/>
      </w:pPr>
      <w:r>
        <w:t xml:space="preserve">En el fundamento jurídico segundo de esta resolución se señala que: </w:t>
      </w:r>
    </w:p>
    <w:p w:rsidR="0052098F" w:rsidRDefault="0052098F" w:rsidP="0052098F">
      <w:pPr>
        <w:pStyle w:val="TextoNormal"/>
      </w:pPr>
      <w:r>
        <w:t xml:space="preserve">“De las pruebas celebradas en el juicio oral se deduce que no se descubre el animus calumniandi especial para este delito; así el acusado Sr. Botella Alfaro dijo en su declaración que le llegaron sospechas de ‘chanchullo’ del Sr. Soler Vert por parte de una denuncia verbal </w:t>
      </w:r>
      <w:r>
        <w:lastRenderedPageBreak/>
        <w:t xml:space="preserve">de Rafael Llorca y que siendo alcalde del Ayuntamiento reúne a los concejales y lo comentan y teniendo apariencia de ser verdad le piden al Sr. Llorca que ponga por escrito su alegación y decide mandarlo a Fiscalía, que no comprobó si la denuncia era falsa y se limitó a firmar la denuncia municipal y que nunca habló con la prensa del tema; el acusado Rafael Llorca Vallés dijo en su declaración del juicio oral que habló con San Macario y le cuenta irregularidad [sic] presuntamente hechas por el Sr. Soler, que existían rumores en el pueblo sobre la realidad del hecho y le pide que redacte la denuncia y así lo hace para averiguar lo sucedido, que se lo dijo al alcalde Sr. Botella pero nunca quiso injuriar ni vengarse de nadie, que no tiene odio al Sr. Soler aclarando que en todo caso tal actitud es proporcional e igual que la que presenta el Sr. Soler hacia él. </w:t>
      </w:r>
    </w:p>
    <w:p w:rsidR="0052098F" w:rsidRDefault="0052098F" w:rsidP="0052098F">
      <w:pPr>
        <w:pStyle w:val="TextoNormal"/>
      </w:pPr>
      <w:r>
        <w:t xml:space="preserve">El resto de testigos no aportan nada nuevo sobre las intenciones de los acusados y se limitan a ratificar que deciden en sesión del Ayuntamiento denunciar el presunto hecho fraudulento; el testigo Emilio Miñana Negre reconoce que él dio la noticia a la prensa a meros efectos informativos”. </w:t>
      </w:r>
    </w:p>
    <w:p w:rsidR="0052098F" w:rsidRDefault="0052098F" w:rsidP="0052098F">
      <w:pPr>
        <w:pStyle w:val="TextoNormal"/>
      </w:pPr>
      <w:r>
        <w:t xml:space="preserve">b) Contra la anterior resolución interpuso recurso de apelación la acusación particular, que fue estimado por Sentencia de la Sección Segunda de la Audiencia Provincial de Valencia, de fecha 29 de septiembre de 2005, que revoca la Sentencia de instancia y condena a don José María Botella Alfaro y don Rafael Llorca Vallés, como autores de un delito de calumnias con publicidad, a la pena de un año y tres meses de prisión para el primero y de un año de prisión para el segundo, accesoria legal de privación del derecho de sufragio pasivo, así como al pago de las costas de la primera instancia, incluyendo las de la acusación particular, a indemnizar cada uno de los condenados a don Rafael Soler Vert en la suma de 1.000 euros, y a publicar, a costa de los condenados, los hechos probados y el fallo de la sentencia en los mismos diarios en los que se publicó la información calumniosa. </w:t>
      </w:r>
    </w:p>
    <w:p w:rsidR="0052098F" w:rsidRDefault="0052098F" w:rsidP="0052098F">
      <w:pPr>
        <w:pStyle w:val="TextoNormal"/>
      </w:pPr>
      <w:r>
        <w:t xml:space="preserve">Esta Sentencia contiene la siguiente declaración de hechos probados: </w:t>
      </w:r>
    </w:p>
    <w:p w:rsidR="0052098F" w:rsidRDefault="0052098F" w:rsidP="0052098F">
      <w:pPr>
        <w:pStyle w:val="TextoNormal"/>
      </w:pPr>
      <w:r>
        <w:t xml:space="preserve">“No se aceptan los hechos probados de la sentencia apelada, declarándose probado que el día 13 de enero de 1989 Eladio Sanmacario vende don fincas, sitas en la partida El Colmenar de La Pobla Llarga, a la esposa de Rafael Soler Vert por 6.000 pesetas el metro cuadrado edificable, quedando pendiente la fijación del precio a la calificación del suelo, y condicionada a ello la venta dándose un anticipo de 4.000.000 de pesetas mediante hipoteca del suelo, que asumirían los compradores caso de consumarse la venta, si bien, a requerimiento del vendedor, se modificó el precio fijándose en 8.000.000 de pesetas, otorgándose escritura de venta el 29 de julio de 1994. </w:t>
      </w:r>
    </w:p>
    <w:p w:rsidR="0052098F" w:rsidRDefault="0052098F" w:rsidP="0052098F">
      <w:pPr>
        <w:pStyle w:val="TextoNormal"/>
      </w:pPr>
      <w:r>
        <w:t xml:space="preserve">En esa fecha, y pese a que la aprobación provisional del PGOU de La Pobla Llarga no se produjo hasta el 7 de abril de 1995, ya contaba la zona vendida con viales, estando parcelada, y se había pasado por el Ayuntamiento al cobro el canon de urbanización a los propietarios afectados, con lo que era público y conocido en la ciudad el cambio de calificación producido. </w:t>
      </w:r>
    </w:p>
    <w:p w:rsidR="0052098F" w:rsidRDefault="0052098F" w:rsidP="0052098F">
      <w:pPr>
        <w:pStyle w:val="TextoNormal"/>
      </w:pPr>
      <w:r>
        <w:t xml:space="preserve">A pesar de ello, Eladio Sanmacario, fallecido en el curso del proceso, sostuvo en ciertos ambientes del pueblo que había sido engañado, y que el Sr. Soler se había prevalido de su condición de concejal para dar un pelotazo, llegando esto a finales de 2002 a conocimiento del acusado Rafael Llorca Vallés, a la sazón concejal también del Ayuntamiento de la antes citada ciudad, que a su vez lo comunicó al resto de los miembros del Consistorio, que presidía el también acusado José María Botella Alfaro, acordándose por indicación del Sr. Botella que el acusado Sr. Llorca incidiera acerca del vendedor San Macario para que formalizase la denuncia para lo cual el acusado Sr. Llorca, que había acudido, por si o por otro, al Registro de la Propiedad para constatar la realidad de la venta referida, procedió a redactar </w:t>
      </w:r>
      <w:r>
        <w:lastRenderedPageBreak/>
        <w:t xml:space="preserve">un documento, que luego firmó San Macario el 7 de diciembre de 2003, en el que se afirmaba que fue reiteradamente advertido de forma interesada que los campos que vendió en la escritura de 24 de julio de 1994, silenciando que los había vendido antes por documento privado en fecha 13 de enero de 1989, no eran edificables, por lo que sólo se podían pagar a precio de tierra huerta, viendo que en las tierras había parcelas en aquel momento, por lo que comprendió que lo habían perjudicado al ser el marido de una de las compradoras, Rafael Soler, concejal de Pobla Llarga en aquellos momentos y en los actuales. </w:t>
      </w:r>
    </w:p>
    <w:p w:rsidR="0052098F" w:rsidRDefault="0052098F" w:rsidP="0052098F">
      <w:pPr>
        <w:pStyle w:val="TextoNormal"/>
      </w:pPr>
      <w:r>
        <w:t xml:space="preserve">Recogida la firma de Sanmacario, el acusado Llorca entregó el escrito en mano del acusado Botella, que convocó al equipo de Gobierno Municipal, que decidió presentar denuncia ante la Fiscalía del Tribunal Superior de Justicia de la Comunidad, que abrió el 21 de diciembre de 2002 diligencias de investigación penal 160/02, participándolo a los denunciantes, que lo comunicaron a los medios de comunicación escrita, difundiendo la noticia de la investigación el diario ‘Las Provincias’, que publicó que ‘El Fiscal investiga al líder del PP por la presunta compra fraudulenta de un terreno’, y el ‘Levante’, que anunció ‘El edil de la Pobla Llarga investigado por una presunta estafa’ y ‘El País’ afirmaba que esta siendo ’Investigado un concejal del PP de la Pobla Llarga por tráfico de influencias’. </w:t>
      </w:r>
    </w:p>
    <w:p w:rsidR="0052098F" w:rsidRDefault="0052098F" w:rsidP="0052098F">
      <w:pPr>
        <w:pStyle w:val="TextoNormal"/>
      </w:pPr>
      <w:r>
        <w:t xml:space="preserve">Las diligencias de Fiscalía fueron archivadas por decreto del Excmo. Sr. Fiscal Jefe de 14 de abril de 2003, lo que fue comunicado a los denunciantes, que no lo participaron a los medios citados. </w:t>
      </w:r>
    </w:p>
    <w:p w:rsidR="0052098F" w:rsidRDefault="0052098F" w:rsidP="0052098F">
      <w:pPr>
        <w:pStyle w:val="TextoNormal"/>
      </w:pPr>
      <w:r>
        <w:t xml:space="preserve">El PGOU de La Pobla Llarga fue aprobado el 13 de julio de 1996, habiéndose abstenido el Sr. Soler en la votación, al igual que hizo en el pleno de 1995, justificando su postura, como consta en sendos escritos remitidos al Alcalde, en tener interés indirecto, al haber adquirido en 1989 una opción de compra de terrenos afectados por el Plan que se actuó en el mes de julio de 1994, figurando los terrenos a nombre de su esposa, con quien mantiene un régimen matrimonial de separación. </w:t>
      </w:r>
    </w:p>
    <w:p w:rsidR="0052098F" w:rsidRDefault="0052098F" w:rsidP="0052098F">
      <w:pPr>
        <w:pStyle w:val="TextoNormal"/>
      </w:pPr>
      <w:r>
        <w:t xml:space="preserve">El día 2 de junio de 1992 el acusado Sr. Botella, entonces Juez de Paz de La Pobla Llarga, presidió un acto de conciliación, que acabó con avenencia, en el que el Sr. San Macario solicitaba a la esposa de Soler la determinación del precio, que en el documento de 13 de enero de 1989 estaba indeterminado, quedando fijado en 8.000.000 de pesetas”. </w:t>
      </w:r>
    </w:p>
    <w:p w:rsidR="0052098F" w:rsidRDefault="0052098F" w:rsidP="0052098F">
      <w:pPr>
        <w:pStyle w:val="TextoNormal"/>
      </w:pPr>
      <w:r>
        <w:t xml:space="preserve">En el fundamento jurídico tercero se afirma la existencia de una defectuosa valoración de la prueba por parte de la Sentencia de instancia: </w:t>
      </w:r>
    </w:p>
    <w:p w:rsidR="0052098F" w:rsidRDefault="0052098F" w:rsidP="0052098F">
      <w:pPr>
        <w:pStyle w:val="TextoNormal"/>
      </w:pPr>
      <w:r>
        <w:t xml:space="preserve">“Por el contrario, la prueba demuestra cómo son los acusados y el querellante adversarios políticos en el Ayuntamiento de La Pobla Llarga, y cómo entre ellos parece existir también una animadversión personal, como se extrae de las declaraciones del acusado Llorca, que lleva a los acusados a buscar, y encontrar, un medio de desprestigiar políticamente al contrincante ante las, por entonces, venideras Elecciones Municipales de 2003, para lo cual utilizan a una persona, que, se extrae esto de la declaración prestada por Sanmacario, llena de vacíos e inexactitudes, pues se denegó en la instrucción la aportación de su historial médico, no debía estar en muy buenas condiciones mentales y que iba diciendo que el querellante lo había estafado en la compra de unos terrenos, pues le había afirmado que los mismos no serían urbanizables cuando, por su condición de concejal del Ayuntamiento, sabía que se iba a urbanizar, lo que llegó a oídos del acusado Llorca, que lo puso en conocimiento del otro acusado, Botella, Alcalde del pueblo, que le pidió que lo que le decía se lo trajera por escrito, confeccionando Llorca el escrito que obra, por copia, al folio 66, que firmó Sanmacario y Llorca entregó al Alcalde en mano y sin pasar por el registro del Ayuntamiento y, reuniendo al equipo de gobierno municipal, redactan una denuncia a Fiscalía, sosteniendo en ella que han tenido conocimiento de unos hechos que a continuación relatan y que integrarían un delito de tráfico de influencias y estafa cometido por Soler que habría, </w:t>
      </w:r>
      <w:r>
        <w:lastRenderedPageBreak/>
        <w:t xml:space="preserve">junto con otros, engañado a un labrador en la compra de unos terrenos, instando la recalificación de los mismos o bien sabiendo que se iban a recalificar. </w:t>
      </w:r>
    </w:p>
    <w:p w:rsidR="0052098F" w:rsidRDefault="0052098F" w:rsidP="0052098F">
      <w:pPr>
        <w:pStyle w:val="TextoNormal"/>
      </w:pPr>
      <w:r>
        <w:t xml:space="preserve">Esta es la denuncia fría que, tan pronto fue admitida a trámite en Fiscalía, se encargaron los acusados de filtrar a la prensa, tan útil a veces para, engañándola también, servir de vehículo o altavoz de la imputación, pues de otro modo no se alcanza el fin del delincuente. Así, el diario ‘Las Provincias’ publica que ‘El Fiscal investiga al líder del PP por la presunta compra fraudulenta de un terreno’, mientras que ‘Levante’ anuncia que ‘El edil de la Pobla Llarga investigado por una presunta estafa’ y ‘El País’ afirmaba que está siendo ‘Investigado un concejal del PP de la Pobla Llarga por tráfico de influencias’. Sin presunto siquiera. </w:t>
      </w:r>
    </w:p>
    <w:p w:rsidR="0052098F" w:rsidRDefault="0052098F" w:rsidP="0052098F">
      <w:pPr>
        <w:pStyle w:val="TextoNormal"/>
      </w:pPr>
      <w:r>
        <w:t xml:space="preserve">Es decir, que toda la prensa sabía y cualquiera conocía sin necesidad de conocer, como conoce este Tribunal, las circunstancias del caso, cuál era el delito que directamente, por menos que no se citase el tipo o tipos penales donde se describe, estaban imputando por los denunciados al querellante. </w:t>
      </w:r>
    </w:p>
    <w:p w:rsidR="0052098F" w:rsidRDefault="0052098F" w:rsidP="0052098F">
      <w:pPr>
        <w:pStyle w:val="TextoNormal"/>
      </w:pPr>
      <w:r>
        <w:t xml:space="preserve">La investigación en Fiscalía, visto lo insostenible y radicalmente falso de la imputación, fue archivada el catorce de abril de 2003”. </w:t>
      </w:r>
    </w:p>
    <w:p w:rsidR="0052098F" w:rsidRDefault="0052098F" w:rsidP="0052098F">
      <w:pPr>
        <w:pStyle w:val="TextoNormal"/>
      </w:pPr>
      <w:r>
        <w:t xml:space="preserve">Y continúa la Sentencia en el fundamento jurídico cuarto con la siguiente argumentación: </w:t>
      </w:r>
    </w:p>
    <w:p w:rsidR="0052098F" w:rsidRDefault="0052098F" w:rsidP="0052098F">
      <w:pPr>
        <w:pStyle w:val="TextoNormal"/>
      </w:pPr>
      <w:r>
        <w:t xml:space="preserve">“Pues bien, que era radicalmente falsa, y los denunciantes lo sabían, y sólo tenía, no se puede encontrar otra, una finalidad de revanchismo político o de destrucción al enemigo por linchamiento público, se extrae de datos que conocían los denunciantes, bien por haberlos investigado, bien por conocerlos por haber tenido conocimiento directo por ser concejales y vecinos del pueblo o bien, en el caso de Botella, y esto es más grave, por haber tenido conocimiento de ellos por su condición de Juez de Paz del pueblo. </w:t>
      </w:r>
    </w:p>
    <w:p w:rsidR="0052098F" w:rsidRDefault="0052098F" w:rsidP="0052098F">
      <w:pPr>
        <w:pStyle w:val="TextoNormal"/>
      </w:pPr>
      <w:r>
        <w:t xml:space="preserve">Que es La Pobla Llarga un pueblo es indudable, lo que se dice sin el más mínimo matiz peyorativo alabando esa calidad, y que en los pueblos se conoce y se sabe todo, es algo que no necesita demostración cercana a la entelequia, y se debía saber que se iba a modificar el PGOU y por donde iban las cosas y por donde irían las casas. Y Sanmacario lo debía de saber en los primeros días de 1989, cuando en documento privado vende a varias personas dos fincas, deja la determinación del precio a resultas de la recalificación de los terrenos, lo que a su vez es condición de la confirmación de la venta, pues si no hay recalificación, no hay venta, ni precio, ni pago. No estaba entonces engañado Sanmacario, sino que sabía que podía haber una recalificación. Y no lo estaba tampoco después cuando en 1994, ya con las calles y los polígonos trazados, otorga documento público y cobra el precio. </w:t>
      </w:r>
    </w:p>
    <w:p w:rsidR="0052098F" w:rsidRDefault="0052098F" w:rsidP="0052098F">
      <w:pPr>
        <w:pStyle w:val="TextoNormal"/>
      </w:pPr>
      <w:r>
        <w:t xml:space="preserve">Y las condiciones del contrato de 1989, y las circunstancias de hecho del 1994, eran perfectamente conocidas por los acusados cuando de manera absolutamente temeraria, proceden a fabricar una denuncia ante la Fiscalía y a darle publicidad. </w:t>
      </w:r>
    </w:p>
    <w:p w:rsidR="0052098F" w:rsidRDefault="0052098F" w:rsidP="0052098F">
      <w:pPr>
        <w:pStyle w:val="TextoNormal"/>
      </w:pPr>
      <w:r>
        <w:t xml:space="preserve">Sostiene el acusado Llorca que procedió él a confirmar la realidad de los hechos ante el Registro de la Propiedad y que constató la veracidad de los hechos, que podían tener posibilidad de certeza y ante ello acude al Alcalde. Pues bien, debía conocer por razón de su cargo, como debía conocer también el acusado Botella, que en todas las actuaciones relativas a la recalificación de la zona donde estaban los terrenos adquiridos por la esposa de Soler, y otros, este último se abstuvo de votar a favor de ello, habiendo participado al Pleno del Ayuntamiento que su abstención, sin perjuicio de reconocer lo acertado de la actuación, estaba justificada por su interés indirecto en la modificación del plan, y debían saber, porque la realidad física de los cuerpos no engaña, que cuando se otorga la escritura de compraventa, como antes se ha dicho, ya estaba realizada la urbanización, aun antes de la recalificación, con lo que era evidente para todos que aquello, la recalificación, no era algo oculto y a disposición de solo unos pocos, por lo que Sanmacario no podía sentirse engañado cuando acude al Notario de manera voluntaria a firmar, pues nada se le estaba ocultando, </w:t>
      </w:r>
      <w:r>
        <w:lastRenderedPageBreak/>
        <w:t xml:space="preserve">con lo que la existencia de un delito de estafa a Sanmacario, o un tráfico de influencias, era algo impensable y el deber cívico de denunciar delitos, que es en lo que los acusados se escudan para justificar su actuación, inexistente dejando a la vista un claro móvil ruin y delictivo. </w:t>
      </w:r>
    </w:p>
    <w:p w:rsidR="0052098F" w:rsidRDefault="0052098F" w:rsidP="0052098F">
      <w:pPr>
        <w:pStyle w:val="TextoNormal"/>
      </w:pPr>
      <w:r>
        <w:t xml:space="preserve">Y esto se acentúa más si cabe en el acusado Botella, Alcalde del pueblo, que, habiendo sido Juez de Paz, llegó a presidir un acto de conciliación en el que Sanmacario exponía todas las circunstancias del contrato privado de 1989 y exigía la determinación del precio, lo que se acordó por la intervención del Juez acercando a las partes. Y poco importa que los demandados fuesen uno de los compradores y ‘una tal’ Carmen Castelló, que resulta ser la esposa del Sr. Soler, pues por más que el acusado Botella fuese Alcalde sólo desde el 1995 hasta el 2003, no puede dejar de conocer que esa ‘tal’ era la mujer de un concejal, y no solo por lo pequeño del pueblo sino porque, a buen seguro, habría tenido ocasión de compartir en su calidad y condición de Juez de Paz alguna ocasión en las diferentes festividades a las que ambas autoridades, con señoras incluidas, son invitados. Y poco importa que no se sepa porqué no está su firma en el acta de conciliación, pues ello no supone la ausencia del acto, sino que, como sucede a veces, se le olvidó firmar o no se le pasó a la firma. Y además de esto, su actuación es totalmente temeraria. </w:t>
      </w:r>
    </w:p>
    <w:p w:rsidR="0052098F" w:rsidRDefault="0052098F" w:rsidP="0052098F">
      <w:pPr>
        <w:pStyle w:val="TextoNormal"/>
      </w:pPr>
      <w:r>
        <w:t xml:space="preserve">Dice que no lee ni siquiera el escrito que le presenta Llorca a sus manos y no al registro del Ayuntamiento, y sin leerlo le da credibilidad. Tal vez es porque le importaba poco lo que se le hubiese puesto a la firma a Sanmacario; poco importaba lo que allí se dijese, ni nada había que comprobar, simplemente se trataba de desprestigiar a un adversario político, aún a sabiendas que lo que se decía carecía absolutamente de contenido y era radicalmente falso, pues con una mínima crítica habría necesariamente comprendido que solo tenía en sus manos las manifestaciones de un, posiblemente, enfermo mental y, esto lo dice hasta el acusado Llorca, jugador que necesita dinero. Con este bagaje, se embarca el Alcalde en una delictiva aventura”. </w:t>
      </w:r>
    </w:p>
    <w:p w:rsidR="0052098F" w:rsidRDefault="0052098F" w:rsidP="0052098F">
      <w:pPr>
        <w:pStyle w:val="TextoNormal"/>
      </w:pPr>
      <w:r>
        <w:t xml:space="preserve">c) Los condenados promovieron un incidente de nulidad de actuaciones, desestimado por Auto de la Sección Segunda de la Audiencia Provincial de Valencia, de 15 de diciembre de 2005. </w:t>
      </w:r>
    </w:p>
    <w:p w:rsidR="0052098F" w:rsidRDefault="0052098F" w:rsidP="0052098F">
      <w:pPr>
        <w:pStyle w:val="TextoNormal"/>
      </w:pPr>
      <w:r>
        <w:t xml:space="preserve">El citado Auto rechaza en su fundamento jurídico tercero la existencia de la denunciada vulneración del artículo 24.2 CE, con relación a la doctrina del derecho a un juez imparcial. Sostiene que el conocimiento de las actuaciones, a través de los respectivos recursos establecidos contra las resoluciones del Juez de instrucción, no puede ser considerado como actividad instructora, y que “sólo puede sostenerse que una Sala no es objetivamente imparcial, cuando, suplantando al Juez de Instrucción, se subroga en las atribuciones de éste y pasa a dirigir las actuaciones, ordenando la investigación procesal y protagonizando el acopio de material probatorio, para conformar la acusación. Pero sucede que, en el caso que nos ocupa, la decisión de revocar el auto de sobreseimiento y archivo de unas diligencias previas se basa exclusivamente en el material probatorio que ya existía en la causa y en las dos decisiones adoptadas en orden a la práctica de otras pruebas complementarias, que para nada afectaban a la estructura fáctica de las investigaciones realizadas por la juez de instrucción. Los datos de hecho se han mantenido incólumes y han sido extraídos, en todo momento, de la base del escrito de acusación, sobre los que ha versado el objeto del proceso y el debate contradictorio realizado sobre las pruebas que se llevaron a efecto en el acto del juicio oral, perfectamente documentadas y documentales”. A ello se añade, con cita de la STC 11/2000, de 17 de enero, que “el Tribunal Constitucional entiende que la decisión de levantar un sobreseimiento y ordenar proseguir un procedimiento penal, no incluye necesariamente una imputación que tenga que transformarse luego en un juicio de culpabilidad, </w:t>
      </w:r>
      <w:r>
        <w:lastRenderedPageBreak/>
        <w:t xml:space="preserve">por lo que concluye que no se conculcó al recurrente el derecho a la imparcialidad objetiva del juzgador. Menos pues en el caso que nos ocupa, en el que el Magistrado Sr. Turiel sólo formó Sala para desestimar un recurso contra la decisión del instructor de continuar el proceso, con lo que en absoluto puede entenderse que se contaminase hasta el extremo de perder su imparcialidad, por lo que este primer motivo de nulidad ha de ser rechazado”. </w:t>
      </w:r>
    </w:p>
    <w:p w:rsidR="0052098F" w:rsidRDefault="0052098F" w:rsidP="0052098F">
      <w:pPr>
        <w:pStyle w:val="TextoNormal"/>
      </w:pPr>
      <w:r>
        <w:t xml:space="preserve">En el fundamento jurídico quinto se rechaza igualmente la vulneración del derecho a un proceso con todas las garantías y a la presunción de inocencia (art. 24.2 CE), sosteniendo que: </w:t>
      </w:r>
    </w:p>
    <w:p w:rsidR="0052098F" w:rsidRDefault="0052098F" w:rsidP="0052098F">
      <w:pPr>
        <w:pStyle w:val="TextoNormal"/>
      </w:pPr>
      <w:r>
        <w:t xml:space="preserve">“el Tribunal de apelación puede revisar, sin necesidad de vista nueva y audiencia a los que ya depusieron en la instancia, las alegaciones de error en la apreciación de la prueba, incluso contra sentencias absolutorias, siempre que se limite a ello, a la constatación del error y sobre la base de una alegación impugnatoria que establezca dónde, a juicio del apelante, se equivoca el silogismo del Juez a quo. </w:t>
      </w:r>
    </w:p>
    <w:p w:rsidR="0052098F" w:rsidRDefault="0052098F" w:rsidP="0052098F">
      <w:pPr>
        <w:pStyle w:val="TextoNormal"/>
      </w:pPr>
      <w:r>
        <w:t>Y por esto se decidió que el Tribunal se podía adentrar en el estudio del recurso que nos ocupa sin necesidad de celebrar nueva vista, que, en puridad, es un auténtico nuevo juicio que elimina el de instancia. Y en ese trance, resolviendo un recurso de apelación, entendió que el Juez a quo había cometido un clarísimo error en la apreciación de la prueba, todo ella documentada y documental, pues el delito está plasmado en unas actuaciones de la Fiscalía valenciana y, ejerciendo de manera plena y no viciada la jurisdicción, acordó revocar la Sentencia de instancia y condenar a los acusados como reos del delito de calumnias con publicidad”.</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Los recurrentes fundamentan su demanda de amparo en la vulneración del art. 24.2 CE, en una doble vertiente: </w:t>
      </w:r>
    </w:p>
    <w:p w:rsidR="0052098F" w:rsidRDefault="0052098F" w:rsidP="0052098F">
      <w:pPr>
        <w:pStyle w:val="TextoNormal"/>
      </w:pPr>
      <w:r>
        <w:t xml:space="preserve">En primer lugar, al no haberse respetado las garantías de publicidad, inmediación y contradicción en la valoración de las pruebas en segunda instancia —conforme a lo exigido por la STC 167/2002 y otras—, puesto que la Sentencia de la Audiencia Provincial de Valencia fundamenta su conclusión condenatoria en una nueva valoración de la credibilidad de las declaraciones de los acusados, sin el examen directo y personal de los mismos y de los testigos, afirmando a partir de ella la intencionalidad de los acusados de calumniar al querellante, por revanchismo político. Destaca la demanda que la modificación del relato de hechos probados llevada a cabo en apelación se limita a incorporar datos y referencias, a partir de documentos aportados por el querellante, sin extraer de ellos conclusión alguna que permita afirmar la concurrencia del elemento subjetivo del delito (animus calumniandi). Este se afirma en la fundamentación jurídica, a partir de esa nueva valoración de las declaraciones de los acusados (incluso del Sr. Sanmacario, fallecido antes del acto del juicio), llena de inexactitudes y presunciones (como la imputación de que el Sr. Sanmacario no estaba en buenas condiciones mentales), a partir de la cual deducen sus conocimientos e intenciones, en contra de lo afirmando por ellos y de lo declarado probado por el Juez de lo Penal. </w:t>
      </w:r>
    </w:p>
    <w:p w:rsidR="0052098F" w:rsidRDefault="0052098F" w:rsidP="0052098F">
      <w:pPr>
        <w:pStyle w:val="TextoNormal"/>
      </w:pPr>
      <w:r>
        <w:t xml:space="preserve">En segundo lugar, se denuncia la vulneración del derecho al juez imparcial, por cuanto el Magistrado don Carlos Turiel Sandín, que integró la Sala que dicta la Sentencia condenatoria, con anterioridad había tenido conocimiento de los hechos enjuiciados, al formar también parte de la Sala que desestimó, mediante Auto de 14 de junio de 2004, el recurso de apelación interpuesto contra el Auto por el que el Juez instructor revoca el sobreseimiento libre inicialmente acordado. En ese Auto de 14 de junio de 2004, que se aporta junto con la demanda y se reproduce parcialmente, se refleja un grado de implicación y conocimiento </w:t>
      </w:r>
      <w:r>
        <w:lastRenderedPageBreak/>
        <w:t xml:space="preserve">de las actuaciones que, a juicio de los recurrentes, impedían al magistrado en cuestión formar parte de la Sala de enjuiciamiento posterior con la imparcialidad exigible. </w:t>
      </w:r>
    </w:p>
    <w:p w:rsidR="0052098F" w:rsidRDefault="0052098F" w:rsidP="0052098F">
      <w:pPr>
        <w:pStyle w:val="TextoNormal"/>
      </w:pPr>
      <w:r>
        <w:t>En el suplico de la demanda se solicita el otorgamiento del amparo y la declaración de nulidad de la Sentencia y el Auto recurridos.</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8 de mayo de 2007, la Sala Segunda acordó conocer del presente recurso de amparo, admitir a trámite la demanda y, a tenor de lo dispuesto en el art. 51 LOTC, requerir al Juzgado de lo Penal núm. 12 de Valencia y a la Sección Segunda de la Audiencia Provincial de Valencia para que en el plazo de diez días remitieran certificación o fotocopia adverada de las actuaciones correspondientes al procedimiento abreviado número 85-2005 y al rollo de apelación núm. 1223-2005, respectivamente, interesándose al tiempo que se emplazara a quienes fueron parte en el procedimiento, a excepción de los recurrentes en amparo, para que en el plazo de diez días pudieran comparecer en este proceso constitucional.</w:t>
      </w:r>
    </w:p>
    <w:p w:rsidR="0052098F" w:rsidRDefault="0052098F" w:rsidP="0052098F">
      <w:pPr>
        <w:pStyle w:val="TextoNormal"/>
      </w:pPr>
    </w:p>
    <w:p w:rsidR="0052098F" w:rsidRDefault="0052098F" w:rsidP="0052098F">
      <w:pPr>
        <w:pStyle w:val="TextoNormal"/>
      </w:pPr>
      <w:r w:rsidRPr="0052098F">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18 de junio de 2007, la Sala Segunda acordó acceder a la suspensión solicitada, en lo relativo a las penas privativas de libertad impuestas, accesoria legal y publicación a costa de los condenados de los hechos probados y el fallo de la Sentencia, denegando la suspensión respecto de los demás pronunciamientos.</w:t>
      </w:r>
    </w:p>
    <w:p w:rsidR="0052098F" w:rsidRDefault="0052098F" w:rsidP="0052098F">
      <w:pPr>
        <w:pStyle w:val="TextoNormal"/>
      </w:pPr>
    </w:p>
    <w:p w:rsidR="0052098F" w:rsidRDefault="0052098F" w:rsidP="0052098F">
      <w:pPr>
        <w:pStyle w:val="TextoNormal"/>
      </w:pPr>
      <w:r w:rsidRPr="0052098F">
        <w:rPr>
          <w:rStyle w:val="NumeroAFNegritaCaracter"/>
        </w:rPr>
        <w:t>6</w:t>
      </w:r>
      <w:r>
        <w:t>. Mediante una diligencia de ordenación de 23 de julio de 2007 se acordó tener por personada y parte en el procedimiento a la Procuradora doña María Luz Albácar Medina, en nombre y representación de don Rafael Soler Vert. Igualmente se acordó dar vista de las actuaciones recibidas a las partes personadas y al Ministerio Fiscal por plazo común de veinte días, dentro de los cuales podrían presentar las alegaciones que estimen pertinentes; conforme determina el art. 52.1 LOTC.</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La representación procesal de los demandantes de amparo formuló sus alegaciones mediante escrito que tuvo su entrada en el Registro General de este Tribunal el día 7 de septiembre de 2007, en el que sustancialmente reproduce los argumentos ya expuestos en la demanda. </w:t>
      </w:r>
    </w:p>
    <w:p w:rsidR="0052098F" w:rsidRDefault="0052098F" w:rsidP="0052098F">
      <w:pPr>
        <w:pStyle w:val="TextoNormal"/>
      </w:pPr>
      <w:r>
        <w:t xml:space="preserve">Insisten los recurrentes en que la condena se funda en una nueva valoración de las declaraciones de los imputados y de las pruebas testificales, a partir de las cuales deducen los conocimientos e intenciones de los querellados, sin la necesaria inmediación, que sí tuvo el Juez de lo Penal, que les absolvió en primera instancia. </w:t>
      </w:r>
    </w:p>
    <w:p w:rsidR="0052098F" w:rsidRDefault="0052098F" w:rsidP="0052098F">
      <w:pPr>
        <w:pStyle w:val="TextoNormal"/>
      </w:pPr>
      <w:r>
        <w:t>Por otra parte, y en relación con la alegada vulneración del derecho al juez imparcial, se destaca que el Magistrado Sr. Turiel no figuraba inicialmente como miembro de la Sala que había de enjuiciar en recurso de apelación, lo que privó a la parte de la posibilidad de recusarlo por su anterior intervención en la causa.</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día 25 de septiembre de 2007, la representación procesal de don Rafael Soler Vert presentó sus alegaciones, instando la denegación del amparo solicitado, sobre la base de los </w:t>
      </w:r>
      <w:r>
        <w:lastRenderedPageBreak/>
        <w:t xml:space="preserve">argumentos expuestos en los fundamentos de derecho tercero y quinto del Auto de 15 de diciembre de 2005. </w:t>
      </w:r>
    </w:p>
    <w:p w:rsidR="0052098F" w:rsidRDefault="0052098F" w:rsidP="0052098F">
      <w:pPr>
        <w:pStyle w:val="TextoNormal"/>
      </w:pPr>
      <w:r>
        <w:t xml:space="preserve">Se rechaza, en primer lugar, la denunciada vulneración del derecho al juez imparcial, por entender que en el presente caso la actuación del Magistrado don Carlos Turiel Sandín se limitó a formar parte de la Sala que desestimó el recurso de apelación interpuesto contra el Auto del Juzgado Instructor que dejaba sin efecto el sobreseimiento de las actuaciones, sin ni siquiera actuar como Ponente. Por tanto, su participación no puede considerarse una participación directa en la investigación de los hechos, que es la que puede provocar prejuicios respecto del acusado que influyan a la hora de dictar Sentencia. </w:t>
      </w:r>
    </w:p>
    <w:p w:rsidR="0052098F" w:rsidRDefault="0052098F" w:rsidP="0052098F">
      <w:pPr>
        <w:pStyle w:val="TextoNormal"/>
      </w:pPr>
      <w:r>
        <w:t>Igualmente se rechaza la vulneración del derecho a un proceso con todas las garantías, por entender que el recurso de apelación permite la revisión de las pruebas practicadas en la primera instancia y la modificación del relato de hechos probados, sin que ello vulnere los principios de inmediación y contradicción.</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día 3 de octubre de 2007 presentó sus alegaciones el Ministerio Fiscal, interesando la estimación del recurso de amparo, tanto por vulneración del derecho al Juez imparcial, como por vulneración de los derechos a un proceso con todas las garantías y a la presunción de inocencia (art. 24.2 CE). </w:t>
      </w:r>
    </w:p>
    <w:p w:rsidR="0052098F" w:rsidRDefault="0052098F" w:rsidP="0052098F">
      <w:pPr>
        <w:pStyle w:val="TextoNormal"/>
      </w:pPr>
      <w:r>
        <w:t xml:space="preserve">En primer lugar, tras recordar la jurisprudencia de este Tribunal y del Tribunal Europeo de Derechos Humanos acerca de la imparcialidad objetiva, y destacar la necesidad de analizar de forma particularizada el contenido y los efectos de la resolución que se estima limitadora de la imparcialidad judicial para el fallo definitivo de la causa, destaca el Fiscal que, “en principio, el auto que resuelve el recurso de apelación, no tiene un mero carácter revisor en función de lo alegado por el entonces recurrente, sino que por el contrario, y a la vista del contenido del apartado a) del fundamento de Derecho segundo, lo que se realiza es una valoración del material probatorio de apreciable entidad”. Y tras reproducir literalmente su contenido afirma que “resulta evidente la existencia de un análisis de no desdeñable entidad en relación con el material probatorio recogido en la causa, en virtud del cual se extraen determinadas conclusiones que resultan prácticamente idénticas a algunas de las observadas finalmente en la sentencia de apelación. De manera que el Magistrado interviniente en el dictado de las dos resoluciones ahora cuestionadas, pudo generar sin duda al deliberar sobre el contenido de la primera, determinados prejuicios más tarde trasladados al tiempo de dictarse la segunda, resultando así afectada su imparcialidad y por lo tanto, apareciendo en opinión del Fiscal, vulnerado el derecho al Juez imparcial que protege el art. 24.2 CE”. </w:t>
      </w:r>
    </w:p>
    <w:p w:rsidR="0052098F" w:rsidRDefault="0052098F" w:rsidP="0052098F">
      <w:pPr>
        <w:pStyle w:val="TextoNormal"/>
      </w:pPr>
      <w:r>
        <w:t xml:space="preserve">No obstante lo anterior, y para el caso de que el Tribunal no estimase esta alegación, analiza la relativa al derecho a un proceso con todas las garantías y a la presunción de inocencia, concluyendo que también se ha producido la vulneración de estos derechos fundamentales. Recuerda el Fiscal que, a partir de la STC 167/2002, el Tribunal adopta un nuevo criterio conforme al cual estima lesionado el art. 24.2 CE en los casos en que tras una sentencia absolutoria de instancia, el órgano de apelación dicta sentencia condenatoria sobre la base de una nueva valoración de las pruebas practicadas en la instancia y sin tener inmediación sobre aquellas que fundamentan el fallo condenatorio. Ciertamente, con base en la STC 230/2002, cuando se trata de acreditar los elementos subjetivos del delito, ánimos o tendencias, ello sólo puede hacerse a través de prueba indirecta. Y cuando las inferencias del órgano revisor se deducen de los mismos hechos declarados probados por el inferior, de los que se extraen distintas conclusiones, ello no vulnera las garantías del proceso justo. Sin embargo, en el presente caso, el órgano de apelación no se limita a extraer conclusiones de los hechos declarados probados en la Sentencia de instancia, o bien de la prueba documental </w:t>
      </w:r>
      <w:r>
        <w:lastRenderedPageBreak/>
        <w:t>documentada en autos. De la simple lectura de los fundamentos de derecho de la Sentencia de apelación primero, tercero y cuarto se desprende que la Sala parte de nuevos y diferentes elementos fácticos, que se derivan de una nueva valoración de la prueba careciendo de inmediación, y en consecuencia, lesionándose el derecho a un proceso con todas las garantías y el derecho a la presunción de inocencia, puesto que el órgano de apelación se basa necesariamente en las pruebas de carácter personal no practicadas en su presencia, aun cuando añada determinados elementos derivados de la documental obrante en autos, para sustentar la condena.</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21 de febrero de 2008, se señaló para la deliberación y votación de la presente Sentencia el día 25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presente recurso de amparo se dirige contra el Auto de 15 de diciembre de 2005, que desestima el incidente de nulidad de actuaciones promovido contra la Sentencia de 29 de septiembre de 2005, dictada por la Sala Segunda de la Audiencia Provincial de Valencia que, tras anular la Sentencia absolutoria dictada en la instancia, condenó a los demandantes de amparo como autores de un delito de calumnias.</w:t>
      </w:r>
    </w:p>
    <w:p w:rsidR="0052098F" w:rsidRDefault="0052098F" w:rsidP="0052098F">
      <w:pPr>
        <w:pStyle w:val="TextoNormal"/>
      </w:pPr>
      <w:r>
        <w:t>En la demanda de amparo se denuncia la vulneración del art. 24.2 CE, en una doble vertiente. En primer lugar, al no haberse respetado las garantías de publicidad, inmediación y contradicción en la valoración de las pruebas en segunda instancia que sustentan la condena, conforme a lo exigido por la STC 167/2002 y las que posteriormente aplican esta doctrina. En segundo lugar, por vulneración del derecho al Juez imparcial, ya que uno de los Magistrados que integró la Sala que dicta la Sentencia condenatoria había tenido conocimiento de los hechos enjuiciados con anterioridad, al formar también parte de la Sala que desestimó, mediante Auto de 14 de junio de 2004, el recurso de apelación interpuesto contra el Auto por el que el Juez instructor revoca el sobreseimiento libre inicialmente acordado.</w:t>
      </w:r>
    </w:p>
    <w:p w:rsidR="0052098F" w:rsidRDefault="0052098F" w:rsidP="0052098F">
      <w:pPr>
        <w:pStyle w:val="TextoNormal"/>
      </w:pPr>
      <w:r>
        <w:t>El Ministerio Fiscal considera concurrentes tanto la vulneración del derecho al juez imparcial, como la del derecho al proceso con todas las garantías y a la presunción de inocencia.</w:t>
      </w:r>
    </w:p>
    <w:p w:rsidR="0052098F" w:rsidRDefault="0052098F" w:rsidP="0052098F">
      <w:pPr>
        <w:pStyle w:val="TextoNormal"/>
      </w:pPr>
    </w:p>
    <w:p w:rsidR="0052098F" w:rsidRDefault="0052098F" w:rsidP="0052098F">
      <w:pPr>
        <w:pStyle w:val="TextoNormal"/>
      </w:pPr>
      <w:r w:rsidRPr="0052098F">
        <w:rPr>
          <w:rStyle w:val="NumeroAFNegritaCaracter"/>
        </w:rPr>
        <w:t>2</w:t>
      </w:r>
      <w:r>
        <w:t>. Este Tribunal ha reiterado que la imparcialidad judicial forma parte de las garantías básicas del proceso (art. 24.2 CE), constituyendo incluso la primera de ellas, por cuanto condiciona la existencia misma de la función jurisdiccional (por todas, STC 38/2003, de 27 de febrero, FJ 3; 39/2004, de 22 de marzo, FJ 3; 156/2007, de 2 de julio, FJ 6). Junto a la dimensión más evidente de la imparcialidad judicial, que es la que se refiere a la ausencia de una relación del Juez con las partes que pueda suscitar un interés previo en favorecerlas o perjudicarlas, convive su vertiente objetiva, que es la ahora discutida, que se dirige a garantizar que los Jueces y Magistrados que intervengan en la resolución de una causa se acerquen a la misma sin prevenciones ni prejuicios en su ánimo derivados de una relación o contacto previos con el objeto del proceso.</w:t>
      </w:r>
    </w:p>
    <w:p w:rsidR="0052098F" w:rsidRDefault="0052098F" w:rsidP="0052098F">
      <w:pPr>
        <w:pStyle w:val="TextoNormal"/>
      </w:pPr>
      <w:r>
        <w:t xml:space="preserve">Ahora bien, como recordábamos en la STC 39/2004, de 22 de marzo, FJ 3, “la determinación de cuáles son las circunstancias concretas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w:t>
      </w:r>
      <w:r>
        <w:lastRenderedPageBreak/>
        <w:t>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ya sea ésta indiciaria y provisional, como la que se produce en los Autos de inculpación y procesamiento, ya se efectúe de forma preventiva, como acaece al acordar la adopción de medidas cautelares (STC 310/2000, de 18 de diciembre, FJ 4)”.</w:t>
      </w:r>
    </w:p>
    <w:p w:rsidR="0052098F" w:rsidRDefault="0052098F" w:rsidP="0052098F">
      <w:pPr>
        <w:pStyle w:val="TextoNormal"/>
      </w:pPr>
      <w:r>
        <w:t>En definitiva, a los efectos que aquí interesan y en al ámbito penal, al margen de los supuestos de realización de actividades de instrucción en sentido estricto, nuestra jurisprudencia ha asumido la doctrina del Tribunal Europeo de Derechos Humanos (desde STEDH de 24 de mayo de 1989, caso Hauschildt c. Dinamarca, § 52), conforme a la cual la realización por el Juez de cualquier decisión previa al enjuiciamiento conectada con la causa no determina la pérdida de su imparcialidad, sino que esto sólo se producirá cuando la actividad jurisdiccional previa haya supuesto la exteriorización de un juicio anticipado de culpabilidad, aunque sea de carácter indiciario o provisional, lo que ha de enjuiciarse en atención a las circunstancias del caso y a los términos empleados en el pronunciamiento previamente emitido.</w:t>
      </w:r>
    </w:p>
    <w:p w:rsidR="0052098F" w:rsidRDefault="0052098F" w:rsidP="0052098F">
      <w:pPr>
        <w:pStyle w:val="TextoNormal"/>
      </w:pPr>
      <w:r>
        <w:t>En aplicación de este criterio, hemos sostenido que no cabe apreciar vulneración en los supuestos de ratificación en segunda instancia de una decisión previa de inculpación, cuando la ratificación se basa en que la imputación se halla razonablemente fundada, en tanto que ello no implica anticipar juicio alguno sobre la responsabilidad penal del acusado, ni cabe apreciar en el caso la existencia de un contacto directo con el acusado ni con las pruebas (SSTC 39/2004, de 22 de marzo, FJ 4; 156/2007, de 2 de julio, FJ 6). Una afirmación que estas Sentencias ponen en conexión con la jurisprudencia del Tribunal Europeo de Derechos Humanos, que llegó a la misma conclusión en la Resolución de inadmisión de 2 de marzo de 2000, caso Garrido Guerrero c.  España, al entender que, si bien uno de los miembros del órgano de enjuiciamiento formó también parte del órgano que confirmó en apelación el procesamiento, por lo que hizo suyos sus razonamientos, debían considerarse en el supuesto de hecho contemplado los límites del acto de inculpación, su carácter de resolución formal y provisional, que no prejuzgaba en nada la solución del litigio, ni en cuanto a la calificación de los hechos que se discutían, ni en cuanto a la culpabilidad del inculpado. Recordando también que, sin embargo, la STEDH de 28 de octubre de 1997, caso Castillo Algar c. España, consideró vulnerado el derecho a la imparcialidad judicial porque en el caso enjuiciado dos miembros del órgano de enjuiciamiento habían confirmado en apelación el Auto de procesamiento en términos que podían llevar a pensar que hacían suyo el punto de vista adoptado previamente por el Tribunal Supremo (el cual había revocado una previa decisión de sobreseimiento) de que existían indicios suficientes que permitían concluir que se había cometido un delito.</w:t>
      </w:r>
    </w:p>
    <w:p w:rsidR="0052098F" w:rsidRDefault="0052098F" w:rsidP="0052098F">
      <w:pPr>
        <w:pStyle w:val="TextoNormal"/>
      </w:pPr>
      <w:r>
        <w:t>En definitiva, de la jurisprudencia anteriormente expuesta puede concluirse que lo relevante para poder apreciar la vulneración del derecho al juez imparcial, en supuestos como el que nos ocupa, es comprobar si la decisión adoptada por un Juez que posteriormente conoce de la causa se fundamenta en valoraciones que, aun cuando provisionales, resulten sustancialmente idénticas a las que serían propias de un juicio de fondo sobre la responsabilidad penal, exteriorizando, de ese modo, un pronunciamiento anticipado que prejuzgue la solución del litigio (por todas, SSTC 39/2004, de 22 de marzo, FJ 3; 41/2005, de 28 de febrero, FJ 3; 26/2007, de 12 de febrero, FJ 4).</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3</w:t>
      </w:r>
      <w:r>
        <w:t>. En el presente caso, el Juzgado de Instrucción núm. 3 de Alzira dictó un Auto de fecha 14 de enero de 2004, por el que se acordaba el sobreseimiento de las diligencias previas 590-2003. Contra dicha resolución se interpuso recurso de reforma, estimado por Auto de 1 de marzo de 2004, que dejaba sin efecto la anterior decisión. Y contra este Auto interpuso recurso de apelación don José María Botella Alfaro.</w:t>
      </w:r>
    </w:p>
    <w:p w:rsidR="0052098F" w:rsidRDefault="0052098F" w:rsidP="0052098F">
      <w:pPr>
        <w:pStyle w:val="TextoNormal"/>
      </w:pPr>
      <w:r>
        <w:t>Dicho recurso fue desestimado por Auto de 14 de junio de 2004, dictado por la Sección Tercera de la Audiencia Provincial de Valencia, de la que formaba parte el Magistrado don Carlos Turiel Sandín, confirmando íntegramente la resolución recurrida.  En su razonamiento jurídico segundo, el Auto señala lo siguiente:</w:t>
      </w:r>
    </w:p>
    <w:p w:rsidR="0052098F" w:rsidRDefault="0052098F" w:rsidP="0052098F">
      <w:pPr>
        <w:pStyle w:val="TextoNormal"/>
      </w:pPr>
      <w:r>
        <w:t>“Del estudio de la resolución recurrida, de las alegaciones de las partes y de las diligencias practicadas, se pueden establecer las siguientes consideraciones:</w:t>
      </w:r>
    </w:p>
    <w:p w:rsidR="0052098F" w:rsidRDefault="0052098F" w:rsidP="0052098F">
      <w:pPr>
        <w:pStyle w:val="TextoNormal"/>
      </w:pPr>
      <w:r>
        <w:t>A) No cabe duda de que ha sido amplia la tramitación investigatoria efectuada, practicándose las diligencias suficientes para la decisión tomada por el Juzgado de continuar con las actuaciones, pues el escrito encabezado por el recurrente, conjuntamente con otros concejales, entre los que se encuentra el otro querellado, dirigido a la Fiscalía del T.S.J.C.V., presumiblemente, recoge una atribución al querellante de conducta delictiva, cuando la resultancia probatoria destaca la alta probabilidad del conocimiento del contrato celebrado entre los Sres. Sanmacario y Soler, lo que añadido a que la denuncia del primero fue redactada por el imputado Sr. Llorca, y que la comunicación a la Fiscalía se hizo en tiempo sospechoso, por la proximidad de las elecciones municipales, en las que estaban implicados todos los referidos, dándose por los querellados amplia difusión periodística de tal evento; y todas estas circunstancias, sobradamente evidenciadas en la investigación comentada fundamenta la incidencia de indicios suficientes para el enjuiciamiento peticionado por la parte querellante e imponen el mantenimiento de la resolución cuestionada en esta alzada.</w:t>
      </w:r>
    </w:p>
    <w:p w:rsidR="0052098F" w:rsidRDefault="0052098F" w:rsidP="0052098F">
      <w:pPr>
        <w:pStyle w:val="TextoNormal"/>
      </w:pPr>
      <w:r>
        <w:t>Y B) En atención a los planteamientos sostenidos en el apartado anterior, procede respaldar los razonamientos consignados en la resolución recurrida, por cuanto las tesis impugnatorias, alegadas en el presente recurso, no desvirtúan el contenido de la resolución, como queda dicho más arriba; todo lo cual constituye base suficiente para rechazar la pretensión deducida por el recurrente, desestimando el presente recurso, y confirmar la resolución cuestionada”.</w:t>
      </w:r>
    </w:p>
    <w:p w:rsidR="0052098F" w:rsidRDefault="0052098F" w:rsidP="0052098F">
      <w:pPr>
        <w:pStyle w:val="TextoNormal"/>
      </w:pPr>
      <w:r>
        <w:t>Posteriormente, el citado Magistrado formó parte también de la Sala que resolvió el recurso de apelación contra la Sentencia absolutoria de instancia y que, estimándolo, condenó a los ahora demandantes de amparo como autores de un delito de calumnias, con la argumentación reproducida parcialmente en los antecedentes de hecho de esta resolución. Una intervención que los recurrentes sólo conocieron al serles notificada la Sentencia condenatoria, pues —como se expone en la demanda y se desprende del examen de las actuaciones—, la única resolución notificada a las partes con anterioridad en la tramitación del recurso de apelación es una providencia de 8 de septiembre de 2005, por la que se turnaba la Ponencia a la Magistrada doña Carmen Llombart Pérez y en la que figuraban como componentes de la Sala los Magistrados don José María Tomás Tío y don José Andrés Escribano Parreño, composición alterada posteriormente sin notificación alguna a los recurrentes previa a la de la Sentencia. En tales circunstancias, no puede reprocharse a los recurrentes que no promovieran incidente de recusación contra el citado Magistrado (STC 41/2005, de 28 de febrero, FJ 5).</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A la luz de la doctrina expuesta, debemos valorar si la intervención de dicho Magistrado en la Sala que confirmó en apelación el Auto que revocaba el sobreseimiento, vistas las circunstancias del caso y los términos empleados en el pronunciamiento previamente </w:t>
      </w:r>
      <w:r>
        <w:lastRenderedPageBreak/>
        <w:t>emitido, permite considerar justificadas las dudas de los recurrentes acerca de su imparcialidad.</w:t>
      </w:r>
    </w:p>
    <w:p w:rsidR="0052098F" w:rsidRDefault="0052098F" w:rsidP="0052098F">
      <w:pPr>
        <w:pStyle w:val="TextoNormal"/>
      </w:pPr>
      <w:r>
        <w:t>Pues bien, de la mera lectura del citado Auto se desprende que las valoraciones en él contenidas no son sustancialmente idénticas a las propias de un juicio de fondo sobre la responsabilidad penal en el caso concreto, exteriorizando un pronunciamiento anticipado al respecto que prejuzgue la solución del litigio. Como recordábamos en la STC 11/2000, de 17 de enero, FJ 5, “una decisión de levantar el sobreseimiento ordenando proseguir un procedimiento penal no incluye necesariamente una imputación que tenga que transformarse luego en un juicio de culpabilidad”; lo que resulta también predicable —con mayores razones— de una decisión que se limita a confirmar la decisión de levantar el sobreseimiento. Y si bien en otras resoluciones posteriores este Tribunal ha considerado vulnerado el derecho al juez imparcial por la contaminación derivada de la adopción de decisiones relativas a la revocación de una decisión de sobreseimiento, lo ha hecho en atención a las circunstancias de cada caso concreto y valorando que las cuestiones ya resueltas eran sustancialmente idénticas o muy cercanas a aquellas que debían ser objeto de pronunciamiento o resolución en el enjuiciamiento sobre el fondo, lo que no se produce en el presente caso. En efecto, ni en el Auto presuntamente contaminante se fija un relato fáctico deducido de las diligencias de investigación a partir del análisis del material instructor para determinar la naturaleza y circunstancias de los hechos y las personas que en ellos habían intervenido (como ocurría en el supuesto de la STC 41/2005, de 28 de febrero, FJ 5, y en el de la STC 156/2007, de 2 de julio, FJ 7, si bien referido a la confirmación de un Auto de procesamiento), ni se analiza la concurrencia de los elementos del tipo (a diferencia de lo que ocurría en los supuestos de las SSTC 39/2004, de 22 de marzo, FJ 7, y 41/2005, de 28 de febrero, FJ 5), ni se utilizan argumentos idénticos a aquellos que sustentan la condena posterior (a diferencia de la STC 26/2007, de 12 de febrero, FJ 6), ni siquiera se realiza una calificación jurídica, aunque fuera provisional, de la conducta (como también ocurría en el supuesto de la STC 41/2005, de 28 de febrero, FJ 5).</w:t>
      </w:r>
    </w:p>
    <w:p w:rsidR="0052098F" w:rsidRDefault="0052098F" w:rsidP="0052098F">
      <w:pPr>
        <w:pStyle w:val="TextoNormal"/>
      </w:pPr>
      <w:r>
        <w:t xml:space="preserve">Por el contrario, el Auto en cuestión se limita a “respaldar los razonamientos consignados en la resolución recurrida”, que se confirma, tras constatar que se han practicado diligencias suficientes para sustentar la decisión del Juez Instructor de continuar con las actuaciones. A ello se añade, por una parte, que en el escrito remitido a la Fiscalía por los recurrentes se atribuía al querellante una conducta presuntamente delictiva (lo que resulta obvio, dado que la conducta que se imputaba a los recurrentes era precisamente la de interponer una denuncia ante la Fiscalía); que la “resultancia probatoria” destaca la alta probabilidad de conocimiento del contrato cuya irregularidad se denuncia y que la comunicación a la Fiscalía se hace ante la proximidad de las elecciones municipales, dándosele amplia difusión periodística. A partir de la constatación de la existencia de esos datos obrantes en las actuaciones se entiende justificada la decisión del Juez instructor de continuar el procedimiento, y permitir el enjuiciamiento solicitado por el querellante, para que fuera en el juicio oral donde se valorasen los mismos. Pero tal razonamiento no prejuzga la solución del litigio, ni en cuanto a la calificación jurídica de los hechos (entre otras razones, porque, como en todos los delitos de expresión, resultaba clave para la solución del caso la valoración de los límites impuestos por las libertades de expresión e información que podían estar en juego, cuyo ejercicio excluiría toda posibilidad de sanción penal, como cuestión previa al examen de los elementos del tipo, como pone de relieve la propia Sentencia condenatoria, en su fundamento jurídico quinto, con cita de la STC 2/2001, de 15 de enero), ni en cuanto a la culpabilidad de los querellados, puesto que los datos manejados no podrían por sí solos sustentar </w:t>
      </w:r>
      <w:r>
        <w:lastRenderedPageBreak/>
        <w:t>la condena, a la vista de la complejidad del caso, como demuestra la larguísima argumentación de la Sentencia condenatoria y los múltiples datos que maneja.</w:t>
      </w:r>
    </w:p>
    <w:p w:rsidR="0052098F" w:rsidRDefault="0052098F" w:rsidP="0052098F">
      <w:pPr>
        <w:pStyle w:val="TextoNormal"/>
      </w:pPr>
      <w:r>
        <w:t>En consecuencia, entendemos que en el presente caso no se ha vulnerado el derecho a la imparcialidad objetiva del juzgador recogido en el art. 24.2 CE.</w:t>
      </w:r>
    </w:p>
    <w:p w:rsidR="0052098F" w:rsidRDefault="0052098F" w:rsidP="0052098F">
      <w:pPr>
        <w:pStyle w:val="TextoNormal"/>
      </w:pPr>
    </w:p>
    <w:p w:rsidR="0052098F" w:rsidRDefault="0052098F" w:rsidP="0052098F">
      <w:pPr>
        <w:pStyle w:val="TextoNormal"/>
      </w:pPr>
      <w:r w:rsidRPr="0052098F">
        <w:rPr>
          <w:rStyle w:val="NumeroAFNegritaCaracter"/>
        </w:rPr>
        <w:t>5</w:t>
      </w:r>
      <w:r>
        <w:t>. Se alega también en la demanda de amparo una segunda vulneración del art. 24.2 CE, al no haberse respetado las garantías de publicidad, inmediación y contradicción en la valoración de las pruebas en segunda instancia —conforme a lo exigido por la doctrina sentada por la STC 167/2002, de 18 de septiembre—, puesto que la Sentencia de la Audiencia Provincial de Valencia sustenta su conclusión condenatoria en una nueva valoración de la credibilidad de las declaraciones de los acusados, sin el examen directo y personal de los mismos y de los testigos, afirmando a partir de ella la intencionalidad de aquéllos de calumniar al querellante, por revanchismo político.</w:t>
      </w:r>
    </w:p>
    <w:p w:rsidR="0052098F" w:rsidRDefault="0052098F" w:rsidP="0052098F">
      <w:pPr>
        <w:pStyle w:val="TextoNormal"/>
      </w:pPr>
      <w:r>
        <w:t>Constituye ya consolidada doctrina de este Tribunal, que parte de la Sentencia de Pleno 167/2002, de 18 de septiembre, FFJJ 9 a 11, y es seguida en numerosas Sentencias posteriores (entre las últimas, SSTC 74/2006, de 13 de marzo; 217/2006, de 3 de julio; 196/2007, de 11 de septiembre; 207/2007, de 24 de septiembre), que el derecho fundamental del acusado a un proceso con todas las garantías (art. 24.2 CE) exige que la valoración de las pruebas que consistan en un testimonio personal sólo pueda ser realizada por el órgano judicial ante el que se practiquen, y siempre que además dicha práctica se realice en condiciones plenas de contradicción y publicidad. Por ello, hemos apreciado vulneración de este derecho fundamental en los supuestos en que, tras ser dictada una sentencia penal absolutoria en primera instancia, la misma es revocada en apelación y dictada una sentencia condenatoria que se sustenta en una diferente valoración de la credibilidad de testimonios (declaraciones de los acusados o declaraciones testificales), medios de prueba que, por su carácter personal, no podían ser valorados de nuevo sin el examen directo y personal de los acusados o los testigos, en un debate público en el que se respete la posibilidad de contradicción.</w:t>
      </w:r>
    </w:p>
    <w:p w:rsidR="0052098F" w:rsidRDefault="0052098F" w:rsidP="0052098F">
      <w:pPr>
        <w:pStyle w:val="TextoNormal"/>
      </w:pPr>
      <w:r>
        <w:t>Más en concreto, y por lo que se refiere a la valoración de pruebas indiciarias, este Tribunal ha declarado que, cuando el órgano de apelación se limita a rectificar la inferencia realizada por el de instancia, a partir de unos hechos base que resultan acreditados en ésta, estamos ante una cuestión que puede resolverse adecuadamente sobre la base de lo actuado, sin que sea necesario, para garantizar un proceso justo, la reproducción del debate público y la inmediación (SSTC 170/2002, de 30 de septiembre, FJ 15; 113/2005, de 9 de mayo, FFJJ 3, 4 y 5; 119/2005, de 9 de mayo, FJ 3; 74/2006, de 13 de marzo, FJ 3; 43/2007, de 26 de febrero, FJ 5; 19672007, de 11 de septiembre, FJ 2; SSTEDH de 29 de octubre de 1991, caso Jan Ake Andersson c.  Suecia; caso Fedje c. Suecia; 5 de diciembre de 2002, caso Hoppe c. Alemania). Pero también hemos afirmado que concurre la vulneración del derecho a un proceso con todas las garantías cuando, en la segunda instancia, y sobre la base de indicios que provienen inequívocamente de una valoración de pruebas personales, se corrigen las conclusiones del órgano a quo, sin celebrar nueva vista ni haber podido, por tanto, examinar directa y personalmente dichas pruebas (SSTC 189/2003, de 27 de octubre, FJ 5; 114/2006, de 5 de abril, FJ 2; 217/2006, de 3 de julio, FJ 1).</w:t>
      </w:r>
    </w:p>
    <w:p w:rsidR="0052098F" w:rsidRDefault="0052098F" w:rsidP="0052098F">
      <w:pPr>
        <w:pStyle w:val="TextoNormal"/>
      </w:pPr>
      <w:r>
        <w:t xml:space="preserve">Por lo demás, la valoración de pruebas personales sin la concurrencia de estas garantías elementales significará también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w:t>
      </w:r>
      <w:r>
        <w:lastRenderedPageBreak/>
        <w:t>motivación, se constate que dicha prueba era esencial para llegar a la conclusión fáctica incriminatoria, de modo que con su exclusión la inferencia de dicha conclusión devenga ilógica o no concluyente a partir de los presupuestos de la propia Sentencia (SSTC 105/2005, de 9 de mayo, FJ 1; 185/2005, de 4 de julio, FJ 2; 126/2007, de 21 de mayo, FJ 4; 207/2007, de 24 de septiembre, FJ 2, entre otras muchas).</w:t>
      </w:r>
    </w:p>
    <w:p w:rsidR="0052098F" w:rsidRDefault="0052098F" w:rsidP="0052098F">
      <w:pPr>
        <w:pStyle w:val="TextoNormal"/>
      </w:pPr>
    </w:p>
    <w:p w:rsidR="0052098F" w:rsidRDefault="0052098F" w:rsidP="0052098F">
      <w:pPr>
        <w:pStyle w:val="TextoNormal"/>
      </w:pPr>
      <w:r w:rsidRPr="0052098F">
        <w:rPr>
          <w:rStyle w:val="NumeroAFNegritaCaracter"/>
        </w:rPr>
        <w:t>6</w:t>
      </w:r>
      <w:r>
        <w:t>. En el presente caso, como se expuso con mayor detalle en los antecedentes de esta resolución, los recurrentes fueron absueltos en primera instancia del delito de calumnias del que venían siendo acusados. En el relato de hechos probados de la Sentencia del Juzgado de lo Penal se constata la presentación por los querellados de una denuncia ante la Fiscalía, el archivo posterior de la misma y que los acusados no tenían intención al interponerla de imputar al querellante una infracción penal a sabiendas de su falsedad. Una conclusión que se sustenta en la falta de prueba acerca del elemento subjetivo del delito, que denomina animus infamandi, a partir de la valoración de las declaraciones de los acusados y los testigos, practicadas en el acto del juicio oral.</w:t>
      </w:r>
    </w:p>
    <w:p w:rsidR="0052098F" w:rsidRDefault="0052098F" w:rsidP="0052098F">
      <w:pPr>
        <w:pStyle w:val="TextoNormal"/>
      </w:pPr>
      <w:r>
        <w:t>Contra la anterior resolución se interpuso recurso de apelación por error en la apreciación de la prueba e infracción de precepto penal, recurso que fue estimado por la Sentencia de la Audiencia Provincial de Valencia recurrida en amparo. Esta resolución modifica el relato de hechos probados de la de instancia, describiendo con gran minuciosidad todas las incidencias previas relativas al contrato cuyas irregularidades se denuncian, así como las relativas a la tramitación y aprobación del plan general de ordenación urbana, a cómo se gestó la presentación de la denuncia, y a la difusión de la noticia de su presentación por los medios de comunicación, a quienes se la habían comunicado los querellados, e incluso a las actuación de uno de los acusados como Juez de Paz, presidiendo un acto de conciliación relativo al contrato en cuestión. Y, ya en la fundamentación jurídica de la Sentencia, se afirma el conocimiento por los querellados de la falsedad de la denuncia interpuesta y la intención de atentar contra el buen nombre del ofendido.</w:t>
      </w:r>
    </w:p>
    <w:p w:rsidR="0052098F" w:rsidRDefault="0052098F" w:rsidP="0052098F">
      <w:pPr>
        <w:pStyle w:val="TextoNormal"/>
      </w:pPr>
      <w:r>
        <w:t>El núcleo de la discrepancia entre ambas resoluciones judiciales es, por tanto, la prueba del elemento subjetivo del delito de calumnias enjuiciado, el conocimiento de la falsedad de la denuncia interpuesta, que en la Sentencia de apelación se entiende concurrente a partir de una nueva valoración de la credibilidad de los testimonios de los dos acusados y del Sr. Sanmacario, que la Sala no había presenciado. Nueva valoración que se realiza sobre la base de una serie de indicios, que no fueron tomados en consideración en la instancia y que se introducen ex novo en el relato fáctico y en la fundamentación jurídica: que los acusados y el querellante eran adversarios políticos en el Ayuntamiento; la proximidad de las elecciones municipales del año 2003; la gestación de la denuncia, redactada personalmente por el Sr. Llorca, firmada por el Sr. Sanmacario y enviada a la Fiscalía previo acuerdo del equipo de gobierno municipal; la comunicación a la prensa (FJ tercero); que la Pobla Llarga es un pueblo, “y que en los pueblos se conoce y se sabe todo”; la condición de Alcalde y concejal, respectivamente, de los acusados, y su conocimiento de la abstención del Sr. Soler en la aprobación del plan general de ordenación urbana; la intervención del acusado Sr.  Botella como Juez de Paz, en el año 1992, en un acto de conciliación relativo al contrato en cuestión (FJ cuarto).</w:t>
      </w:r>
    </w:p>
    <w:p w:rsidR="0052098F" w:rsidRDefault="0052098F" w:rsidP="0052098F">
      <w:pPr>
        <w:pStyle w:val="TextoNormal"/>
      </w:pPr>
      <w:r>
        <w:t>Así, en el fundamento jurídico tercero se afirma que:</w:t>
      </w:r>
    </w:p>
    <w:p w:rsidR="0052098F" w:rsidRDefault="0052098F" w:rsidP="0052098F">
      <w:pPr>
        <w:pStyle w:val="TextoNormal"/>
      </w:pPr>
      <w:r>
        <w:t xml:space="preserve">“la prueba demuestra cómo son los acusados y el querellante adversarios políticos en el Ayuntamiento de La Pobla Llarga, y cómo entre ellos parece existir también una animadversión personal, como se extrae de las declaraciones del acusado Llorca, que lleva a los acusados a buscar, y encontrar, un medio de desprestigiar políticamente al contrincante ante </w:t>
      </w:r>
      <w:r>
        <w:lastRenderedPageBreak/>
        <w:t>las, por entonces, venideras Elecciones Municipales de 2003, para lo cual utilizan a una persona, que, se extrae esto de la declaración prestada por Sanmacario, llena de vacíos e inexactitudes, pues se denegó en la instrucción la aportación de su historial médico, no debía estar en muy buenas condiciones mentales y que iba diciendo que el querellante lo había estafado en la compra de unos terrenos, pues le había afirmado que los mismos no serían urbanizables cuando, por su condición de concejal del Ayuntamiento, sabía que se iba a urbanizar, lo que llegó a oídos del acusado Llorca, que lo puso en conocimiento del otro acusado, Botella, Alcalde del pueblo, que le pidió que lo que le decía se lo trajera por escrito, confeccionando Llorca el escrito que obra, por copia, al folio 66, que firmó Sanmacario y Llorca entregó al Alcalde en mano y sin pasar por el registro del Ayuntamiento y, reuniendo al equipo de gobierno municipal, redactan una denuncia a Fiscalía, sosteniendo en ella que han tenido conocimiento de unos hechos que a continuación relatan y que integrarían un delito de tráfico de influencias y estafa cometido por Soler que habría, junto con otros, engañado a un labrador en la compra de unos terrenos, instando la recalificación de los mismos o bien sabiendo que se iban a recalificar”.</w:t>
      </w:r>
    </w:p>
    <w:p w:rsidR="0052098F" w:rsidRDefault="0052098F" w:rsidP="0052098F">
      <w:pPr>
        <w:pStyle w:val="TextoNormal"/>
      </w:pPr>
      <w:r>
        <w:t>A continuación, en el fundamento jurídico cuarto, se sostiene que los denunciantes conocían la falsedad de la denuncia y que su presentación sólo tenía una finalidad de revanchismo político, una conclusión que “se extrae de datos que conocían los denunciantes, bien por haberlos investigado, bien por conocerlos por haber tenido conocimiento directo por ser concejales y vecinos del pueblo o bien, en el caso de Botella, y esto es más grave, por haber tenido conocimiento de ellos por su condición de Juez de Paz del pueblo”. A continuación se afirma, respecto de la modificación del plan general de ordenación urbana que “Sanmacario lo debía saber”, y que “no estaba entonces engañado Sanmacario, sino que sabía que podía haber una recalificación”.  Igualmente se afirma que las condiciones del contrato “eran perfectamente conocidas por los acusados cuando de manera absolutamente temeraria proceden a fabricar una denuncia ante la Fiscalía y a darle publicidad”. Lo que se sustenta en que, pese a lo que sostienen los acusados, reproduciendo parcialmente sus declaraciones “debían saber” por razón de su cargo.</w:t>
      </w:r>
    </w:p>
    <w:p w:rsidR="0052098F" w:rsidRDefault="0052098F" w:rsidP="0052098F">
      <w:pPr>
        <w:pStyle w:val="TextoNormal"/>
      </w:pPr>
      <w:r>
        <w:t>En definitiva, de la lectura de los fundamentos jurídicos tercero y cuarto se desprende de forma inequívoca que la Audiencia Provincial realiza una nueva valoración de pruebas personales que no había presenciado, negando credibilidad a los testimonios de los acusados y del Sr. Sanmacario a partir de los referidos indicios, lo que le lleva a concluir que los acusados conocían la falsedad de la denuncia interpuesta y que su intención era menoscabar el buen nombre de su adversario político.  El carácter personal de las pruebas valoradas en tales circunstancias y el hecho de que la nueva valoración de las mismas se orientara a la acreditación de los elementos subjetivos a los que se ha hecho referencia (SSTC 230/2002, de 9 de diciembre, FJ 8; 189/2003, de 27 de octubre, FJ 5; STEDH de 25 de julio de 2000, caso Tierce c. San Marino, § 101) conduce directamente a la estimación de la demanda de amparo por vulneración del derecho a un proceso con todas las garantías (art. 24.2 CE).</w:t>
      </w:r>
    </w:p>
    <w:p w:rsidR="0052098F" w:rsidRDefault="0052098F" w:rsidP="0052098F">
      <w:pPr>
        <w:pStyle w:val="TextoNormal"/>
      </w:pPr>
    </w:p>
    <w:p w:rsidR="0052098F" w:rsidRDefault="0052098F" w:rsidP="0052098F">
      <w:pPr>
        <w:pStyle w:val="TextoNormal"/>
      </w:pPr>
      <w:r w:rsidRPr="0052098F">
        <w:rPr>
          <w:rStyle w:val="NumeroAFNegritaCaracter"/>
        </w:rPr>
        <w:t>7</w:t>
      </w:r>
      <w:r>
        <w:t>. Igualmente hemos de declarar la vulneración del derecho de los recurrentes a la presunción de inocencia (art. 24.2 CE) y anular la Sentencia condenatoria sin retroacción de actuaciones y sin la consiguiente posibilidad del dictado de una nueva, pues —como señala el Ministerio Fiscal—, aunque la Audiencia Provincial aluda a elementos derivados de la documental obrante en autos, de la propia motivación de la Sentencia se desprende que la valoración de pruebas personales que le estaba vedada resulta esencial para llegar a la conclusión incriminatoria, de forma que la eliminación de las pruebas irregularmente valoradas deja sin sustento la condena.</w:t>
      </w:r>
    </w:p>
    <w:p w:rsidR="0052098F" w:rsidRDefault="0052098F" w:rsidP="0052098F">
      <w:pPr>
        <w:pStyle w:val="TextoNormal"/>
      </w:pPr>
      <w:r>
        <w:lastRenderedPageBreak/>
        <w:t>En efecto, las circunstancias del caso a las que se refiere la Sentencia en cuestión (básicamente en cuanto al conocimiento general de los asuntos municipales en un pueblo pequeño y al conocimiento privilegiado que los acusados tenían de ciertos asuntos por su condición de Alcalde y concejal respectivamente y, anteriormente, de Juez de Paz en el caso del Sr. Botella) no constituyen una prueba documental que pudiera sustentar la condena, sino que —a partir del razonamiento explicitado en la resolución judicial— son meros indicios, cuya virtualidad incriminatoria no se analiza autónomamente, sino que se utilizan para contrarrestar la veracidad y credibilidad de los testimonios en cuestión en cuanto al desconocimiento de la falsedad de la denuncia.  La referencia a esos datos está absolutamente imbricada en la motivación de la Sentencia con la valoración de la credibilidad de los testimonios, lo que la hace inseparables de éstos. Por tanto, puede afirmarse que de la motivación judicial se deduce que carecen palmariamente de eficacia probatoria autónoma desvinculados de los testimonios cuya valoración estaba constitucionalmente vedada por falta de inmediación, y que éstos tienen carácter esencial en la construcción probatoria, fundamentando el fallo condenatorio (STC 207/2007, de 24 de septiembre, FJ 4).</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José María Botella Alfaro y don Rafael Llorca Vallés y, en su virtud:</w:t>
      </w:r>
    </w:p>
    <w:p w:rsidR="0052098F" w:rsidRDefault="0052098F" w:rsidP="0052098F">
      <w:pPr>
        <w:pStyle w:val="TextoNormal"/>
      </w:pPr>
      <w:r>
        <w:t>1º Reconocerles sus derechos fundamentales a un proceso con todas las garantías (art. 24.2 CE) y a la presunción de inocencia (art. 24.2 CE).</w:t>
      </w:r>
    </w:p>
    <w:p w:rsidR="0052098F" w:rsidRDefault="0052098F" w:rsidP="0052098F">
      <w:pPr>
        <w:pStyle w:val="TextoNormal"/>
      </w:pPr>
      <w:r>
        <w:t>2º Declarar la nulidad de la Sentencia de 29 de septiembre de 2005 y del Auto de 15 de diciembre de 2005, dictados ambos por la Sección Segunda de la Audiencia Provincial de Valencia en el recurso de apelación núm. 1223-2005.</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veinticinco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0" w:name="SENTENCIA_2008_37"/>
      <w:r>
        <w:lastRenderedPageBreak/>
        <w:t>SENTENCIA 37/2008, de 25 de febrero de 2008</w:t>
      </w:r>
    </w:p>
    <w:bookmarkEnd w:id="40"/>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76, de 28 de marzo de 2008)</w:t>
      </w:r>
    </w:p>
    <w:p w:rsidR="0052098F" w:rsidRDefault="0052098F" w:rsidP="0052098F">
      <w:pPr>
        <w:pStyle w:val="TtuloBOE"/>
      </w:pPr>
    </w:p>
    <w:p w:rsidR="0052098F" w:rsidRDefault="0052098F" w:rsidP="0052098F">
      <w:pPr>
        <w:pStyle w:val="SntesisDescriptiva"/>
      </w:pPr>
      <w:r>
        <w:t>ECLI:ES:TC:2008:37</w:t>
      </w:r>
    </w:p>
    <w:p w:rsidR="0052098F" w:rsidRDefault="0052098F" w:rsidP="0052098F">
      <w:pPr>
        <w:pStyle w:val="SntesisDescriptiva"/>
      </w:pPr>
    </w:p>
    <w:p w:rsidR="0052098F" w:rsidRDefault="0052098F" w:rsidP="0052098F">
      <w:pPr>
        <w:pStyle w:val="SntesisDescriptiva"/>
      </w:pPr>
      <w:r>
        <w:t>Recurso de amparo 4007-2006. Promovido por don Michael Thomas Ford respecto al Auto de un Juzgado de Primera Instancia e Instrucción de Coín (Málaga) que denegó la incoación de un habeas corpus respecto a la duración de su detención en el puesto de la Guardia civil por diligencias sobre una apropiación indebida.</w:t>
      </w:r>
    </w:p>
    <w:p w:rsidR="0052098F" w:rsidRDefault="0052098F" w:rsidP="0052098F">
      <w:pPr>
        <w:pStyle w:val="SntesisDescriptiva"/>
      </w:pPr>
    </w:p>
    <w:p w:rsidR="0052098F" w:rsidRDefault="0052098F" w:rsidP="0052098F">
      <w:pPr>
        <w:pStyle w:val="SntesisAnaltica"/>
      </w:pPr>
      <w:r>
        <w:t>Vulneración del derecho a la libertad personal: inadmisión a trámite de una petición de habeas corpus por razones de fondo (STC 86/1996).</w:t>
      </w:r>
    </w:p>
    <w:p w:rsidR="0052098F" w:rsidRDefault="0052098F" w:rsidP="0052098F">
      <w:pPr>
        <w:pStyle w:val="SntesisAnaltica"/>
      </w:pPr>
    </w:p>
    <w:p w:rsidR="0052098F" w:rsidRDefault="0052098F" w:rsidP="0052098F">
      <w:pPr>
        <w:pStyle w:val="Extracto"/>
      </w:pPr>
      <w:r>
        <w:t>1.</w:t>
      </w:r>
      <w:r>
        <w:tab/>
        <w:t>Doctrina sobre la legitimación originaria de la persona física privada de libertad para instar el procedimiento de habeas corpus y sobre la facultad del Letrado de suscitar, en nombre del detenido, dicho procedimiento (STC 224/1998, ATC 55/1996) [FJ 2].</w:t>
      </w:r>
    </w:p>
    <w:p w:rsidR="0052098F" w:rsidRDefault="0052098F" w:rsidP="0052098F">
      <w:pPr>
        <w:pStyle w:val="Extracto"/>
      </w:pPr>
    </w:p>
    <w:p w:rsidR="0052098F" w:rsidRDefault="0052098F" w:rsidP="0052098F">
      <w:pPr>
        <w:pStyle w:val="Extracto"/>
      </w:pPr>
      <w:r>
        <w:t>2.</w:t>
      </w:r>
      <w:r>
        <w:tab/>
        <w:t>Si se da el presupuesto de la privación de libertad y se cumplen los requisitos formales para admisión a trámite, no es lícito denegar la incoacción del habeas corpus, ya que las inadmisiones a limine de las solicitudes de habeas corpus argumentadas en la legalidad de la detención han de considerarse como una vulneración del art. 17.4 CE [FJ 3].</w:t>
      </w:r>
    </w:p>
    <w:p w:rsidR="0052098F" w:rsidRDefault="0052098F" w:rsidP="0052098F">
      <w:pPr>
        <w:pStyle w:val="Extracto"/>
      </w:pPr>
    </w:p>
    <w:p w:rsidR="0052098F" w:rsidRDefault="0052098F" w:rsidP="0052098F">
      <w:pPr>
        <w:pStyle w:val="Extracto"/>
      </w:pPr>
      <w:r>
        <w:t>3.</w:t>
      </w:r>
      <w:r>
        <w:tab/>
        <w:t>Doctrina sobre el reconocimiento constitucional del procedimiento de habeas corpus previsto en el artículo 17.4 CE y la medida en que puede verse vulnerado dicho precepto por resoluciones judiciales de inadmisión a trámite (SSTC 86/1996, 303/2006) [FJ 3].</w:t>
      </w:r>
    </w:p>
    <w:p w:rsidR="0052098F" w:rsidRDefault="0052098F" w:rsidP="0052098F">
      <w:pPr>
        <w:pStyle w:val="Extracto"/>
      </w:pPr>
    </w:p>
    <w:p w:rsidR="0052098F" w:rsidRDefault="0052098F" w:rsidP="0052098F">
      <w:pPr>
        <w:pStyle w:val="Extracto"/>
      </w:pPr>
      <w:r>
        <w:t>4.</w:t>
      </w:r>
      <w:r>
        <w:tab/>
        <w:t>Si el juez competente alberga alguna duda sobre la existencia del oportuno mandato conferido a su Letrado por el detenido, debe, para disiparla, realizar las comprobaciones oportunas y, como esencial, acordar la comparecencia de la persona privada de libertad para oírla acerca de tal circunstancia [FJ 2].</w:t>
      </w:r>
    </w:p>
    <w:p w:rsidR="0052098F" w:rsidRDefault="0052098F" w:rsidP="0052098F">
      <w:pPr>
        <w:pStyle w:val="Extracto"/>
      </w:pPr>
    </w:p>
    <w:p w:rsidR="0052098F" w:rsidRDefault="0052098F" w:rsidP="0052098F">
      <w:pPr>
        <w:pStyle w:val="Extracto"/>
      </w:pPr>
      <w:r>
        <w:t>5.</w:t>
      </w:r>
      <w:r>
        <w:tab/>
        <w:t>No procede la retroacción de actuaciones al momento de la vulneración del derecho fundamental puesto que, al no encontrarse ya el recurrente en situación de privación de libertad, no se cumpliría el presupuesto necesario para que el órgano judicial pudiera decidir acerca de la admisión a trámite del procedimiento de habeas corpus (SSTC 31/1985, 93/2006)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4007-2006, promovido por don Michael Thomas Ford, representado por el Procurador de los Tribunales don Carmelo Olmos Gómez y asistido por el Abogado don Juan Miguel Velasco Arana, contra el Auto del Juzgado de Primera Instancia e Instrucción núm. 1 de Coín (Málaga) de 28 de marzo de 2006, que declara improcedente la solicitud de habeas corpus presentada con motivo de su detención el 27 de marzo de 2006. Ha intervenido el Ministerio Fiscal. Ha sido Ponente el Magistrado don Jorge Rodríguez-Zapata Pérez,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6 de abril de 2006, el Procurador de los Tribunales don Carmelo Olmos Gómez, en nombre y representación de don Michael Thomas Ford, asistido por el Abogado don Juan Miguel Velasco Arana, interpuso recurso de amparo contra el Auto de 28 de marzo de 2006 del Juzgado de Primera Instancia e Instrucción núm. 1 de Coín, que declaró improcedente la solicitud de habeas corpus presentada con motivo de su detención, el día anterior, por agentes de la Guardia Civil.</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relevantes para la resolución del recurso de amparo, son los siguientes: </w:t>
      </w:r>
    </w:p>
    <w:p w:rsidR="0052098F" w:rsidRDefault="0052098F" w:rsidP="0052098F">
      <w:pPr>
        <w:pStyle w:val="TextoNormal"/>
      </w:pPr>
      <w:r>
        <w:t xml:space="preserve">a) Don Michael Thomas Ford fue detenido sobre las 9:30 horas del 27 de marzo de 2006 por agentes de la Guardia Civil, en la empresa de su propiedad sita en el polígono industrial La Rosa de la localidad de Alhaurín El Grande (Málaga) como consecuencia de una denuncia interpuesta contra el mismo —por un supuesto delito de apropiación indebida— por el súbdito holandés don Harm De Neef, denuncia presentada el 16 de marzo de 2006 en el puesto de la Guardia Civil de la localidad de Coín (Málaga). </w:t>
      </w:r>
    </w:p>
    <w:p w:rsidR="0052098F" w:rsidRDefault="0052098F" w:rsidP="0052098F">
      <w:pPr>
        <w:pStyle w:val="TextoNormal"/>
      </w:pPr>
      <w:r>
        <w:t xml:space="preserve">b) Tras su detención, don Michael Thomas Ford prestó declaración en las dependencias de la Guardia Civil en Coín, en torno a las cinco de la tarde, asistido del Abogado don Juan Miguel Velasco Arana. </w:t>
      </w:r>
    </w:p>
    <w:p w:rsidR="0052098F" w:rsidRDefault="0052098F" w:rsidP="0052098F">
      <w:pPr>
        <w:pStyle w:val="TextoNormal"/>
      </w:pPr>
      <w:r>
        <w:t xml:space="preserve">c) A las 21:15 horas los Letrados don Juan Miguel Velasco Arana —que le había asistido en su declaración— y don José Salvador Prado Montoro presentaron en el puesto de la Guardia Civil un escrito en el que el primero de ellos formulaba petición de habeas corpus por considerar que la privación de libertad de su cliente era totalmente innecesaria y vulneraba la exigencia constitucional de que la detención dure el tiempo estrictamente necesario para la realización de las averiguaciones tendentes al esclarecimiento de los hechos; se alegaba también el arraigo familiar y profesional del detenido y la desproporción de la medida privativa de libertad adoptada frente a los hechos imputados, con cita del art. 1 a), b), c) y d) de la Ley Orgánica 6/1984, de 24 de mayo, de habeas corpus. </w:t>
      </w:r>
    </w:p>
    <w:p w:rsidR="0052098F" w:rsidRDefault="0052098F" w:rsidP="0052098F">
      <w:pPr>
        <w:pStyle w:val="TextoNormal"/>
      </w:pPr>
      <w:r>
        <w:t xml:space="preserve">d) Esta petición fue puesta telefónicamente en conocimiento del Juez de guardia, titular del Juzgado de Primera Instancia e Instrucción núm. 1 de Coín, a las 21:20 horas del 27 de </w:t>
      </w:r>
      <w:r>
        <w:lastRenderedPageBreak/>
        <w:t xml:space="preserve">marzo de 2006, levantándose en el atestado policial una diligencia mediante la que se hacía constar lo determinado por el Juez: “Que no procede la solicitud de Habeas Corpus por ser instado el mismo por letrado y no ser procedentes los motivos alegados. Que el detenido debe ser puesto a su disposición a las 10’00 horas del día 28 de [m]arzo de 2006”. </w:t>
      </w:r>
    </w:p>
    <w:p w:rsidR="0052098F" w:rsidRDefault="0052098F" w:rsidP="0052098F">
      <w:pPr>
        <w:pStyle w:val="TextoNormal"/>
      </w:pPr>
      <w:r>
        <w:t xml:space="preserve">A las 23:45 horas del 27 de marzo de 2006 se levantó diligencia en el atestado, mediante la que se hace constar que “por no haber otras diligencias que practicar, se dan por finalizadas las presentes, haciendo entrega de las mismas en la Secretaría del Juzgado de Primera Instancia e Instrucción número UNO de Coín, constando las mismas de 18 folios útiles escritos por el anverso, así como 03 anexos/s y detenido, remitiendo copia de las presentes al Ilmo. Sr. Fiscal Jefe de la Audiencia Provincial”. </w:t>
      </w:r>
    </w:p>
    <w:p w:rsidR="0052098F" w:rsidRDefault="0052098F" w:rsidP="0052098F">
      <w:pPr>
        <w:pStyle w:val="TextoNormal"/>
      </w:pPr>
      <w:r>
        <w:t>e) El 28 de marzo, por el Juzgado se dictó y notificó un Auto en el que se denegaba la solicitud de habeas corpus, en virtud de lo dispuesto en el art. 3 de la Ley Orgánica 6/1984, de 24 de mayo, de habeas corpus, en atención a que “[e]n el caso presente, la solicitud de Hábeas Hábeas [sic] ha sido formulada por el letrado Sr. Velasco Alana [sic], no contemplando la Ley la posibilidad de que el presente procedimiento sea iniciado a instancia de la representación legal del detenido, por lo que no se aprecia la concurrencia de los presupuestos legales para su tramitación, y sin que en atención a las circunstancias de la detención se estime procedente acordar ninguna actuación de oficio. Procede en consecuencia declarar improcedente la solicitud presentada”.</w:t>
      </w:r>
    </w:p>
    <w:p w:rsidR="0052098F" w:rsidRDefault="0052098F" w:rsidP="0052098F">
      <w:pPr>
        <w:pStyle w:val="TextoNormal"/>
      </w:pPr>
    </w:p>
    <w:p w:rsidR="0052098F" w:rsidRDefault="0052098F" w:rsidP="0052098F">
      <w:pPr>
        <w:pStyle w:val="TextoNormal"/>
      </w:pPr>
      <w:r w:rsidRPr="0052098F">
        <w:rPr>
          <w:rStyle w:val="NumeroAFNegritaCaracter"/>
        </w:rPr>
        <w:t>3</w:t>
      </w:r>
      <w:r>
        <w:t>. La demanda de amparo se fundamenta en la vulneración del derecho a la libertad (art. 17 CE) como consecuencia de haberse denegado la solicitud de habeas corpus. El recurrente en amparo alude a la jurisprudencia de este Tribunal Constitucional, con cita de la STC 61/2003, de 24 de marzo, y del ATC 55/1996, de 6 de marzo, con arreglo a la cual no cabe sostener falta de legitimación del Letrado del detenido cuando promueve la incoación del procedimiento de habeas corpus en representación del detenido, sin que en este caso pudiera aducirse duda alguna acerca de la representación que ejercía el Letrado.</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22 de junio de 2006 la Sección Segunda de este Tribunal admitió a trámite la demanda de amparo, acordando dirigir comunicación al Juzgado de Primera Instancia e Instrucción núm. 1 de Coín para que en el plazo de diez días remitiera testimonio del procedimiento de habeas corpus,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Puesto que en otrosí de la demanda se solicitaba la suspensión de “las actuaciones judiciales que se siguen contra don Michael Thomas Ford, en tanto no se resuelva la presente solicitud de amparo”, en la citada providencia de 22 de junio de 2006 se acordó formar pieza separada de suspensión, oyéndose a las partes, de conformidad con el art. 56 LOTC. El Ministerio Fiscal, en escrito registrado en este Tribunal el 3 de julio de 2006, interesó la denegación de la suspensión solicitada, considerando que, de una parte, lo que según el art. 56 LOTC puede suspenderse es la resolución recurrida, sin que conste que en ese momento el recurrente se encontrase en situación de privación de libertad anudada a tal resolución; de otra parte, tampoco se precisaba cuál fuera la relación y alcance de la resolución recurrida con el contenido de las actuaciones judiciales seguidas en el Juzgado de Instrucción núm. 2 de Coín, órgano judicial distinto al que denegó la tramitación del habeas corpus, sin que, </w:t>
      </w:r>
      <w:r>
        <w:lastRenderedPageBreak/>
        <w:t>por lo demás, se haya recurrido resolución alguna de tales actuaciones judiciales. Mediante escrito presentado el 29 de junio de 2006, la representación procesal del recurrente reiteró su solicitud de suspensión, remitiéndose a lo afirmado en la demanda. Finalmente, la Sala Primera de este Tribunal, mediante Auto de 13 de septiembre de 2006, acordó no haber lugar a suspender la resolución judicial impugnada, en consideración a que, de una parte, no se solicita la suspensión de la resolución recurrida, sino de unas actuaciones judiciales seguidas como consecuencia de una denuncia por apropiación indebida que forman parte de otro procedimiento y que no han sido objeto de recurso; de otra parte, porque ningún perjuicio habría de ocasionar la ejecución de la resolución recurrida que pudiera hacer perder su finalidad al amparo, por cuanto, no constando que el recurrente se hallase en situación de privación de libertad derivada de la detención, una eventual estimación del amparo tendría un alcance puramente declarativo.</w:t>
      </w:r>
    </w:p>
    <w:p w:rsidR="0052098F" w:rsidRDefault="0052098F" w:rsidP="0052098F">
      <w:pPr>
        <w:pStyle w:val="TextoNormal"/>
      </w:pPr>
    </w:p>
    <w:p w:rsidR="0052098F" w:rsidRDefault="0052098F" w:rsidP="0052098F">
      <w:pPr>
        <w:pStyle w:val="TextoNormal"/>
      </w:pPr>
      <w:r w:rsidRPr="0052098F">
        <w:rPr>
          <w:rStyle w:val="NumeroAFNegritaCaracter"/>
        </w:rPr>
        <w:t>6</w:t>
      </w:r>
      <w:r>
        <w:t>. Por diligencia de ordenación de 8 de septiembre de 2006 se tuvo por recibido el testimonio recabado. También se acordó, a tenor de lo dispuesto en el art. 52 LOTC, dar vista de las actuaciones recibidas, en la Secretaría de la Sala, por un plazo común de veinte días, al Ministerio Fiscal y a la parte personada, para que dentro de dicho término presentaran las alegaciones que a su derecho conviniera.</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demandante de amparo presentó sus alegaciones el 4 de octubre de 2006, en escrito que reitera, de modo más extenso, los razonamientos contenidos en el de demanda. Tras citar la jurisprudencia de este Tribunal que estima aplicable al caso, señala que la petición de habeas corpus hubo de presentarse por los Abogados del recurrente ante la negativa de la Guardia Civil a que el detenido pudiera firmar la petición que le fue preparada por tales Abogados, lo que, a su juicio, constituye una verdadera vía de hecho; y, en cualquier caso, conforme a reiterada jurisprudencia de este Tribunal Constitucional, el Letrado del detenido ostenta legitimación para promover el procedimiento de habeas corpus. </w:t>
      </w:r>
    </w:p>
    <w:p w:rsidR="0052098F" w:rsidRDefault="0052098F" w:rsidP="0052098F">
      <w:pPr>
        <w:pStyle w:val="TextoNormal"/>
      </w:pPr>
      <w:r>
        <w:t xml:space="preserve">De otro lado, rechaza el criterio del Juzgado de que, a la vista de las circunstancias de la detención, no era procedente acordar ninguna actuación de oficio. Expone el demandante que precisamente el contenido propio de la pretensión formulada consiste en determinar la licitud o ilicitud de la detención; y el enjuiciamiento de la legalidad de ésta, en aplicación de lo prevenido en el art. 1 LOHC, debe de llevarse a cabo en juicio de fondo, previa comparecencia y audiencia del solicitante y demás partes, con la facultad de proponer y, en su caso, practicar pruebas, según dispone el art. 7 LOHC, enjuiciamiento que es, si cabe, aún más necesario cuando el solicitante alegue que la privación de libertad se ha prolongado indebidamente. Añade que la vulneración del art. 17.2 CE se puede producir, no sólo por rebasar el plazo máximo absoluto de setenta dos horas de privación de libertad sino también cuando, tras haberse realizado las averiguaciones tendentes al esclarecimiento de los hechos, sin embargo, no se procede a la liberación del detenido ni se le pone a disposición judicial. </w:t>
      </w:r>
    </w:p>
    <w:p w:rsidR="0052098F" w:rsidRDefault="0052098F" w:rsidP="0052098F">
      <w:pPr>
        <w:pStyle w:val="TextoNormal"/>
      </w:pPr>
      <w:r>
        <w:t>Termina expresando que el Juzgado de lo Penal núm. 8 de Málaga, en Sentencia de 23 de junio de 2006, absolvió al recurrente del delito de apropiación indebida cuya imputación fue el origen de la detención que provoca la petición de amparo.</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La Fiscalía ante el Tribunal Constitucional presentó el 18 de octubre de 2006 su escrito de alegaciones, en el que solicita el otorgamiento del amparo por haberse vulnerado el derecho del demandante a la libertad personal garantizado en el art. 17.4 CE, solicitando la </w:t>
      </w:r>
      <w:r>
        <w:lastRenderedPageBreak/>
        <w:t xml:space="preserve">anulación del Auto del Juzgado de Primera Instancia e Instrucción núm. 1 de Coín de 28 de marzo de 2006. </w:t>
      </w:r>
    </w:p>
    <w:p w:rsidR="0052098F" w:rsidRDefault="0052098F" w:rsidP="0052098F">
      <w:pPr>
        <w:pStyle w:val="TextoNormal"/>
      </w:pPr>
      <w:r>
        <w:t>Señala el Fiscal que es de aplicación la doctrina contenida en la STC 61/2003, de 24 de marzo, relativa a la legitimación del Abogado de la persona privada de libertad para instar el proceso de habeas corpus. Y, como segunda razón aunque con carácter subsidiario, señala que se ha producido una indebida anticipación liminar del fondo del debate. Añade que en el presente caso la improcedencia de la actuación judicial se acentúa y agrava si se tiene en cuenta que el Juzgado de Coín anticipó a las 21:20 horas del día 27 de marzo de 2006 el contenido de la decisión adoptada, en comunicación telefónica con el puesto de la Guardia Civil en el que se encontraba detenido el recurrente, lo que evidencia aún más, con tan anómalo comportamiento procesal, la vulneración del art. 17.4 CE.</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21 de febrero de 2008 se señaló para deliberación y votación de la presente Sentencia el día 25 del mismo mes y año, trámite que ha finalizado en el día de hoy.</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demanda de amparo se dirige contra el Auto dictado el 28 de marzo de 2006 por el Juzgado de Primera Instancia e Instrucción núm. 1 de Coín, que declaró improcedente la solicitud de habeas corpus presentada con motivo de la detención, el día anterior, de don Michael Thomas Ford. La denegación se sustentó en que la petición de habeas corpus había sido formulada por el Letrado del detenido y en que, en atención a las circunstancias de la detención, no se estimaba procedente acordar ninguna actuación de oficio.</w:t>
      </w:r>
    </w:p>
    <w:p w:rsidR="0052098F" w:rsidRDefault="0052098F" w:rsidP="0052098F">
      <w:pPr>
        <w:pStyle w:val="TextoNormal"/>
      </w:pPr>
      <w:r>
        <w:t>El demandante de amparo aprecia que la motivación del órgano judicial contradice la jurisprudencia de este Tribunal acerca de la legitimación del Abogado para promover el procedimiento de habeas corpus. Entiende también que la negativa judicial a incoarlo de oficio se sustenta en un enjuiciamiento de la legalidad de la detención que sólo debe llevarse a cabo tras la previa comparecencia y audiencia del solicitante y demás partes, con la facultad de proponer y, en su caso, practicar pruebas, lo que es, si cabe, aún más necesario cuando el solicitante alegue que la privación de libertad se ha prolongado indebidamente, todo lo cual se traduce en una vulneración de su derecho a la libertad (art. 17.1 CE). A la petición de amparo se suma el Ministerio Fiscal, quien comparte las alegaciones del demandante, concluyendo que la resolución judicial impugnada resulta lesiva del art. 17.4 CE.</w:t>
      </w:r>
    </w:p>
    <w:p w:rsidR="0052098F" w:rsidRDefault="0052098F" w:rsidP="0052098F">
      <w:pPr>
        <w:pStyle w:val="TextoNormal"/>
      </w:pPr>
      <w:r>
        <w:t>Nos encontramos, por tanto, ante un recurso de amparo articulado por el cauce del art. 44 LOTC, puesto que el demandante limita su impugnación a la resolución judicial que denegó la incoación del procedimiento de habeas corpus, no extendiendo su pretensión ni consignando en el escrito de demanda razonamientos referidos al enjuiciamiento constitucional de la actuación policial.</w:t>
      </w:r>
    </w:p>
    <w:p w:rsidR="0052098F" w:rsidRDefault="0052098F" w:rsidP="0052098F">
      <w:pPr>
        <w:pStyle w:val="TextoNormal"/>
      </w:pPr>
    </w:p>
    <w:p w:rsidR="0052098F" w:rsidRDefault="0052098F" w:rsidP="0052098F">
      <w:pPr>
        <w:pStyle w:val="TextoNormal"/>
      </w:pPr>
      <w:r w:rsidRPr="0052098F">
        <w:rPr>
          <w:rStyle w:val="NumeroAFNegritaCaracter"/>
        </w:rPr>
        <w:t>2</w:t>
      </w:r>
      <w:r>
        <w:t>. Según ha quedado expuesto con mayor detalle en los antecedentes de esta Sentencia, la primera de las razones que llevaron al Juez de guardia a no incoar el procedimiento de habeas corpus fue la de apreciar que el solicitante —Abogado del detenido— no figura entre quienes, conforme al art. 3 de la Ley Orgánica de habeas corpus (LOHC), se encuentran legitimados para instar esta singular garantía constitucional.</w:t>
      </w:r>
    </w:p>
    <w:p w:rsidR="0052098F" w:rsidRDefault="0052098F" w:rsidP="0052098F">
      <w:pPr>
        <w:pStyle w:val="TextoNormal"/>
      </w:pPr>
      <w:r>
        <w:t xml:space="preserve">Yerra, sin embargo, la resolución judicial al examinar la intervención del Abogado del detenido desde la perspectiva de la legitimación procesal. Ya en el ATC 55/1996, de 6 de </w:t>
      </w:r>
      <w:r>
        <w:lastRenderedPageBreak/>
        <w:t>marzo (FJ 2), apreciamos que el Letrado no solicita por él mismo la incoación del procedimiento de habeas corpus “sino en su calidad de representante de los verdaderos interesados cuya legitimación para solicitar la incoación del meritado procedimiento queda fuera de toda duda”, de tal suerte que “quienes instaron el habeas corpus fueron los propios interesados, plenamente legitimados, y no su Abogado, que limitó su papel a asumir la representación de aquéllos”.</w:t>
      </w:r>
    </w:p>
    <w:p w:rsidR="0052098F" w:rsidRDefault="0052098F" w:rsidP="0052098F">
      <w:pPr>
        <w:pStyle w:val="TextoNormal"/>
      </w:pPr>
      <w:r>
        <w:t>Posteriormente, en las SSTC 61/2003, de 24 de marzo (FJ 2), y 224/1998, de 24 de noviembre (FJ 2), hemos reiterado que la legitimación originaria para instar el procedimiento de habeas corpus, en cuanto acción específica dirigida a proteger la libertad personal de quien ha sido ilegalmente privado de ella, reside, como prescribe el art. 3.a LOHC, en la persona física privada de libertad, y que si bien es cierto que en el caso enjuiciado el privado de libertad, promotor del amparo, no instó por sí mismo el mentado procedimiento, no es menos cierto que actuó en su nombre, tácitamente apoderado al efecto, el Letrado del turno de oficio que le asistía en su calidad de detenido. Esta circunstancia condujo a entender que se había solicitado el procedimiento por quien, como el privado de libertad, tiene legitimación para ello, si bien, instrumentalmente y dada su situación, lo efectuase en su nombre el Letrado designado por el turno de oficio para asistirle como detenido. Dijimos entonces que si el Juez competente albergaba alguna duda sobre la existencia del oportuno mandato conferido a su Letrado por el detenido, debió, para disiparla, realizar las comprobaciones oportunas y, como esencial, acordar la comparecencia de la persona privada de libertad para oírla, entre otras, acerca de tal circunstancia. Al no hacerlo así, la denegación a limine litis de la sustanciación del procedimiento de habeas corpus, no se acomodó a la función que al órgano judicial incumbe de guardián de la libertad personal.</w:t>
      </w:r>
    </w:p>
    <w:p w:rsidR="0052098F" w:rsidRDefault="0052098F" w:rsidP="0052098F">
      <w:pPr>
        <w:pStyle w:val="TextoNormal"/>
      </w:pPr>
      <w:r>
        <w:t>En la misma línea, debemos ahora afirmar que resulta ínsita al contenido de la asistencia letrada al detenido la facultad del Abogado de suscitar, en nombre de aquél, el procedimiento de habeas corpus; sustentándose tal habilitación en la relevancia del derecho fundamental a cuya garantía sirve el procedimiento, la perentoriedad de la pretensión, las limitaciones fácticas inherentes a la situación de privación de libertad y el principio antiformalista que la exposición de motivos de la Ley reguladora del habeas corpus destaca como inspirador de su regulación.</w:t>
      </w:r>
    </w:p>
    <w:p w:rsidR="0052098F" w:rsidRDefault="0052098F" w:rsidP="0052098F">
      <w:pPr>
        <w:pStyle w:val="TextoNormal"/>
      </w:pPr>
    </w:p>
    <w:p w:rsidR="0052098F" w:rsidRDefault="0052098F" w:rsidP="0052098F">
      <w:pPr>
        <w:pStyle w:val="TextoNormal"/>
      </w:pPr>
      <w:r w:rsidRPr="0052098F">
        <w:rPr>
          <w:rStyle w:val="NumeroAFNegritaCaracter"/>
        </w:rPr>
        <w:t>3</w:t>
      </w:r>
      <w:r>
        <w:t>. Procede abordar a continuación el examen de la segunda de las razones consignadas en el Auto del Juez de guardia para denegar la incoación del procedimiento de habeas corpus, y que no fue sino la genérica afirmación de que, en atención a las circunstancias de la detención, no se estimaba procedente acordar ninguna actuación de oficio.</w:t>
      </w:r>
    </w:p>
    <w:p w:rsidR="0052098F" w:rsidRDefault="0052098F" w:rsidP="0052098F">
      <w:pPr>
        <w:pStyle w:val="TextoNormal"/>
      </w:pPr>
      <w:r>
        <w:t>Para ello hemos de partir de que el art. 3 in fine de la Ley Orgánica 6/1984, de 24 de mayo, autoriza al Juez para iniciar de oficio el procedimiento de habeas corpus, por lo que, aun cuando la solicitud sea efectuada por persona distinta de las expresamente legitimadas por la Ley, si el Juez apreciase que los hechos comunicados son subsumibles en alguno de los supuestos del art. 1 LOHC, deberá incoar el procedimiento. Ello explica que en el presente caso, aun cuando el órgano judicial sustentó la denegación del habeas corpus en la circunstancia de que fuera solicitado por el Letrado del detenido, a continuación se añada en el Auto impugnado: “y sin que en atención a las circunstancias de la detención se estime procedente acordar ninguna actuación de oficio”, lo que implica un pronunciamiento, bien que apodíctico, sobre la regularidad de la detención.</w:t>
      </w:r>
    </w:p>
    <w:p w:rsidR="0052098F" w:rsidRDefault="0052098F" w:rsidP="0052098F">
      <w:pPr>
        <w:pStyle w:val="TextoNormal"/>
      </w:pPr>
      <w:r>
        <w:t xml:space="preserve">Desde esta perspectiva, hemos tenido ya oportunidad de pronunciarnos en reiteradas ocasiones sobre el reconocimiento constitucional del procedimiento de habeas corpus previsto en el art. 17.4 CE y en qué medida puede verse vulnerado este precepto por resoluciones </w:t>
      </w:r>
      <w:r>
        <w:lastRenderedPageBreak/>
        <w:t>judiciales de inadmisión a trámite. Conforme a nuestra doctrina, el procedimiento de habeas corpus, previsto en el inciso final del citado artículo y desarrollado por la Ley Orgánica 6/1984, de 24 de mayo, supone una garantía reforzada del derecho a la libertad para la defensa de los demás derechos sustantivos establecidos en el resto de los apartados del art. 17 CE, cuyo fin es posibilitar el control judicial a posteriori de la legalidad y de las condiciones en las cuales se desarrollan las situaciones de privación de libertad no acordadas judicialmente, mediante la puesta a disposición judicial de toda persona que se considere privada de libertad ilegalmente. Este procedimiento,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(entre otras, SSTC 93/2006, de 27 de marzo, FJ 3; y 25/2006, de 24 de julio, FJ 2). Por ello hemos afirmado que la esencia de este proceso consiste precisamente en que “el Juez compruebe personalmente la situación de la persona que pida el control judicial, siempre que se encuentre efectivamente detenida” (STC 66/1996, de 16 de abril, FJ 3), es decir “'haber el cuerpo' de quien se encuentre detenido para ofrecerle una oportunidad de hacerse oír, y ofrecer las alegaciones y pruebas” (STC 86/1996, de 21 de mayo, FJ 12).</w:t>
      </w:r>
    </w:p>
    <w:p w:rsidR="0052098F" w:rsidRDefault="0052098F" w:rsidP="0052098F">
      <w:pPr>
        <w:pStyle w:val="TextoNormal"/>
      </w:pPr>
      <w:r>
        <w:t>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todas, STC 303/2006, de 23 de octubre, FJ único).</w:t>
      </w:r>
    </w:p>
    <w:p w:rsidR="0052098F" w:rsidRDefault="0052098F" w:rsidP="0052098F">
      <w:pPr>
        <w:pStyle w:val="TextoNormal"/>
      </w:pPr>
      <w:r>
        <w:t>Por ello, si se da el presupuesto de la privación de libertad y se cumplen los requisitos formales para la admisión a trámite, no es lícito denegar la incoación del habeas corpus. No es posible fundamentar la improcedencia de la inadmisión de este procedimiento en la afirmación de que el recurrente no se encontraba ilícitamente privado de libertad, precisamente porque el contenido propio de la pretensión formulada en el habeas corpus es el de determinar la licitud o ilicitud de dicha privación.  Conforme a la citada jurisprudencia de este Tribunal, las inadmisiones a limine de las solicitudes de habeas corpus argumentadas en la legalidad de la detención, como ha sucedido en el presente caso, han de considerarse como una vulneración del art.  17.4 CE.</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El otorgamiento del amparo debe conllevar la anulación del Auto del Juzgado de Primera Instancia e Instrucción núm. 1 de Coín de 28 de marzo de 2006. Sin embargo, no procede la retroacción de las actuaciones al momento en que se materializó la vulneración </w:t>
      </w:r>
      <w:r>
        <w:lastRenderedPageBreak/>
        <w:t>del derecho fundamental puesto que, al no encontrarse ya el recurrente en situación de privación de libertad, no se cumpliría el presupuesto necesario para que el órgano judicial pudiera decidir acerca de la admisión a trámite del procedimiento de habeas corpus, según hemos venido declarando desde la STC 31/1985, de 5 de marzo, FJ 4 (en idéntico sentido, entre otras muchas, SSTC 12/1994, de 17 de enero, FJ 7; y 93/2006, de 27 de marzo, FJ 5).</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el recurso de amparo presentado por don Michael Thomas Ford y, en su virtud:</w:t>
      </w:r>
    </w:p>
    <w:p w:rsidR="0052098F" w:rsidRDefault="0052098F" w:rsidP="0052098F">
      <w:pPr>
        <w:pStyle w:val="TextoNormal"/>
      </w:pPr>
      <w:r>
        <w:t>1º Reconocer su derecho fundamental a la libertad personal (art. 17.1 y 4 CE).</w:t>
      </w:r>
    </w:p>
    <w:p w:rsidR="0052098F" w:rsidRDefault="0052098F" w:rsidP="0052098F">
      <w:pPr>
        <w:pStyle w:val="TextoNormal"/>
      </w:pPr>
      <w:r>
        <w:t>2º Declarar la nulidad del Auto del Juzgado de Primera Instancia e Instrucción núm. 1 de Coín de 28 de marzo de 2006.</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veinticinco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1" w:name="SENTENCIA_2008_38"/>
      <w:r>
        <w:lastRenderedPageBreak/>
        <w:t>SENTENCIA 38/2008, de 25 de febrero de 2008</w:t>
      </w:r>
    </w:p>
    <w:bookmarkEnd w:id="41"/>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76, de 28 de marzo de 2008)</w:t>
      </w:r>
    </w:p>
    <w:p w:rsidR="0052098F" w:rsidRDefault="0052098F" w:rsidP="0052098F">
      <w:pPr>
        <w:pStyle w:val="TtuloBOE"/>
      </w:pPr>
    </w:p>
    <w:p w:rsidR="0052098F" w:rsidRDefault="0052098F" w:rsidP="0052098F">
      <w:pPr>
        <w:pStyle w:val="SntesisDescriptiva"/>
      </w:pPr>
      <w:r>
        <w:t>ECLI:ES:TC:2008:38</w:t>
      </w:r>
    </w:p>
    <w:p w:rsidR="0052098F" w:rsidRDefault="0052098F" w:rsidP="0052098F">
      <w:pPr>
        <w:pStyle w:val="SntesisDescriptiva"/>
      </w:pPr>
    </w:p>
    <w:p w:rsidR="0052098F" w:rsidRDefault="0052098F" w:rsidP="0052098F">
      <w:pPr>
        <w:pStyle w:val="SntesisDescriptiva"/>
      </w:pPr>
      <w:r>
        <w:t>Recurso de amparo 10743-2006. Promovido por don Gerardo Álvarez Reza ante la falta de resolución del incidente de recusación por el Tribunal Superior de Galicia y del recurso de apelación penal ante la Audiencia Provincial de Ourense en causa por delito de calumnias.</w:t>
      </w:r>
    </w:p>
    <w:p w:rsidR="0052098F" w:rsidRDefault="0052098F" w:rsidP="0052098F">
      <w:pPr>
        <w:pStyle w:val="SntesisDescriptiva"/>
      </w:pPr>
    </w:p>
    <w:p w:rsidR="0052098F" w:rsidRDefault="0052098F" w:rsidP="0052098F">
      <w:pPr>
        <w:pStyle w:val="SntesisAnaltica"/>
      </w:pPr>
      <w:r>
        <w:t>Vulneración del derecho a un proceso sin dilaciones indebidas: demora de más de un año para tramitar un incidente de recusación en recurso de apelación penal.</w:t>
      </w:r>
    </w:p>
    <w:p w:rsidR="0052098F" w:rsidRDefault="0052098F" w:rsidP="0052098F">
      <w:pPr>
        <w:pStyle w:val="SntesisAnaltica"/>
      </w:pPr>
    </w:p>
    <w:p w:rsidR="0052098F" w:rsidRDefault="0052098F" w:rsidP="0052098F">
      <w:pPr>
        <w:pStyle w:val="Extracto"/>
      </w:pPr>
      <w:r>
        <w:t>1.</w:t>
      </w:r>
      <w:r>
        <w:tab/>
        <w:t>La duración de la tramitación del incidente de recusación incumple el requerimiento del plazo razonable cuando el órgano judicial no obra con la necesaria diligencia y celeridad en la tramitación de dicho incidente y no puede ser achacado al recurrente el retraso denunciado [FJ 3].</w:t>
      </w:r>
    </w:p>
    <w:p w:rsidR="0052098F" w:rsidRDefault="0052098F" w:rsidP="0052098F">
      <w:pPr>
        <w:pStyle w:val="Extracto"/>
      </w:pPr>
    </w:p>
    <w:p w:rsidR="0052098F" w:rsidRDefault="0052098F" w:rsidP="0052098F">
      <w:pPr>
        <w:pStyle w:val="Extracto"/>
      </w:pPr>
      <w:r>
        <w:t>2.</w:t>
      </w:r>
      <w:r>
        <w:tab/>
        <w:t>Doctrina sobre el derecho a no padecer dilaciones indebidas (SSTC 178/2007, 32/1999) [FJ 2].</w:t>
      </w:r>
    </w:p>
    <w:p w:rsidR="0052098F" w:rsidRDefault="0052098F" w:rsidP="0052098F">
      <w:pPr>
        <w:pStyle w:val="Extracto"/>
      </w:pPr>
    </w:p>
    <w:p w:rsidR="0052098F" w:rsidRDefault="0052098F" w:rsidP="0052098F">
      <w:pPr>
        <w:pStyle w:val="Extracto"/>
      </w:pPr>
      <w:r>
        <w:t>3.</w:t>
      </w:r>
      <w:r>
        <w:tab/>
        <w:t>Doctrina sobre la especial relevancia de las dilaciones indebidas en el orden penal (STC 35/1994) [FJ 3].</w:t>
      </w:r>
    </w:p>
    <w:p w:rsidR="0052098F" w:rsidRDefault="0052098F" w:rsidP="0052098F">
      <w:pPr>
        <w:pStyle w:val="Extracto"/>
      </w:pPr>
    </w:p>
    <w:p w:rsidR="0052098F" w:rsidRDefault="0052098F" w:rsidP="0052098F">
      <w:pPr>
        <w:pStyle w:val="Extracto"/>
      </w:pPr>
      <w:r>
        <w:t>4.</w:t>
      </w:r>
      <w:r>
        <w:tab/>
        <w:t>El otorgamiento del amparo debe limitarse a la declaración de violación del derecho fundamental ya que, en el momento de dictarse esta Sentencia, la inactividad jurisdiccional lesiva del mencionado derecho fundamental ha cesado, al haberse concluido, para desestimarlo, la instrucción del incidente de recusación (SSTC 117/2004, 215/1992)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10743-2006, promovido por don Gerardo Álvarez Reza, Licenciado en Derecho, quien comparece por sí mismo, ante la falta de resolución del incidente de recusación planteado por el propio demandante en fecha 7 de noviembre de 2005 </w:t>
      </w:r>
      <w:r>
        <w:lastRenderedPageBreak/>
        <w:t>en el rollo de apelación penal núm. 70-2005 de la Sección Segunda de la Audiencia Provincial de Ourense, y que a la fecha de la demanda, de 23 de noviembre de 2006, aún no había sido resuelto, y ante la falta de resolución del recurso de apelación penal contra la Sentencia de fecha 29 de junio de 2005 dictada en el referido Juzgado de lo Penal núm. 2 de Ourense en los autos de procedimiento abreviado núm. 29-2005, como consecuencia de la falta de resolución del referido incidente de recusación. Ha intervenido el Ministerio Fiscal y ha sido Ponente el Magistrado don Eugeni Gay Montalvo,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Por escrito de 23 de noviembre de 2006, registrado en este Tribunal el día 29 del mismo mes, don Gerardo Álvarez Reza, Licenciado en Derecho, quien comparece por sí mismo, interpuso demanda de amparo constitucional por vulneración del derecho a no padecer dilaciones indebidas (art. 24 CE) ante la falta de resolución del incidente de recusación planteado por el propio demandante en fecha 7 de noviembre de 2005 en el rollo de apelación penal núm. 70-2005 de la Sección Segunda de la Audiencia Provincial de Ourense, dimanante del procedimiento abreviado núm. 29-2005 del Juzgado de lo Penal núm. 2 de Ourense, y que a la fecha de la demanda, 23 de noviembre de 2006, aún no había sido resuelto. La demanda se refiere asimismo a la vulneración del derecho a un proceso sin dilaciones indebidas ante la falta de resolución del recurso de apelación penal interpuesto contra la Sentencia de fecha 29 de junio de 2005 dictada por el referido Juzgado de lo Penal núm. 2 de Ourense en los autos de procedimiento abreviado núm. 29-2005, como consecuencia de la falta de resolución del señalado incidente de recusación.</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demanda de amparo tiene su origen en los siguientes hechos: </w:t>
      </w:r>
    </w:p>
    <w:p w:rsidR="0052098F" w:rsidRDefault="0052098F" w:rsidP="0052098F">
      <w:pPr>
        <w:pStyle w:val="TextoNormal"/>
      </w:pPr>
      <w:r>
        <w:t xml:space="preserve">a) Mediante Sentencia de 29 de junio de 2005, dictada por el Juzgado de lo Penal núm. 2 de Ourense en los autos de juicio oral núm. 29-2005, dimanantes de las diligencias previas núm. 528-2002 del Juzgado de Primera Instancia e Instrucción núm. 4 de Ourense, se condenó al demandante de amparo, don Gerardo Álvarez Reza, como autor de un delito continuado de calumnias previsto en el artículo 205 del Código penal, a la pena de multa de diez meses con una cuota diaria de 25 euros. </w:t>
      </w:r>
    </w:p>
    <w:p w:rsidR="0052098F" w:rsidRDefault="0052098F" w:rsidP="0052098F">
      <w:pPr>
        <w:pStyle w:val="TextoNormal"/>
      </w:pPr>
      <w:r>
        <w:t xml:space="preserve">Contra dicha Sentencia la representación procesal del condenado interpuso recurso de apelación mediante escrito de fecha 12 de septiembre de 2005, solicitando la revocación del pronunciamiento condenatorio y, por tanto, la absolución del acusado. </w:t>
      </w:r>
    </w:p>
    <w:p w:rsidR="0052098F" w:rsidRDefault="0052098F" w:rsidP="0052098F">
      <w:pPr>
        <w:pStyle w:val="TextoNormal"/>
      </w:pPr>
      <w:r>
        <w:t xml:space="preserve">b) Mediante Auto de fecha 28 de octubre de 2005 la Sección Segunda de la Audiencia Provincial de Ourense estimó justificadas las abstenciones de los Magistrados don Abel Carvajales Santa-Eufemia y don Manuel Cid Manzano al amparo de las causas 7 y 11, respectivamente, del art. 219 de la Ley Orgánica del Poder Judicial, apartándoles del conocimiento del recurso de apelación penal interpuesto por el demandante de amparo. </w:t>
      </w:r>
    </w:p>
    <w:p w:rsidR="0052098F" w:rsidRDefault="0052098F" w:rsidP="0052098F">
      <w:pPr>
        <w:pStyle w:val="TextoNormal"/>
      </w:pPr>
      <w:r>
        <w:t xml:space="preserve">En esta misma resolución se daba cuenta del Acuerdo adoptado por el Presidente de la Audiencia Provincial de Ourense por el que se acordaba la designación de las Magistradas doña Josefa Otero Sevane y doña Ángela Irene Domínguez-Viguera como integrantes de la Sección Segunda a los efectos de resolver el recurso de apelación interpuesto contra la Sentencia dictada por el Juzgado de lo Penal núm. 2 de Ourense, designándose, a su vez, como Ponente de la causa a la Magistrada doña Ana María del Carmen Blanco Arce. </w:t>
      </w:r>
    </w:p>
    <w:p w:rsidR="0052098F" w:rsidRDefault="0052098F" w:rsidP="0052098F">
      <w:pPr>
        <w:pStyle w:val="TextoNormal"/>
      </w:pPr>
      <w:r>
        <w:t xml:space="preserve">c) Notificada dicha resolución en fecha 3 de noviembre de 2005, el demandante de amparo presentó el día 7 de noviembre de 2005 ante la Secretaría de la Audiencia Provincial </w:t>
      </w:r>
      <w:r>
        <w:lastRenderedPageBreak/>
        <w:t xml:space="preserve">de Ourense escrito formulando incidente de recusación contra el Presidente de la Audiencia Provincial de Ourense, Magistrado don Fernando Alañón Olmedo y contra las dos Magistradas designadas para conocer del recurso de apelación ya referido, doña Josefa Otero Sevane y doña Ángela Irene Domínguez-Viguera, amparado en la falta de imparcialidad y solicitando que se estimara la recusación planteada y se apartara al Magistrado y a las Magistradas recusadas del conocimiento así como de toda decisión y actuación respecto del rollo de apelación núm. 70-2005. </w:t>
      </w:r>
    </w:p>
    <w:p w:rsidR="0052098F" w:rsidRDefault="0052098F" w:rsidP="0052098F">
      <w:pPr>
        <w:pStyle w:val="TextoNormal"/>
      </w:pPr>
      <w:r>
        <w:t xml:space="preserve">d) El día 18 de noviembre de 2005 el demandante de amparo presentó un nuevo escrito solicitando se le informara sobre el estado de tramitación del incidente de recusación, con indicación concreta de los trámites o actuaciones desarrolladas en relación con el mismo. </w:t>
      </w:r>
    </w:p>
    <w:p w:rsidR="0052098F" w:rsidRDefault="0052098F" w:rsidP="0052098F">
      <w:pPr>
        <w:pStyle w:val="TextoNormal"/>
      </w:pPr>
      <w:r>
        <w:t xml:space="preserve">e) En fecha 21 de noviembre de 2005 la Sección Segunda de la Audiencia Provincial de Ourense dictó una providencia admitiendo a trámite el incidente de recusación formulado, acordando, a su vez, de conformidad con lo dispuesto en el art. 223 LOPJ, dar traslado a las demás partes del proceso para que, en el plazo común de tres días, manifestasen su adhesión o su oposición a la causa de revocación invocada. </w:t>
      </w:r>
    </w:p>
    <w:p w:rsidR="0052098F" w:rsidRDefault="0052098F" w:rsidP="0052098F">
      <w:pPr>
        <w:pStyle w:val="TextoNormal"/>
      </w:pPr>
      <w:r>
        <w:t xml:space="preserve">f) Con posterioridad, en escrito de fecha 10 de diciembre de 2005, presentado ante la Sala de Gobierno del Tribunal Superior de Justicia de Galicia en fecha de 13 de diciembre de 2005, el demandante de amparo denunció el incumplimiento de los plazos de trámite y resolución del incidente de recusación, así como el incumplimiento de los plazos para el trámite y resolución de la apelación penal, invocando expresamente la lesión del derecho a un proceso sin dilaciones indebidas. En este mismo escrito se denunciaba que, a pesar del planteamiento de la recusación, los Magistrados recusados habían dictado diferentes resoluciones que, a su juicio, vulneraban la normativa que regula la tramitación del incidente de recusación. </w:t>
      </w:r>
    </w:p>
    <w:p w:rsidR="0052098F" w:rsidRDefault="0052098F" w:rsidP="0052098F">
      <w:pPr>
        <w:pStyle w:val="TextoNormal"/>
      </w:pPr>
      <w:r>
        <w:t xml:space="preserve">g) Mediante providencia de 13 de diciembre de 2005, dictada por la Sección Segunda de la Audiencia Provincial de Ourense, se acordó remitir el rollo de apelación así como los autos originales al Tribunal Superior de Justicia de Galicia, a los efectos de resolver el incidente de recusación formulado por la representación procesal del demandante de amparo, remisión que se realizó el día 16 de diciembre. </w:t>
      </w:r>
    </w:p>
    <w:p w:rsidR="0052098F" w:rsidRDefault="0052098F" w:rsidP="0052098F">
      <w:pPr>
        <w:pStyle w:val="TextoNormal"/>
      </w:pPr>
      <w:r>
        <w:t xml:space="preserve">h) En un nuevo escrito presentado en fecha 15 de diciembre de 2005 ante la Sección Segunda de la Audiencia Provincial de Ourense el demandante de amparo solicitó nuevamente se le informara sobre el estado de trámite de la recusación y, en su caso, que se le notificaran las resoluciones que se hubieran adoptado relativas a la tramitación del referido incidente. </w:t>
      </w:r>
    </w:p>
    <w:p w:rsidR="0052098F" w:rsidRDefault="0052098F" w:rsidP="0052098F">
      <w:pPr>
        <w:pStyle w:val="TextoNormal"/>
      </w:pPr>
      <w:r>
        <w:t xml:space="preserve">En fecha 19 de diciembre de 2005 presenta nuevo escrito ante la Sala de Gobierno del Tribunal Superior de Justicia de Galicia, solicitando se le informara sobre el estado de tramitación de la recusación planteada, así como que se le diera trámite de audiencia frente a las alegaciones o informes que eventualmente hubieran presentado las otras partes, y se acordara la celebración de vista con carácter previo a la resolución del incidente. A su vez solicitaba la suspensión del rollo de apelación con efectos desde el 7 de noviembre de 2005, fecha de formalización del incidente de recusación, dejándose sin efecto todas las resoluciones dictadas con posterioridad a dicha fecha. </w:t>
      </w:r>
    </w:p>
    <w:p w:rsidR="0052098F" w:rsidRDefault="0052098F" w:rsidP="0052098F">
      <w:pPr>
        <w:pStyle w:val="TextoNormal"/>
      </w:pPr>
      <w:r>
        <w:t xml:space="preserve">En escrito presentado en fecha 16 de febrero de 2006 ante la Sala de Gobierno del Tribunal Superior de Justicia de Galicia el demandante de amparo denunciaba nuevamente la vulneración del derecho a un proceso sin dilaciones indebidas, solicitando la tramitación urgente del incidente de recusación, además de otros pedimentos. </w:t>
      </w:r>
    </w:p>
    <w:p w:rsidR="0052098F" w:rsidRDefault="0052098F" w:rsidP="0052098F">
      <w:pPr>
        <w:pStyle w:val="TextoNormal"/>
      </w:pPr>
      <w:r>
        <w:lastRenderedPageBreak/>
        <w:t xml:space="preserve">i) Recibidas las actuaciones judiciales la Sala de Gobierno del Tribunal Superior de Justicia de Galicia, en Acuerdo de 16 de febrero de 2006, designó Ponente al Magistrado don Manuel Almenar Belenguer. </w:t>
      </w:r>
    </w:p>
    <w:p w:rsidR="0052098F" w:rsidRDefault="0052098F" w:rsidP="0052098F">
      <w:pPr>
        <w:pStyle w:val="TextoNormal"/>
      </w:pPr>
      <w:r>
        <w:t xml:space="preserve">j) En fecha 9 de marzo de 2006 nuevamente el demandante de amparo presentó un escrito ante la Sala de Gobierno del Tribunal Superior de Justicia de Galicia solicitando se le informara sobre el estado de la tramitación del incidente de recusación. </w:t>
      </w:r>
    </w:p>
    <w:p w:rsidR="0052098F" w:rsidRDefault="0052098F" w:rsidP="0052098F">
      <w:pPr>
        <w:pStyle w:val="TextoNormal"/>
      </w:pPr>
      <w:r>
        <w:t xml:space="preserve">k) El Ponente designado emitió informe de fecha 30 de junio de 2006, presentado ante la Sala de Gobierno del Tribunal Superior de Justicia de Galicia el día 27 de julio de 2006, concluyendo que por la Sala de Gobierno se procediera a designar un Magistrado de la Sala de lo Civil y Penal del Tribunal Superior de Justicia de Galicia como instructor del incidente de recusación, conforme a lo previsto en el art. 224.1.2 LOPJ, a fin de que se diera el trámite previsto en el art. 225.1 in fine, del mismo texto legal, recabando el oportuno informe de los Magistrados recusados, sobre si admiten o no la causa de abstención, y con su resultado se resuelva lo procedente de acuerdo con el art. 225.2 y 3 LOPJ. l) La Sala de Gobierno del Tribunal Superior de Justicia de Galicia, en Acuerdo de fecha 8 de septiembre de 2006, dio traslado del incidente de recusación, conforme a lo dispuesto en el art. 224.1.2 LOPJ, a la Sala de lo Civil y Penal del Tribunal Superior de Justicia de Galicia, a los efectos de proceder al nombramiento de instructor. </w:t>
      </w:r>
    </w:p>
    <w:p w:rsidR="0052098F" w:rsidRDefault="0052098F" w:rsidP="0052098F">
      <w:pPr>
        <w:pStyle w:val="TextoNormal"/>
      </w:pPr>
      <w:r>
        <w:t>m) El 29 de noviembre de 2006 el recurrente interpone la presente demanda de amparo.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Desde la fecha de la presentación de la demanda de amparo el Tribunal Superior de Justicia de Galicia ha realizado las siguientes actuaciones procesales: </w:t>
      </w:r>
    </w:p>
    <w:p w:rsidR="0052098F" w:rsidRDefault="0052098F" w:rsidP="0052098F">
      <w:pPr>
        <w:pStyle w:val="TextoNormal"/>
      </w:pPr>
      <w:r>
        <w:t xml:space="preserve">a) Mediante diligencia de ordenación de 22 de junio de 2007 se acordó remitir el expediente del incidente de recusación a la referida Sala de lo Civil y Penal del Tribunal Superior de Justicia de Galicia. </w:t>
      </w:r>
    </w:p>
    <w:p w:rsidR="0052098F" w:rsidRDefault="0052098F" w:rsidP="0052098F">
      <w:pPr>
        <w:pStyle w:val="TextoNormal"/>
      </w:pPr>
      <w:r>
        <w:t xml:space="preserve">b) Por providencia de 26 de junio de 2007 la Sala de lo Civil y Penal del Tribunal Superior de Justicia de Galicia, tuvo por recibido el incidente de recusación, designando a don Pablo Saavedra Rodríguez como instructor del mismo, lo que fue notificado al solicitante. </w:t>
      </w:r>
    </w:p>
    <w:p w:rsidR="0052098F" w:rsidRDefault="0052098F" w:rsidP="0052098F">
      <w:pPr>
        <w:pStyle w:val="TextoNormal"/>
      </w:pPr>
      <w:r>
        <w:t xml:space="preserve">c) Por providencia de 6 de julio de 2007 el Magistrado instructor, conforme a lo dispuesto en el art. 225.1.2 LOPJ, recabó informe de cada uno de los Magistrados recusados sobre si admitían o no las causas de recusación contra ellos formuladas, lo que fue, a su vez, notificado al Ministerio Fiscal. </w:t>
      </w:r>
    </w:p>
    <w:p w:rsidR="0052098F" w:rsidRDefault="0052098F" w:rsidP="0052098F">
      <w:pPr>
        <w:pStyle w:val="TextoNormal"/>
      </w:pPr>
      <w:r>
        <w:t xml:space="preserve">d) Recabados los informes de los Magistrados recusados —en los que éstos no aceptaron como ciertas las causas de recusación formuladas—, por el Magistrado instructor se dictó providencia el día 13 de septiembre de 2007 admitiendo a trámite la recusación propuesta por reunir los requisitos exigidos por la ley. </w:t>
      </w:r>
    </w:p>
    <w:p w:rsidR="0052098F" w:rsidRDefault="0052098F" w:rsidP="0052098F">
      <w:pPr>
        <w:pStyle w:val="TextoNormal"/>
      </w:pPr>
      <w:r>
        <w:t xml:space="preserve">e) Por providencia de 19 de octubre de 2007 se dio por conclusa la instrucción del incidente de recusación. </w:t>
      </w:r>
    </w:p>
    <w:p w:rsidR="0052098F" w:rsidRDefault="0052098F" w:rsidP="0052098F">
      <w:pPr>
        <w:pStyle w:val="TextoNormal"/>
      </w:pPr>
      <w:r>
        <w:t xml:space="preserve">f) El 24 de octubre de 2007, por Acuerdo del Presidente en funciones del Tribunal Superior de Justicia de Galicia, se convocó la Sala Especial a la que se refiere el art. 77 LOPJ, que se constituyó el 6 de noviembre de 2007. </w:t>
      </w:r>
    </w:p>
    <w:p w:rsidR="0052098F" w:rsidRDefault="0052098F" w:rsidP="0052098F">
      <w:pPr>
        <w:pStyle w:val="TextoNormal"/>
      </w:pPr>
      <w:r>
        <w:t xml:space="preserve">g) El día 12 de noviembre de 2007 tuvo entrada en el Registro General del Tribunal Superior de Justicia de Galicia el preceptivo informe del Ministerio Fiscal. En el mismo concluye que no concurren las causas de recusación alegadas e interesa la desestimación del incidente de recusación. </w:t>
      </w:r>
    </w:p>
    <w:p w:rsidR="0052098F" w:rsidRDefault="0052098F" w:rsidP="0052098F">
      <w:pPr>
        <w:pStyle w:val="TextoNormal"/>
      </w:pPr>
      <w:r>
        <w:t>h) Por Auto de 13 de diciembre de 2007 la Sala desestimó la solicitud de recusación formulada.</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4</w:t>
      </w:r>
      <w:r>
        <w:t>. La demanda de amparo interpuesta por don Gerardo Álvarez Reza considera vulnerados los derechos a la tutela judicial efectiva y a un proceso sin dilaciones indebidas, ya que el incidente de recusación, instado el 7 de noviembre de 2005, no había sido ni siquiera instruido a fecha de interposición de la presente demanda de amparo (hecho que tuvo lugar el 29 de noviembre de 2006). El recurrente recuerda, además, que dicha recusación incide en un proceso penal —abierto, en fase de apelación— y que puede estar comprometiendo la labor desempeñada en el mismo por los Magistrados cuestionados. De tal forma se ha producido una patente lesión del derecho a un proceso sin dilaciones indebidas (art. 24.2 CE). Tal vulneración ha provocado que el recurrente no haya recibido una respuesta jurídica a sus pretensiones, lo que compromete igualmente el derecho a la tutela judicial efectiva (art. 24.1 CE).</w:t>
      </w:r>
    </w:p>
    <w:p w:rsidR="0052098F" w:rsidRDefault="0052098F" w:rsidP="0052098F">
      <w:pPr>
        <w:pStyle w:val="TextoNormal"/>
      </w:pPr>
    </w:p>
    <w:p w:rsidR="0052098F" w:rsidRDefault="0052098F" w:rsidP="0052098F">
      <w:pPr>
        <w:pStyle w:val="TextoNormal"/>
      </w:pPr>
      <w:r w:rsidRPr="0052098F">
        <w:rPr>
          <w:rStyle w:val="NumeroAFNegritaCaracter"/>
        </w:rPr>
        <w:t>5</w:t>
      </w:r>
      <w:r>
        <w:t>. La Sala Segunda del Tribunal Constitucional, por providencia de 23 de julio de 2007, acordó admitir a trámite la demanda de amparo y, constando ya las actuaciones en el presente recurso, acordó dirigir comunicación a la Audiencia Provincial de Ourense, Sección Segunda, a fin de que, en plazo que no excediera de diez días, emplazase a quienes hubieran sido parte en el procedimiento, con excepción del demandante de amparo, para que, si lo desearen, pudiesen comparecer en el plazo de diez días en el presente proceso de amparo.</w:t>
      </w:r>
    </w:p>
    <w:p w:rsidR="0052098F" w:rsidRDefault="0052098F" w:rsidP="0052098F">
      <w:pPr>
        <w:pStyle w:val="TextoNormal"/>
      </w:pPr>
    </w:p>
    <w:p w:rsidR="0052098F" w:rsidRDefault="0052098F" w:rsidP="0052098F">
      <w:pPr>
        <w:pStyle w:val="TextoNormal"/>
      </w:pPr>
      <w:r w:rsidRPr="0052098F">
        <w:rPr>
          <w:rStyle w:val="NumeroAFNegritaCaracter"/>
        </w:rPr>
        <w:t>6</w:t>
      </w:r>
      <w:r>
        <w:t>. Por diligencia de ordenación de 18 de octubre de 2007 se acordó dar vista de las actuaciones recibidas a la parte recurrente y al Ministerio Fiscal, por plazo común de veinte días, para presentar las alegaciones que estimasen pertinentes, de conformidad con el art. 52.1 LOTC.</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Por escrito registrado el 26 de noviembre de 2007 el Ministerio Fiscal, cumplimentando el trámite de alegaciones, interesó la estimación del amparo. </w:t>
      </w:r>
    </w:p>
    <w:p w:rsidR="0052098F" w:rsidRDefault="0052098F" w:rsidP="0052098F">
      <w:pPr>
        <w:pStyle w:val="TextoNormal"/>
      </w:pPr>
      <w:r>
        <w:t xml:space="preserve">Tras recoger la doctrina del Tribunal Constitucional en materia de derecho a un proceso sin dilaciones indebidas, el Ministerio Fiscal hace constar que el demandante de amparo ha denunciado la existencia de la vulneración del derecho mediante la presentación de varios escritos y que el lapso temporal transcurrido desde la formulación por el demandante de amparo del incidente de recusación hasta la presentación de la demanda de amparo es superior a un año, sin que pueda calificarse de razonable. </w:t>
      </w:r>
    </w:p>
    <w:p w:rsidR="0052098F" w:rsidRDefault="0052098F" w:rsidP="0052098F">
      <w:pPr>
        <w:pStyle w:val="TextoNormal"/>
      </w:pPr>
      <w:r>
        <w:t>Por otra parte el Ministerio Fiscal señala que la cuestión planteada no presenta excesiva complejidad y que el incidente de recusación se planteó en el marco de un procedimiento penal en el que ya se había dictado Sentencia condenatoria y que estaba pendiente de resolver un recurso de apelación interpuesto por el recurrente, circunstancias todas ellas que hacían necesario tramitar el incidente con especial celeridad, dadas las consecuencias especialmente perjudiciales que las dilaciones pueden tener para el afectado en tales supuestos.</w:t>
      </w:r>
    </w:p>
    <w:p w:rsidR="0052098F" w:rsidRDefault="0052098F" w:rsidP="0052098F">
      <w:pPr>
        <w:pStyle w:val="TextoNormal"/>
      </w:pPr>
    </w:p>
    <w:p w:rsidR="0052098F" w:rsidRDefault="0052098F" w:rsidP="0052098F">
      <w:pPr>
        <w:pStyle w:val="TextoNormal"/>
      </w:pPr>
      <w:r w:rsidRPr="0052098F">
        <w:rPr>
          <w:rStyle w:val="NumeroAFNegritaCaracter"/>
        </w:rPr>
        <w:t>8</w:t>
      </w:r>
      <w:r>
        <w:t>. El 14 de enero de 2008 tuvo entrada en este Tribunal escrito de alegaciones presentado por don Gerardo Álvarez Reza, quien insiste en las alegaciones mantenidas con anterioridad en su recurso de amparo.</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21 de febrero de 2008, se señaló para deliberación y votación de la presente Sentencia el día 25 del mismo mes y año.</w:t>
      </w:r>
    </w:p>
    <w:p w:rsidR="0052098F" w:rsidRDefault="0052098F" w:rsidP="0052098F">
      <w:pPr>
        <w:pStyle w:val="TextoNormal"/>
      </w:pPr>
    </w:p>
    <w:p w:rsidR="0052098F" w:rsidRDefault="0052098F" w:rsidP="0052098F">
      <w:pPr>
        <w:pStyle w:val="TextoNormalNegritaCentrado"/>
        <w:keepNext/>
      </w:pPr>
      <w:r>
        <w:lastRenderedPageBreak/>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demanda de amparo se fundamenta en la alegación de vulneración del derecho a un proceso sin dilaciones indebidas (art. 24.2 CE) ante la falta de resolución del incidente de recusación planteado por el propio demandante en fecha 7 de noviembre de 2005 en el rollo de apelación penal núm. 70-2005 de la Sección Segunda de la Audiencia Provincial de Ourense, dimanante del procedimiento abreviado núm. 29-2005 del Juzgado de lo Penal núm. 2 de Ourense, y que a la fecha de la demanda, 23 de noviembre de 2006, aún no había sido resuelto. La demanda se refiere asimismo a la vulneración del derecho a un proceso sin dilaciones indebidas ante la falta de resolución del recurso de apelación penal interpuesto contra la Sentencia de fecha 29 de junio de 2005 dictada por el referido Juzgado de lo Penal núm. 2 de Ourense en los autos de procedimiento abreviado núm. 29-2005, como consecuencia de la falta de resolución del señalado incidente de recusación.</w:t>
      </w:r>
    </w:p>
    <w:p w:rsidR="0052098F" w:rsidRDefault="0052098F" w:rsidP="0052098F">
      <w:pPr>
        <w:pStyle w:val="TextoNormal"/>
      </w:pPr>
      <w:r>
        <w:t>En sus alegaciones el Ministerio Fiscal interesó la estimación del amparo. Para el Ministerio Fiscal la aplicación al presente asunto de la doctrina sobre el derecho a un proceso sin dilaciones indebidas elaborada por este Tribunal tiene como resultado la indicada estimación.</w:t>
      </w:r>
    </w:p>
    <w:p w:rsidR="0052098F" w:rsidRDefault="0052098F" w:rsidP="0052098F">
      <w:pPr>
        <w:pStyle w:val="TextoNormal"/>
      </w:pPr>
    </w:p>
    <w:p w:rsidR="0052098F" w:rsidRDefault="0052098F" w:rsidP="0052098F">
      <w:pPr>
        <w:pStyle w:val="TextoNormal"/>
      </w:pPr>
      <w:r w:rsidRPr="0052098F">
        <w:rPr>
          <w:rStyle w:val="NumeroAFNegritaCaracter"/>
        </w:rPr>
        <w:t>2</w:t>
      </w:r>
      <w:r>
        <w:t>. Para abordar la cuestión suscitada resulta oportuno recordar la doctrina de este Tribunal en relación con el derecho a no padecer dilaciones indebidas que se reconoce en el art. 24.2 CE. A tal efecto basta con recordar que esta misma Sala, en STC 178/2007, de 23 de julio, FJ 2, que recoge y sistematiza nuestra doctrina anterior, tiene declarado que:</w:t>
      </w:r>
    </w:p>
    <w:p w:rsidR="0052098F" w:rsidRDefault="0052098F" w:rsidP="0052098F">
      <w:pPr>
        <w:pStyle w:val="TextoNormal"/>
      </w:pPr>
      <w:r>
        <w:t>“[E]l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52098F" w:rsidRDefault="0052098F" w:rsidP="0052098F">
      <w:pPr>
        <w:pStyle w:val="TextoNormal"/>
      </w:pPr>
      <w:r>
        <w:t xml:space="preserve">También hemos dicho que es necesario denunciar previamente el retraso o dilación, con el fin de que el Juez o Tribunal pueda reparar la vulneración que se denuncia, de forma que, si previamente no se ha agotado tal posibilidad, la demanda ante el Tribunal Constitucional </w:t>
      </w:r>
      <w:r>
        <w:lastRenderedPageBreak/>
        <w:t>no puede prosperar. Esta exigencia obedece, ante todo, al carácter subsidiario del amparo, que determina que sean los órganos judiciales los encargados de dispensar en primer lugar la tutela de los derechos fundamentales. Pero también responde al deber de colaboración de todos, y, especialmente, de las partes, con los órganos judiciales en el desarrollo del proceso a los que se encomienda, en definitiva, la prestación de la tutela prevista en el art. 24 CE (entre otras, SSTC 140/1998, de 29 de junio, FJ 4; y 32/1999, de 8 de marzo, FJ 4)”.</w:t>
      </w:r>
    </w:p>
    <w:p w:rsidR="0052098F" w:rsidRDefault="0052098F" w:rsidP="0052098F">
      <w:pPr>
        <w:pStyle w:val="TextoNormal"/>
      </w:pPr>
    </w:p>
    <w:p w:rsidR="0052098F" w:rsidRDefault="0052098F" w:rsidP="0052098F">
      <w:pPr>
        <w:pStyle w:val="TextoNormal"/>
      </w:pPr>
      <w:r w:rsidRPr="0052098F">
        <w:rPr>
          <w:rStyle w:val="NumeroAFNegritaCaracter"/>
        </w:rPr>
        <w:t>3</w:t>
      </w:r>
      <w:r>
        <w:t>. La aplicación de la anterior doctrina al caso conduce directamente a la constatación de que en él ha resultado lesionado el derecho fundamental invocado.</w:t>
      </w:r>
    </w:p>
    <w:p w:rsidR="0052098F" w:rsidRDefault="0052098F" w:rsidP="0052098F">
      <w:pPr>
        <w:pStyle w:val="TextoNormal"/>
      </w:pPr>
      <w:r>
        <w:t>En efecto, la cuestión planteada no presentaba una complejidad excesiva, como afirma el Ministerio Fiscal, siendo así que no puede confundirse complejidad jurídica con volumen de la causa.</w:t>
      </w:r>
    </w:p>
    <w:p w:rsidR="0052098F" w:rsidRDefault="0052098F" w:rsidP="0052098F">
      <w:pPr>
        <w:pStyle w:val="TextoNormal"/>
      </w:pPr>
      <w:r>
        <w:t>Por lo que hace referencia al lapso temporal a valorar en el presente caso debe indicarse que este lapso es el transcurrido desde la formulación por el demandante de amparo del incidente de recusación, el día 7 de noviembre de 2005, hasta la presentación de la demanda de amparo, el día 23 de noviembre de 2006.</w:t>
      </w:r>
    </w:p>
    <w:p w:rsidR="0052098F" w:rsidRDefault="0052098F" w:rsidP="0052098F">
      <w:pPr>
        <w:pStyle w:val="TextoNormal"/>
      </w:pPr>
      <w:r>
        <w:t>A la luz de las circunstancias que concurren en el presente caso este plazo no puede calificarse de razonable y excede con creces el plazo temporal medio de tramitación de un incidente de recusación. Del examen de las actuaciones no se infiere la concurrencia de especiales dificultades que justificasen una dilación temporal superior a un año. En un primer momento, el lapso temporal que transcurre entre la presentación del incidente de recusación y su remisión efectiva a la Sala de Gobierno del Tribunal Superior de Justicia de Galicia —que se produjo el día 16 de diciembre de 2005— no puede calificarse de excesivo o irrazonable. Sin embargo no puede decirse lo mismo del lapso de tiempo transcurrido a partir de ese momento. La Sala de Gobierno del Tribunal Superior de Justicia adopta su primer Acuerdo el 16 de febrero de 2006, el informe redactado por el Vocal-Ponente no es presentado hasta el 27 de julio de 2006. La siguiente actuación tiene lugar en fecha 8 de septiembre de 2006 en la que se acuerda dar traslado del incidente de recusación a la Sala de lo Civil y Penal del Tribunal Superior de Justicia de Galicia. Este traslado, sin embargo, no se materializa hasta el mes de junio de 2007, por lo que la tramitación del incidente quedó paralizada durante este período.</w:t>
      </w:r>
    </w:p>
    <w:p w:rsidR="0052098F" w:rsidRDefault="0052098F" w:rsidP="0052098F">
      <w:pPr>
        <w:pStyle w:val="TextoNormal"/>
      </w:pPr>
      <w:r>
        <w:t>La anterior exposición pone en evidencia que no se obró con la necesaria diligencia y celeridad en la tramitación del incidente de recusación. En suma, la duración de la tramitación del incidente de recusación incumple el requerimiento del plazo razonable.</w:t>
      </w:r>
    </w:p>
    <w:p w:rsidR="0052098F" w:rsidRDefault="0052098F" w:rsidP="0052098F">
      <w:pPr>
        <w:pStyle w:val="TextoNormal"/>
      </w:pPr>
      <w:r>
        <w:t>Por otra parte no puede afirmarse que la actitud de la recurrente en amparo haya propiciado, por lo que no puede serle achacado, en consecuencia, el retraso denunciado.  Ciertamente el demandante de amparo denunció en diversas ocasiones la existencia de vulneración del derecho a un proceso sin dilaciones indebidas, mediante la presentación de varios escritos, tanto ante la Sección Segunda de la Audiencia Provincial de Ourense, como ante la Sala de Gobierno del Tribunal Superior de Justicia de Galicia, poniendo de manifiesto la tardanza en resolver el incidente de recusación y solicitando su tramitación con carácter urgente, como hemos visto. Se cumple, por lo tanto, el requisito formal exigido por este Tribunal, consistente en la previa invocación por el demandante de amparo del derecho a un proceso sin dilaciones indebidas ante los Tribunales de instancia, lo que permite a estos últimos reaccionar frente a la dilación denunciada mediante los mecanismos e instrumentos jurídicos adecuados.</w:t>
      </w:r>
    </w:p>
    <w:p w:rsidR="0052098F" w:rsidRDefault="0052098F" w:rsidP="0052098F">
      <w:pPr>
        <w:pStyle w:val="TextoNormal"/>
      </w:pPr>
      <w:r>
        <w:t xml:space="preserve">A este dato procede añadir que, tal como acertadamente recuerda el Ministerio Fiscal, el incidente de recusación se formula en el marco de un procedimiento penal, en el que ya se </w:t>
      </w:r>
      <w:r>
        <w:lastRenderedPageBreak/>
        <w:t>había dictado Sentencia condenatoria y en el que estaba pendiente de resolverse un recurso de apelación interpuesto por el condenado, por lo que era necesario tramitar el incidente con especial celeridad. Así lo establece la STC 35/1994, de 31 de enero, en cuyo fundamento jurídico 2 se señala que las dilaciones indebidas “son especialmente relevantes en el orden penal. En él la tardanza excesiva o irrazonable en la finalización de los procesos puede tener sobre el afectado unas consecuencias especialmente perjudiciales, de modo que en materia penal la dimensión temporal del proceso tiene mayor incidencia que en otros ordenes jurisdiccionales, pues están en entredicho valores o derechos que reclaman tratamientos preferentes”. En el presente asunto la decisión final sobre el recurso de apelación penal interpuesto contra la Sentencia condenatoria dependía, en definitiva, de la resolución final del incidente de recusación planteado por el demandante de amparo.</w:t>
      </w:r>
    </w:p>
    <w:p w:rsidR="0052098F" w:rsidRDefault="0052098F" w:rsidP="0052098F">
      <w:pPr>
        <w:pStyle w:val="TextoNormal"/>
      </w:pPr>
    </w:p>
    <w:p w:rsidR="0052098F" w:rsidRDefault="0052098F" w:rsidP="0052098F">
      <w:pPr>
        <w:pStyle w:val="TextoNormal"/>
      </w:pPr>
      <w:r w:rsidRPr="0052098F">
        <w:rPr>
          <w:rStyle w:val="NumeroAFNegritaCaracter"/>
        </w:rPr>
        <w:t>4</w:t>
      </w:r>
      <w:r>
        <w:t>. El otorgamiento del amparo debe limitarse en el presente caso a la declaración de violación del derecho fundamental, ya que en el momento de dictarse la presente Sentencia, según se ha puesto de manifiesto en los antecedentes, la inactividad jurisdiccional lesiva del mencionado derecho fundamental ha cesado, al haberse concluido, para desestimarlo, la instrucción del incidente de recusación (SSTC 117/2004, de 18 de octubre, FJ 5; 198/1999, de 25 de octubre, FJ 7; 215/1992, de 1 de diciembre, FJ 6; por todas). Por otra parte, es claro que la propia dilación indebida en el incidente produce idéntica dilación en el procedimiento principal.</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el recurso interpuesto por don Gerardo Álvarez Reza, y, en consecuencia:</w:t>
      </w:r>
    </w:p>
    <w:p w:rsidR="0052098F" w:rsidRDefault="0052098F" w:rsidP="0052098F">
      <w:pPr>
        <w:pStyle w:val="TextoNormal"/>
      </w:pPr>
      <w:r>
        <w:t>Declarar que ha sido vulnerado el derecho fundamental del demandante de amparo a un proceso sin dilaciones indebidas (art. 24.2 CE) en la tramitación del incidente de recusación 19-2007 (Registro General) que se sigue ante el Tribunal Superior de Justicia de Galicia y, como consecuencia, por la falta de resolución del recurso de apelación penal interpuesto contra la Sentencia de fecha 29 de junio de 2005 dictada por el referido Juzgado de lo Penal núm. 2 de Ourense en los autos de procedimiento abreviado núm. 29-2005.</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Madrid, a veinticinco de febrero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2" w:name="SENTENCIA_2008_39"/>
      <w:r>
        <w:lastRenderedPageBreak/>
        <w:t>SENTENCIA 39/2008, de 10 de marzo de 2008</w:t>
      </w:r>
    </w:p>
    <w:bookmarkEnd w:id="42"/>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ECLI:ES:TC:2008:39</w:t>
      </w:r>
    </w:p>
    <w:p w:rsidR="0052098F" w:rsidRDefault="0052098F" w:rsidP="0052098F">
      <w:pPr>
        <w:pStyle w:val="SntesisDescriptiva"/>
      </w:pPr>
    </w:p>
    <w:p w:rsidR="0052098F" w:rsidRDefault="0052098F" w:rsidP="0052098F">
      <w:pPr>
        <w:pStyle w:val="SntesisDescriptiva"/>
      </w:pPr>
      <w:r>
        <w:t>Recurso de amparo 6076-2003. Promovido por don Eduardo Tamayo Barrena y otra respecto a la resolución de la Asamblea de Madrid que les impidió ser miembros de la Comisión de investigación creada para evaluar las responsabilidades que pudieran derivarse de actuaciones urbanísticas en Madrid relacionadas con el bloqueo institucional de la Asamblea.</w:t>
      </w:r>
    </w:p>
    <w:p w:rsidR="0052098F" w:rsidRDefault="0052098F" w:rsidP="0052098F">
      <w:pPr>
        <w:pStyle w:val="SntesisDescriptiva"/>
      </w:pPr>
    </w:p>
    <w:p w:rsidR="0052098F" w:rsidRDefault="0052098F" w:rsidP="0052098F">
      <w:pPr>
        <w:pStyle w:val="SntesisAnaltica"/>
      </w:pPr>
      <w:r>
        <w:t>Supuesta vulneración del derecho al ejercicio del cargo parlamentario: participación en una comisión de investigación atinente a hechos protagonizados por los diputados, adscritos al grupo mixto.</w:t>
      </w:r>
    </w:p>
    <w:p w:rsidR="0052098F" w:rsidRDefault="0052098F" w:rsidP="0052098F">
      <w:pPr>
        <w:pStyle w:val="SntesisAnaltica"/>
      </w:pPr>
    </w:p>
    <w:p w:rsidR="0052098F" w:rsidRDefault="0052098F" w:rsidP="0052098F">
      <w:pPr>
        <w:pStyle w:val="Extracto"/>
      </w:pPr>
      <w:r>
        <w:t>1.</w:t>
      </w:r>
      <w:r>
        <w:tab/>
        <w:t>La exclusión de los parlamentarios afectados por la investigación de la Comisión parlamentaria puede considerarse una medida idónea para preservar los criterios de actuación fijados para la Comisión para la averiguación de los intereses urbanísticos que pudieran estar relacionados con el bloqueo institucional de la Asamblea de Madrid, por lo que no se ve vulnerado el derecho de los recurrentes a ejercer con libertad y en condiciones de igualdad su labor representativa en el Grupo Mixto (art. 23.2 CE) [FJ 7].</w:t>
      </w:r>
    </w:p>
    <w:p w:rsidR="0052098F" w:rsidRDefault="0052098F" w:rsidP="0052098F">
      <w:pPr>
        <w:pStyle w:val="Extracto"/>
      </w:pPr>
    </w:p>
    <w:p w:rsidR="0052098F" w:rsidRDefault="0052098F" w:rsidP="0052098F">
      <w:pPr>
        <w:pStyle w:val="Extracto"/>
      </w:pPr>
      <w:r>
        <w:t>2.</w:t>
      </w:r>
      <w:r>
        <w:tab/>
        <w:t>La Mesa de la Diputación Permanente de la Asamblea de Madrid aprobó las normas de composición, organización y funcionamiento de la Comisión de investigación sometidas al examen de constitucionalidad, donde se ponderan de manera razonable los valores de objetividad y eficacia en su actuación [FJ 7].</w:t>
      </w:r>
    </w:p>
    <w:p w:rsidR="0052098F" w:rsidRDefault="0052098F" w:rsidP="0052098F">
      <w:pPr>
        <w:pStyle w:val="Extracto"/>
      </w:pPr>
    </w:p>
    <w:p w:rsidR="0052098F" w:rsidRDefault="0052098F" w:rsidP="0052098F">
      <w:pPr>
        <w:pStyle w:val="Extracto"/>
      </w:pPr>
      <w:r>
        <w:t>3.</w:t>
      </w:r>
      <w:r>
        <w:tab/>
        <w:t>Tratándose, como es el caso del art. 23.2 CE, de un derecho de configuración legal, la infracción de los derechos reconocidos a los miembros de las Cámaras legislativas, bien individualmente considerados bien como integrantes de un grupo parlamentario, conlleva en sí misma la vulneración del derecho al ejercicio del cargo en condiciones de igualdad [FJ 6].</w:t>
      </w:r>
    </w:p>
    <w:p w:rsidR="0052098F" w:rsidRDefault="0052098F" w:rsidP="0052098F">
      <w:pPr>
        <w:pStyle w:val="Extracto"/>
      </w:pPr>
    </w:p>
    <w:p w:rsidR="0052098F" w:rsidRDefault="0052098F" w:rsidP="0052098F">
      <w:pPr>
        <w:pStyle w:val="Extracto"/>
      </w:pPr>
      <w:r>
        <w:t>4.</w:t>
      </w:r>
      <w:r>
        <w:tab/>
        <w:t>No es posible apreciar vulneración sustantiva del artículo 63.2 del Reglamento de la Asamblea de Madrid donde se garantiza la representación de todos los grupos parlamentarios en las Comisiones que se constituyan en la Asamblea de Madrid ya que al Grupo Mixto le correspondía un puesto en la Comisión de investigación, sin embargo, la exclusión de los dos parlamentarios, únicos miembros del Grupo Mixto en ese momento, fue acordada en tanto que estaban directamente afectados por el objeto de la Comisión [FJ 6].</w:t>
      </w:r>
    </w:p>
    <w:p w:rsidR="0052098F" w:rsidRDefault="0052098F" w:rsidP="0052098F">
      <w:pPr>
        <w:pStyle w:val="Extracto"/>
      </w:pPr>
    </w:p>
    <w:p w:rsidR="0052098F" w:rsidRDefault="0052098F" w:rsidP="0052098F">
      <w:pPr>
        <w:pStyle w:val="Extracto"/>
      </w:pPr>
      <w:r>
        <w:t>5.</w:t>
      </w:r>
      <w:r>
        <w:tab/>
        <w:t xml:space="preserve">Los Reglamentos parlamentarios son los encargados de fijar y ordenar los derechos y atribuciones que a los parlamentarios corresponden, lo que forma parte del ius in officium tutelado por el art. 23.2 CE, y que pasa a integrarse en el status </w:t>
      </w:r>
      <w:r>
        <w:lastRenderedPageBreak/>
        <w:t>representativo de los parlamentarios, aunque únicamente poseen relevancia constitucional aquellos derechos o facultades que pertenezcan al núcleo de la función representativa parlamentaria (STC 141/2007) [FJ 5].</w:t>
      </w:r>
    </w:p>
    <w:p w:rsidR="0052098F" w:rsidRDefault="0052098F" w:rsidP="0052098F">
      <w:pPr>
        <w:pStyle w:val="Extracto"/>
      </w:pPr>
    </w:p>
    <w:p w:rsidR="0052098F" w:rsidRDefault="0052098F" w:rsidP="0052098F">
      <w:pPr>
        <w:pStyle w:val="Extracto"/>
      </w:pPr>
      <w:r>
        <w:t>6.</w:t>
      </w:r>
      <w:r>
        <w:tab/>
        <w:t>Conforme a la doctrina de este Tribunal, la Constitución veta la privación o perturbación al representante político de la práctica de su cargo, introduciendo obstáculos que puedan colocar a unos representantes en condiciones de inferioridad respecto de otros (SSTC 10/1983, 141/2007) [FJ 5].</w:t>
      </w:r>
    </w:p>
    <w:p w:rsidR="0052098F" w:rsidRDefault="0052098F" w:rsidP="0052098F">
      <w:pPr>
        <w:pStyle w:val="Extracto"/>
      </w:pPr>
    </w:p>
    <w:p w:rsidR="0052098F" w:rsidRDefault="0052098F" w:rsidP="0052098F">
      <w:pPr>
        <w:pStyle w:val="Extracto"/>
      </w:pPr>
      <w:r>
        <w:t>7.</w:t>
      </w:r>
      <w:r>
        <w:tab/>
        <w:t>Doctrina constitucional relacionada con las decisiones de las Mesas de las Cámaras que pueden dar lugar a la vulneración del derecho de los ciudadanos a participar en los asuntos públicos (SSTC 177/2002, 361/2006) [FJ 5].</w:t>
      </w:r>
    </w:p>
    <w:p w:rsidR="0052098F" w:rsidRDefault="0052098F" w:rsidP="0052098F">
      <w:pPr>
        <w:pStyle w:val="Extracto"/>
      </w:pPr>
    </w:p>
    <w:p w:rsidR="0052098F" w:rsidRDefault="0052098F" w:rsidP="0052098F">
      <w:pPr>
        <w:pStyle w:val="Extracto"/>
      </w:pPr>
      <w:r>
        <w:t>8.</w:t>
      </w:r>
      <w:r>
        <w:tab/>
        <w:t>No es necesario invocar, en materia electoral, el art. 14 CE porque el art. 23.2 CE especifica el derecho a la igualdad en el acceso a las funciones y cargos públicos (SSTC 75/1983, 191/2007) [FJ 4].</w:t>
      </w:r>
    </w:p>
    <w:p w:rsidR="0052098F" w:rsidRDefault="0052098F" w:rsidP="0052098F">
      <w:pPr>
        <w:pStyle w:val="Extracto"/>
      </w:pPr>
    </w:p>
    <w:p w:rsidR="0052098F" w:rsidRDefault="0052098F" w:rsidP="0052098F">
      <w:pPr>
        <w:pStyle w:val="Extracto"/>
      </w:pPr>
      <w:r>
        <w:t>9.</w:t>
      </w:r>
      <w:r>
        <w:tab/>
        <w:t>Doctrina constitucional sobre la necesidad de que exista una lesión efectiva, real y concreta de un derecho fundamental, y no un hipotético daño potencial o previsiblemente futuro (STC 288/2006) [FJ 3].</w:t>
      </w:r>
    </w:p>
    <w:p w:rsidR="0052098F" w:rsidRDefault="0052098F" w:rsidP="0052098F">
      <w:pPr>
        <w:pStyle w:val="Extracto"/>
      </w:pPr>
    </w:p>
    <w:p w:rsidR="0052098F" w:rsidRDefault="0052098F" w:rsidP="0052098F">
      <w:pPr>
        <w:pStyle w:val="Extracto"/>
      </w:pPr>
      <w:r>
        <w:t>10.</w:t>
      </w:r>
      <w:r>
        <w:tab/>
        <w:t>No cabe negar la legitimación activa de la recurrente toda vez que también se halla comprendida en la limitación del derecho a participar en la Comisión de investigación [FJ 3].</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6076-2003, promovido por don Eduardo Tamayo Barrena y doña María Teresa Sáez Laguna, representados por la Procuradora de los Tribunales doña Esmeralda González García del Río y asistidos por el Abogado don Jesús Miana Ortega, contra Resolución de 10 de julio de 2003 de la Mesa de la Diputación Permanente de la Asamblea de Madrid. Han intervenido la Asamblea de Madrid representada por el Letrado Jefe de su Asesoría Jurídica y el Ministerio Fiscal. Ha sido Ponente el Magistrado don Jorge Rodríguez-Zapata Pérez, quien expresa el parecer de la Sala.</w:t>
      </w:r>
    </w:p>
    <w:p w:rsidR="0052098F" w:rsidRDefault="0052098F" w:rsidP="0052098F">
      <w:pPr>
        <w:pStyle w:val="TextoNormal"/>
      </w:pPr>
    </w:p>
    <w:p w:rsidR="0052098F" w:rsidRDefault="0052098F" w:rsidP="0052098F">
      <w:pPr>
        <w:pStyle w:val="TextoNormalNegritaCentrado"/>
        <w:keepNext/>
      </w:pPr>
      <w:r>
        <w:lastRenderedPageBreak/>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Por escrito registrado en este Tribunal el 10 de octubre de 2003, los parlamentarios de la Asamblea de Madrid, don Eduardo Tamayo Barrena y doña María Teresa Sáez Laguna, interpusieron recurso de amparo contra la Resolución de la Mesa de la Diputación Permanente de la Asamblea de Madrid de 10 de julio de 2003, que les excluía como integrantes de una Comisión de investigación cuyas reglas básicas de composición, organización y funcionamiento se aprobaban asimismo en la decisión impugnada.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fundamentos de hecho de la demanda de amparo y de las alegaciones formuladas son los siguientes: </w:t>
      </w:r>
    </w:p>
    <w:p w:rsidR="0052098F" w:rsidRDefault="0052098F" w:rsidP="0052098F">
      <w:pPr>
        <w:pStyle w:val="TextoNormal"/>
      </w:pPr>
      <w:r>
        <w:t xml:space="preserve">a) El 25 de mayo de 2003 se celebraron elecciones a la Asamblea de Madrid, obteniendo 55 actas de Diputado el Partido Popular (PP), el Partido Socialista Obrero Español (PSOE) 49 y 7 Izquierda Unida (IU), del total de 111 escaños que constituían la nueva Legislatura del Parlamento autonómico. Durante el tiempo que medió entre las elecciones y la constitución de la Cámara los medios de comunicación dieron cuenta de que las negociaciones entre los representantes del PSOE e Izquierda Unida (IU) condujeron a un acuerdo de gobierno en virtud del cual ocuparían la presidencia de la Asamblea legislativa de la Comunidad y del Consejo de Gobierno, merced al apoyo mutuo que habrían de prestarse en las correspondientes votaciones; tal acuerdo tuvo amplio reflejo en los medios. </w:t>
      </w:r>
    </w:p>
    <w:p w:rsidR="0052098F" w:rsidRDefault="0052098F" w:rsidP="0052098F">
      <w:pPr>
        <w:pStyle w:val="TextoNormal"/>
      </w:pPr>
      <w:r>
        <w:t xml:space="preserve">b) El 10 de junio de 2003 fue convocada la Asamblea para su constitución y para la elección de la Mesa y de la Presidencia. Formada la Mesa de Edad, los demandantes de amparo se ausentaron de la sesión. Cuando el Presidente anunció el inicio de la votación, por parte de una de las diputadas del Partido Socialista se solicitó en alta voz de la Presidencia de la Cámara una interrupción de la sesión durante unos minutos a fin de que se pudiesen incorporar dos diputados de su partido, Sr. Tamayo y Sra. Sáez, porque, al parecer, tenían problemas para su asistencia a tiempo de votar. El Presidente accedió a lo solicitado para los diez minutos pedidos, tras los cuales, visto que los diputados en cuestión no llegaban a la Cámara, se procedió a la elección de la Mesa y de la Presidencia de la Asamblea, recayendo ésta en una candidatura del PP, como consecuencia de la mayoría absoluta de la que en ese momento disponía, pese al acuerdo de referencia, en virtud de la ausencia de los dos diputados citados. </w:t>
      </w:r>
    </w:p>
    <w:p w:rsidR="0052098F" w:rsidRDefault="0052098F" w:rsidP="0052098F">
      <w:pPr>
        <w:pStyle w:val="TextoNormal"/>
      </w:pPr>
      <w:r>
        <w:t xml:space="preserve">Finalizada la sesión constitutiva, con amplia repercusión de lo sucedido en la misma en los medios de información, tuvo lugar la aparición en un medio televisivo del diputado Sr. Tamayo, quien explicó que la ausencia de ambos en la misma fue deliberada y obedeció a motivos políticos, concretamente al entendimiento de que se había producido una entrega del futuro gobierno de la Comunidad a la fuerza política Izquierda Unida, especificando estar dispuesto a ofrecer su voto a favor del candidato socialista a la Presidencia del ejecutivo si éste modificaba su actitud en relación con la cesión de poder a miembros de aquélla. </w:t>
      </w:r>
    </w:p>
    <w:p w:rsidR="0052098F" w:rsidRDefault="0052098F" w:rsidP="0052098F">
      <w:pPr>
        <w:pStyle w:val="TextoNormal"/>
      </w:pPr>
      <w:r>
        <w:t xml:space="preserve">c) Los ahora recurrentes fueron expulsados de su partido, el PSOE, que formuló querella contra ellos por la posible comisión de un delito continuado de cohecho en relación con determinadas actuaciones urbanísticas en el ámbito territorial de la Comunidad de Madrid. La querella fue inadmitida por Auto de la Sala de lo Civil y Penal del Tribunal Superior de Justicia de Madrid de 3 de julio de 2003, confirmado en suplica por nuevo Auto de la misma Sala de 18 de julio de 2003. </w:t>
      </w:r>
    </w:p>
    <w:p w:rsidR="0052098F" w:rsidRDefault="0052098F" w:rsidP="0052098F">
      <w:pPr>
        <w:pStyle w:val="TextoNormal"/>
      </w:pPr>
      <w:r>
        <w:t xml:space="preserve">d) Tras la adquisición de la plena condición de parlamentarios por los integrantes de la Asamblea, y llegado el momento de la constitución de los grupos parlamentarios, los ahora </w:t>
      </w:r>
      <w:r>
        <w:lastRenderedPageBreak/>
        <w:t xml:space="preserve">demandantes pasaron a integrar el Grupo Mixto como únicos miembros. Seguidamente se aprobó la creación de una Comisión de investigación sobre los hechos que se han referido. </w:t>
      </w:r>
    </w:p>
    <w:p w:rsidR="0052098F" w:rsidRDefault="0052098F" w:rsidP="0052098F">
      <w:pPr>
        <w:pStyle w:val="TextoNormal"/>
      </w:pPr>
      <w:r>
        <w:t xml:space="preserve">e) Mediante oficio de 1 de julio, la Presidencia de la Cámara interesó de los servicios jurídicos informe acerca, entre otros extremos, de si era o no preceptivo que el Grupo Mixto tuviera representación en las Comisiones que pudieran constituirse, tanto permanentes como no permanentes, tomando para ello en consideración los antecedentes existentes en la Cámara. El día 3 del mismo mes el Letrado Jefe de la Asesoría Jurídica evacuó el informe requerido en cuya conclusión primera se afirma que “a tenor de lo dispuesto en el art. 63.2 del vigente Reglamento de la Asamblea de Madrid, es preceptivo que el Grupo Mixto, si así lo solicita, cuente cuando menos con un representante en cada Comisión de la Cámara, tengan estas el carácter de Permanentes o no Permanentes”. </w:t>
      </w:r>
    </w:p>
    <w:p w:rsidR="0052098F" w:rsidRDefault="0052098F" w:rsidP="0052098F">
      <w:pPr>
        <w:pStyle w:val="TextoNormal"/>
      </w:pPr>
      <w:r>
        <w:t xml:space="preserve">f) Por nuevo oficio de 8 de julio, la Presidencia de la Cámara solicitó informe jurídico urgente sobre —en lo que importa a la presente solicitud de amparo— “si el funcionamiento de la Comisión de investigación puede privar o no a los dos integrantes del Grupo Mixto del derecho a: Participar en los debates que pudieran suscitarse en las sesiones de la Comisión”, así como del derecho a “emitir su voto a la hora de adoptar los Acuerdos de la Comisión de investigación previstos en el artículo 75.5 del Reglamento”. El informe se elevó el siguiente día 9 de julio de 2003, por el Letrado Jefe de la Asesoría Jurídica, con la siguiente conclusión en lo que aquí interesa: “en aplicación de la interdicción de la arbitrariedad de los poderes públicos consagrada en el art. 9.3 de la Constitución española y a fin de reforzar las garantías que impidan la contaminación del proceso penal, los órganos competentes de la Cámara no solo podrán, sino que deberán, limitar el derecho de participación de los Sres. Diputados Tamayo y Sáez en la Comisión de investigación que se cree en relación con las circunstancias que originaron la crisis institucional generada en la sesión constitutiva de la Cámara”. </w:t>
      </w:r>
    </w:p>
    <w:p w:rsidR="0052098F" w:rsidRDefault="0052098F" w:rsidP="0052098F">
      <w:pPr>
        <w:pStyle w:val="TextoNormal"/>
      </w:pPr>
      <w:r>
        <w:t xml:space="preserve">g) El 10 de julio de 2003 la Mesa de la Diputación Permanente aprobó la siguiente Resolución, objeto de impugnación en este recurso de amparo y que se transcribe a continuación en lo que al mismo interesa: </w:t>
      </w:r>
    </w:p>
    <w:p w:rsidR="0052098F" w:rsidRDefault="0052098F" w:rsidP="0052098F">
      <w:pPr>
        <w:pStyle w:val="TextoNormal"/>
      </w:pPr>
      <w:r>
        <w:t xml:space="preserve">“La Mesa de la Diputación Permanente de la Asamblea, en su reunión del día 10 de julio de 2003, ha acordado lo siguiente respecto al asunto que se señala: RESOLUCION DEFINITIVA SOBRE LA COMPOSICIÓN, ORGANIZACIÓN Y FUNCIONAMIENTO DE LA COMISIÓN DE INVESTIGACIÓN. </w:t>
      </w:r>
    </w:p>
    <w:p w:rsidR="0052098F" w:rsidRDefault="0052098F" w:rsidP="0052098F">
      <w:pPr>
        <w:pStyle w:val="TextoNormal"/>
      </w:pPr>
      <w:r>
        <w:t xml:space="preserve">Acuerdo: Primero: La Mesa de la Diputación Permanente de la Asamblea, oída la Junta de Portavoces, de acuerdo con lo dispuesto en los artículos 75.2 y 63 del Reglamento de la Asamblea, acuerda aprobar, conforme a lo previsto en el artículo 75.1 del Reglamento de la cámara, las siguientes </w:t>
      </w:r>
    </w:p>
    <w:p w:rsidR="0052098F" w:rsidRDefault="0052098F" w:rsidP="0052098F">
      <w:pPr>
        <w:pStyle w:val="TextoNormal"/>
      </w:pPr>
      <w:r>
        <w:t xml:space="preserve">Reglas básicas sobre la composición, organización y funcionamiento, así como plazo de finalización de los trabajos de la comisión de investigación, al objeto de analizar y evaluar las responsabilidades que pudieran derivarse de actuaciones urbanísticas en el ámbito territorial de la comunidad de Madrid, que puedan estar relacionadas con el actual bloqueo institucional en el que se encuentra la asamblea de Madrid, provocado por la actuación de los Sres. Tamayo y Sáez, incorporando a la investigación todos los intereses urbanísticos de quienes puedan estar relacionados con el mismo, incluidos aquellos vinculados a miembros de la asamblea. NORMAS DE FUNCIONAMIENTO. Primera.- Objeto </w:t>
      </w:r>
    </w:p>
    <w:p w:rsidR="0052098F" w:rsidRDefault="0052098F" w:rsidP="0052098F">
      <w:pPr>
        <w:pStyle w:val="TextoNormal"/>
      </w:pPr>
      <w:r>
        <w:t xml:space="preserve">Analizar y evaluar las responsabilidades que pudieran derivarse de actuaciones urbanísticas en el ámbito territorial de la Comunidad de Madrid, que puedan estar relacionadas con el actual bloqueo institucional en el que se encuentra la Asamblea de Madrid provocado por la actuación de los Sres. Tamayo y Sáez, incorporando a la investigación todos los intereses </w:t>
      </w:r>
      <w:r>
        <w:lastRenderedPageBreak/>
        <w:t xml:space="preserve">urbanísticos de quienes puedan estar relacionados con el mismo incluidos aquellos vinculados a miembros de la Asamblea. Segunda.- Composición </w:t>
      </w:r>
    </w:p>
    <w:p w:rsidR="0052098F" w:rsidRDefault="0052098F" w:rsidP="0052098F">
      <w:pPr>
        <w:pStyle w:val="TextoNormal"/>
      </w:pPr>
      <w:r>
        <w:t xml:space="preserve">1.- La Comisión estará formada por 17 Diputados: 8 Diputados del Grupo Parlamentario Popular, 6 Diputados del Grupo Parlamentario socialista, 2 Diputados del Grupo Parlamentario de Izquierda Unida y un Diputado del Grupo parlamentario Mixto. </w:t>
      </w:r>
    </w:p>
    <w:p w:rsidR="0052098F" w:rsidRDefault="0052098F" w:rsidP="0052098F">
      <w:pPr>
        <w:pStyle w:val="TextoNormal"/>
      </w:pPr>
      <w:r>
        <w:t xml:space="preserve">La Comisión contará con una Mesa cuyos miembros serán elegidos de entre los integrantes de la propia Comisión y estará formada por un Presidente, un Vicepresidente y un Secretario. La elección de la Mesa se realizará, con voto ponderado, en dos votaciones sucesivas: en la primera se elegirá al Presidente y al Vicepresidente; y en la segunda, al Secretario. </w:t>
      </w:r>
    </w:p>
    <w:p w:rsidR="0052098F" w:rsidRDefault="0052098F" w:rsidP="0052098F">
      <w:pPr>
        <w:pStyle w:val="TextoNormal"/>
      </w:pPr>
      <w:r>
        <w:t xml:space="preserve">2.- La Mesa de la Asamblea, atendiendo al artículo 75.1 del Reglamento, resolverá definitivamente sobre la composición de la Comisión de investigación. </w:t>
      </w:r>
    </w:p>
    <w:p w:rsidR="0052098F" w:rsidRDefault="0052098F" w:rsidP="0052098F">
      <w:pPr>
        <w:pStyle w:val="TextoNormal"/>
      </w:pPr>
      <w:r>
        <w:t xml:space="preserve">Atendiendo a la necesidad de garantizar la eficacia, la objetividad y la solvencia de las conclusiones y el resultado de los trabajos realizados, la Mesa, respetando siempre la legalidad vigente, excluirá de la misma a aquellos miembros que puedan resultar directamente afectados por el objeto de la Comisión. … </w:t>
      </w:r>
    </w:p>
    <w:p w:rsidR="0052098F" w:rsidRDefault="0052098F" w:rsidP="0052098F">
      <w:pPr>
        <w:pStyle w:val="TextoNormal"/>
      </w:pPr>
      <w:r>
        <w:t xml:space="preserve">Séptima.- Adopción de acuerdos </w:t>
      </w:r>
    </w:p>
    <w:p w:rsidR="0052098F" w:rsidRDefault="0052098F" w:rsidP="0052098F">
      <w:pPr>
        <w:pStyle w:val="TextoNormal"/>
      </w:pPr>
      <w:r>
        <w:t xml:space="preserve">Se adoptarán en función del criterio de voto ponderado, de conformidad con lo establecido en el artículo 75.5 del Reglamento de la Asamblea … </w:t>
      </w:r>
    </w:p>
    <w:p w:rsidR="0052098F" w:rsidRDefault="0052098F" w:rsidP="0052098F">
      <w:pPr>
        <w:pStyle w:val="TextoNormal"/>
      </w:pPr>
      <w:r>
        <w:t xml:space="preserve">Segundo: Con base en el informe jurídico de fecha 9 de julio de 2003, emitido por el Sr. Letrado-Jefe de la Asesoría Jurídica (Reg. Sal. Ases. Jurídica núm. 124, 9-07-03), la Mesa de la Diputación Permanente limita el derecho a participar en la Comisión de Investigación de los Sres. Diputados D. Eduardo Tamayo Barrena y Dña. María Teresa Sáez Laguna, por resultar citados en el objeto de la Comisión”. </w:t>
      </w:r>
    </w:p>
    <w:p w:rsidR="0052098F" w:rsidRDefault="0052098F" w:rsidP="0052098F">
      <w:pPr>
        <w:pStyle w:val="TextoNormal"/>
      </w:pPr>
      <w:r>
        <w:t xml:space="preserve">h) El 14 de julio de 2003 la Mesa de la Diputación Permanente de la Asamblea de Madrid acordó designar miembros de la Comisión de investigación a los representantes propuestos por los Grupos Parlamentarios Popular, de Izquierda Unida y Socialista. </w:t>
      </w:r>
    </w:p>
    <w:p w:rsidR="0052098F" w:rsidRDefault="0052098F" w:rsidP="0052098F">
      <w:pPr>
        <w:pStyle w:val="TextoNormal"/>
      </w:pPr>
      <w:r>
        <w:t>i) Los ahora demandantes de amparo interpusieron recurso contencioso-administrativo contra estas decisiones de la Mesa de la Diputación Permanente de la Asamblea de Madrid, recurso que fue inadmitido por Auto de la Sala de lo Contencioso-Administrativo (Sección Octava) del Tribunal Superior de Justicia de la Comunidad de Madrid al considerarse el Tribunal incompetente jurisdiccionalmente para su conocimiento, toda vez que la resolución impugnada dimanaba de un órgano de gobierno de la Asamblea de Madrid, que no tiene la condición de Administración pública, y que había sido dictada en el ejercicio de sus funciones de gobierno de la Cámara, que están excluidas del conocimiento de la jurisdicción contencioso-administrativa por no tratarse de cuestiones de personal, administración o gestión patrimonial (art. 10.1.c LJCA).</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La demanda de amparo denuncia que la Resolución de la Mesa de la Diputación Permanente de la Asamblea de Madrid de 10 de julio habría vulnerado los derechos fundamentales garantizados por los arts. 14 y 23.2 CE por las siguientes razones: </w:t>
      </w:r>
    </w:p>
    <w:p w:rsidR="0052098F" w:rsidRDefault="0052098F" w:rsidP="0052098F">
      <w:pPr>
        <w:pStyle w:val="TextoNormal"/>
      </w:pPr>
      <w:r>
        <w:t xml:space="preserve">La exposición de los motivos del recurso se inicia con el recordatorio del contenido de los preceptos constitucionales (art. 14 y 23.2 CE), estatutarios [art. 12.2 b) del Estatuto de Autonomía de la Comunidad de Madrid] y del Reglamento parlamentario de la Asamblea de Madrid (arts. 47, 63.2 y 75.2) en los que los recurrentes fundan su pretensión anulatoria de la Resolución parlamentaria impugnada. Al respecto sostienen los actores que esta Resolución ha infringido el derecho a la representación de los Grupos Parlamentarios en las </w:t>
      </w:r>
      <w:r>
        <w:lastRenderedPageBreak/>
        <w:t xml:space="preserve">Comisiones, un derecho para el cual el legislador no ha establecido excepción alguna. Asimismo, señalan que, al socaire de un informe jurídico —del que no se les dio traslado—, se infringen los derechos garantizados en los arts. 14 y 23.2 CE, pues se les dispensó un trato completamente desigual y discriminatorio respecto a otros Diputados y Grupos Parlamentarios al crear la Resolución combatida una regulación ex profeso —la exclusión de los parlamentarios afectados por los supuestos motivos que se exponen en la misma— aplicable única y exclusivamente a los solicitantes de amparo. Todo lo cual representa una vulneración de los derechos fundamentales invocados, así como de la legalidad en una materia que la Constitución reserva en exclusiva al legislador; tanto más cuanto que la decisión adoptada carece de una motivación racional y suficiente que justifique la limitación de los derechos políticos y de las funciones públicas que como Diputados les correspondía y tuvieron encomendadas los recurrentes. </w:t>
      </w:r>
    </w:p>
    <w:p w:rsidR="0052098F" w:rsidRDefault="0052098F" w:rsidP="0052098F">
      <w:pPr>
        <w:pStyle w:val="TextoNormal"/>
      </w:pPr>
      <w:r>
        <w:t xml:space="preserve">Insiste la demanda en que los motivos expuestos en la Resolución recurrida son irreales y en ningún caso pueden justificar la desigualdad de trato denunciada y una ruptura tan patente del principio de legalidad, máxime cuando este trato desigual supone además el cercenamiento del ejercicio de funciones públicas. El fundamento de la exclusión del Grupo Mixto expuesto en la Resolución no es real ni objetivo. De una parte, porque se trata de una arbitraria suposición que podría ser aplicada a cualquiera de los Grupos Parlamentarios que sí formaron parte de la Comisión de investigación. De otra, porque nada hay que invite a pensar que los recurrentes, ejerciendo las funciones propias de los integrantes de la comisión de investigación (proponiendo comparecientes, formulando preguntas y conclusiones, etc.), pudieran menoscabar la efectividad y objetividad de la Comisión de investigación creada para dilucidar las causas de la crisis acaecida en la Comunidad de Madrid. </w:t>
      </w:r>
    </w:p>
    <w:p w:rsidR="0052098F" w:rsidRDefault="0052098F" w:rsidP="0052098F">
      <w:pPr>
        <w:pStyle w:val="TextoNormal"/>
      </w:pPr>
      <w:r>
        <w:t xml:space="preserve">Es evidente, señalan los demandantes, que las Comisiones de investigación no tienen naturaleza jurisdiccional sino política, de modo que su finalidad específica es la de servir como instrumento de control político, excluyéndose cualquier intromisión en la función jurisdiccional, que les es ajena, máxime si se repara en que la Constitución consagra la división de poderes y el derecho a un Juez imparcial predeterminado por la Ley (art. 24.2 CE). Definida en estos términos la naturaleza y límites de la actividad de las Comisiones parlamentarias de investigación, es evidente que en la mayor parte de las ocasiones, como en el presente caso, sus integrantes tendrán el interés político propio del Grupo, por lo que todos serán de algún modo Juez y parte. Esta realidad se aprecia con particular nitidez en casos como el que nos ocupa al entrecruzarse las exigencias de responsabilidad de los diversos Grupos Parlamentarios que integraban la Asamblea. Buena prueba de ello fue que ni siquiera se alcanzaron acuerdos acerca de las comparecencias, dando lugar a que diferentes personas no fueran citadas al encontrarse con la oposición de alguno de los Grupos Parlamentarios integrantes de la Comisión, o en torno a la documentación, habiéndose dado el caso de documentos que, solicitados, no fueron aportados. Lo que demuestra bien a las claras que todos los Grupos Parlamentarios representaron y defendieron intereses propios en las labores y conclusiones de la Comisión de investigación. Siendo ello así, en opinión de los solicitantes de amparo resulta manifiesto que carece toda justificación objetiva y razonable el trato recibieron por parte de la Asamblea de Madrid y es claro que se impidió al Grupo Mixto —a través de la proposición de las correspondientes pruebas y conclusiones— refutar la responsabilidad que otros grupos imputaban a sus integrantes, exigir la responsabilidad de otras formaciones políticas y ejercer las funciones de control políticas propias de los parlamentarios al privárseles de las facultades establecidas en la ley respecto a este tipo de Comisiones. A mayor abundamiento se subraya que el resultado del ejercicio de dichas facultades, que cumplan una función política, reviste un indudable interés público. </w:t>
      </w:r>
    </w:p>
    <w:p w:rsidR="0052098F" w:rsidRDefault="0052098F" w:rsidP="0052098F">
      <w:pPr>
        <w:pStyle w:val="TextoNormal"/>
      </w:pPr>
      <w:r>
        <w:lastRenderedPageBreak/>
        <w:t xml:space="preserve">Por otro lado, sostienen los recurrentes que las graves acusaciones dirigidas contra ellos de cohecho y corrupción, comportaban “con mayor motivo” que el Grupo Mixto formara parte de la reiterada Comisión, de modo que lo que se invoca en la Resolución recurrida para infringir la legalidad es lo que precisamente refuerza la necesidad de que el Grupo Mixto formase parte de la misma. Máxime si se repara en que el desarrollo de la actividad de la Comisión de investigación acabó por hacer de ella un juicio paralelo, al margen de la vía jurisdiccional, acusándose a los miembros del Grupo Mixto de cohecho y corrupción, sin que se les diera la oportunidad de defenderse. </w:t>
      </w:r>
    </w:p>
    <w:p w:rsidR="0052098F" w:rsidRDefault="0052098F" w:rsidP="0052098F">
      <w:pPr>
        <w:pStyle w:val="TextoNormal"/>
      </w:pPr>
      <w:r>
        <w:t xml:space="preserve">Siendo ello así, y toda vez que del resultado de la investigación podía darse traslado al Ministerio Fiscal para el ejercicio de las oportunas acciones procesales (art. 76 CE), el mínimo respeto a los principios constitucionales hubiera hecho aconsejable que los demandantes de amparo hubieran accedido a la Comisión de investigación con igualdad de armas “procesales” y disfrutando del derecho a proponer la prueba que estimaran oportuna para su descargo (comparecencias, solicitud de documentación, realización de preguntas o formulación de conclusiones). Se trata de facultades garantizadas en todo tipo de procesos jurisdiccionales y cuya efectividad debe reivindicarse con mayor razón en la actuación de una comisión parlamentaria donde no existe un juez imparcial y en todos sus miembros concurren la doble condición de investigadores y presuntos implicados. </w:t>
      </w:r>
    </w:p>
    <w:p w:rsidR="0052098F" w:rsidRDefault="0052098F" w:rsidP="0052098F">
      <w:pPr>
        <w:pStyle w:val="TextoNormal"/>
      </w:pPr>
      <w:r>
        <w:t>Sostienen finalmente los demandantes que la Resolución de la Mesa de la Asamblea de la Comunidad de Madrid no sólo vulnera el principio de igualdad (art. 14 CE), sino que también lesiona el art. 23.2 CE en cuanto atenta contra las funciones públicas que los Diputados del Grupo Mixto tenían encomendadas, hasta el punto de hacer imposible su desempeño. Dicho de otro modo, en opinión de los solicitantes de amparo, dicha Resolución cercena, a la postre, el fin último de una Comisión de investigación en cuestión, cual es el control que ejerce la ciudadanía en los asuntos de interés público y político a través de sus representantes que nunca debió –por no ser su función- cuestionar un órgano interno de la Asamblea, mucho menos aún si con ello vulnera la legalidad. El trato discriminatorio denunciado impidió en este caso el ejercicio de funciones públicas y de derechos de dimensión política, no meros derechos subjetivos privados, produciendo una vulneración directa de los derechos fundamentales invocados.</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4 de octubre de 2004, la Sección Segunda de este Tribunal acordó la admisión a trámite del recurso de amparo así como recabar testimonio del expediente correspondiente al Acuerdo de la Mesa de la Diputación Permanente de dicha Asamblea, de 10 de julio de 2003. Por diligencia de ordenación de 2 de noviembre de 2004 se tuvieron por recibidos los testimonios de las actuaciones remitidas por la Asamblea de Madrid, así como escrito del Letrado Jefe de los Servicios Jurídicos de dicho organismo, a quien se tiene por personado y parte en la representación que ostenta; a tenor de lo dispuesto en el art. 52 LOTC, se acordó dar vista de las mismas, por un plazo común de veinte días, al Ministerio Fiscal y a las partes personadas, para que dentro de dicho término pudieran presentar alegaciones.</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El Ministerio Fiscal elevó, con fecha 25 de noviembre de 2004, sus alegaciones. Pide el otorgamiento del amparo por las siguientes razones: </w:t>
      </w:r>
    </w:p>
    <w:p w:rsidR="0052098F" w:rsidRDefault="0052098F" w:rsidP="0052098F">
      <w:pPr>
        <w:pStyle w:val="TextoNormal"/>
      </w:pPr>
      <w:r>
        <w:t xml:space="preserve">El Reglamento de la Asamblea de Madrid atribuye idénticos derechos a todos los grupos parlamentarios (art. 47), lo que se traduce en la exigencia de que todos ellos estén representados en las diferentes Comisiones, permanentes o no, que se constituyan en el seno de la Asamblea (art. 63.2). Por lo que se refiere a los Diputados individualmente considerados </w:t>
      </w:r>
      <w:r>
        <w:lastRenderedPageBreak/>
        <w:t xml:space="preserve">subraya el Fiscal que entre las funciones que les atribuye el citado Reglamento, y que tienen derecho a ejercer, figura la de formar parte al menos de una Comisión (art. 17), añadiendo que si bien la designación de los miembros de las Comisiones corresponde a la Mesa de la Asamblea, dicha designación ha de efectuarse de acuerdo con las propuestas elevadas por los grupos parlamentarios (arts. 63 y 64); con la condición de miembro de una Comisión se corresponde el reconocimiento del derecho a asistir con voto a sus reuniones, pudiendo igualmente los Diputados de la Asamblea de Madrid asistir sin voto a las demás, excepto si tuvieran carácter secreto (art. 16.1). Esta regulación general se completa con la previsión de que los parlamentarios autonómicos en ningún caso pueden votar en las resoluciones que afecten a su estatuto de Diputado (art. 119.4) y, respecto de las Comisiones de investigación, que la aprobación de sus conclusiones ha de hacerse mediante voto ponderado (art. 75.5) y plasmarse en un dictamen que habrá de observar las especificaciones correspondiente (art. 75.6 y 7). </w:t>
      </w:r>
    </w:p>
    <w:p w:rsidR="0052098F" w:rsidRDefault="0052098F" w:rsidP="0052098F">
      <w:pPr>
        <w:pStyle w:val="TextoNormal"/>
      </w:pPr>
      <w:r>
        <w:t xml:space="preserve">A la vista de estos datos concluye el Ministerio Fiscal que la participación de un parlamentario de la Asamblea de Madrid en una Comisión de investigación que se constituya en el seno de la misma, integra el contenido esencial del ius in officium cuya titularidad le corresponde precisamente por su condición de Diputado de dicha Asamblea, ya que, en definitiva, las citadas Comisiones de investigación traducen en su quehacer el cometido propio del órgano legislativo al que pertenecen, como se deduce sin dificultad alguna en el presente caso del art. 75.1 RAM, conforme al cual el objeto de aquéllas puede ser cualquier asunto de interés público dentro del ámbito de competencias de la Comunidad de Madrid. </w:t>
      </w:r>
    </w:p>
    <w:p w:rsidR="0052098F" w:rsidRDefault="0052098F" w:rsidP="0052098F">
      <w:pPr>
        <w:pStyle w:val="TextoNormal"/>
      </w:pPr>
      <w:r>
        <w:t xml:space="preserve">En esta ocasión, es objeto de la Comisión la determinación de las responsabilidades que pudieran derivarse de actuaciones urbanísticas llevadas a cabo en el ámbito territorial de la Comunidad de Madrid que, a su vez, pudieran relacionarse con el bloqueo institucional que la Asamblea estaba sufriendo a consecuencia de la actitud de los dos demandantes de amparo. Sobre este extremo tampoco es legítimo plantear duda alguna, ya que su ausencia de la sesión constitutiva de la Asamblea determinó que se alterase el quórum necesario para la elección de su Presidente, lo que dio lugar a que alcanzara la mayoría necesaria para la elección para dicho cargo el candidato propuesto por el PP en lugar del auspiciado por las otras dos formaciones, PSOE e IU, cuyos dirigentes habían acordado apoyarse mutuamente para que pudiera obtener mayoría absoluta la candidatura presentada por ellas. Consiguientemente, ambos demandantes de amparo eran titulares del derecho en cuestión, ya que los dos perfeccionaron su condición de Diputados y, si bien es cierto que solamente uno de ellos, el Sr. Tamayo, podía asistir a la comisión con voz y voto por haberse propuesto a sí mismo como representante del Grupo Mixto en aquélla, no lo es menos que los dos demandantes de amparo podían asistir, solamente con voz, a dicha Comisión. </w:t>
      </w:r>
    </w:p>
    <w:p w:rsidR="0052098F" w:rsidRDefault="0052098F" w:rsidP="0052098F">
      <w:pPr>
        <w:pStyle w:val="TextoNormal"/>
      </w:pPr>
      <w:r>
        <w:t xml:space="preserve">Ahora bien, advierte el Ministerio Fiscal, no basta ser titular del derecho en cuestión para concluir que cualquier limitación del mismo vulnera su contenido. En tal sentido subraya que además de demostrar la afección al núcleo esencial del derecho es preciso analizar el fundamento de la limitación y su legitimidad. </w:t>
      </w:r>
    </w:p>
    <w:p w:rsidR="0052098F" w:rsidRDefault="0052098F" w:rsidP="0052098F">
      <w:pPr>
        <w:pStyle w:val="TextoNormal"/>
      </w:pPr>
      <w:r>
        <w:t xml:space="preserve">Por lo que respecta a la fundamentación, sostiene el Ministerio Fiscal que la expresada en la Resolución impugnada no puede satisfacer el canon constitucional de control, particularmente en cuanto afecta a la garantía de que en la decisión adoptada se recoja su motivación para asegurar que, llegado el caso, los Diputados afectados puedan controvertirla. En esta ocasión, si bien es cierto que en la Resolución recurrida se expresa (norma segunda, párrafo 2 del acuerdo primero) que corresponde a la Mesa resolver definitivamente, conforme al art. 75.1 RAM, sobre la composición de la Comisión, pudiendo excluir de la misma </w:t>
      </w:r>
      <w:r>
        <w:lastRenderedPageBreak/>
        <w:t xml:space="preserve">a aquellos de sus miembros relacionados con su objeto en atención a la necesidad de garantizar la eficacia, objetividad y solvencia de las conclusiones que formule, no lo es menos que dicha declaración general, cuando es objeto de aplicación a los demandantes de amparo para acordar su exclusión de la Comisión, se limita (acuerdo segundo) a referirse a un informe del Sr. Letrado-Jefe de la Asesoría Jurídica de la Asamblea que los demandantes de amparo dicen desconocer y a justificar la medida acordada en que éstos son citados en el objeto de la Comisión. De modo que si los demandantes de amparo no pudieron conocer ese informe de la Asesoría Jurídica, en el que se apoya la decisión adoptada, y, desde luego, no consta que se les notificara junto con la Resolución recurrida, habremos de concluir que difícilmente pudieron conocer las razones que en ese mismo informe se aducían para excluirlos de la Comisión de investigación. </w:t>
      </w:r>
    </w:p>
    <w:p w:rsidR="0052098F" w:rsidRDefault="0052098F" w:rsidP="0052098F">
      <w:pPr>
        <w:pStyle w:val="TextoNormal"/>
      </w:pPr>
      <w:r>
        <w:t xml:space="preserve">A mayor abundamiento, aún en la hipótesis de que hubieran tenido conocimiento del informe, este hecho no alteraría la conclusión alcanzada puesto que las razones en él esgrimidas se ciñen a una referencia a la proscripción de la arbitrariedad de los poderes públicos consagrada en el art. 9.3 CE y al posible destino final de las conclusiones de la Comisión, presumiblemente susceptibles de ser remitidas al Ministerio Fiscal para el ejercicio de las oportunas acciones jurisdiccionales. Pues bien, para el Ministerio Fiscal ninguna de estas razones justifica una decisión de tanto calado como es la privación a un parlamentario del derecho a ejercer sus funciones, ya que no puede tildarse de arbitrario que, conforme a la regulación de las Comisiones de investigación del Reglamento de la Asamblea de Madrid, sean miembros de ellas los parlamentarios que puedan estar relacionados con su objeto y, en cuanto al destino final de sus conclusiones, parece evidente que la mera posibilidad de que puedan ser remitidas al Ministerio Fiscal no justifica tampoco la limitación del ius in officium. </w:t>
      </w:r>
    </w:p>
    <w:p w:rsidR="0052098F" w:rsidRDefault="0052098F" w:rsidP="0052098F">
      <w:pPr>
        <w:pStyle w:val="TextoNormal"/>
      </w:pPr>
      <w:r>
        <w:t xml:space="preserve">En cuanto a la legitimidad de la injerencia de la resolución recurrida en el núcleo del derecho de los demandantes de amparo a ejercer su cargo de Diputado de la Asamblea de Madrid, resulta necesario recordar la configuración legal del mencionado derecho fundamental. A este respecto señala el Ministerio Fiscal que la finalidad de las Comisiones de investigación es establecer conclusiones sobre su objeto, que, si bien pueden ser complementadas por votos particulares de los grupos parlamentarios que las componen, necesitan ser aprobadas por el voto ponderado de los mismos y que, luego convertidas en dictamen, darán lugar a un debate por el Pleno de la Asamblea. Asimismo, recuerda que los parlamentarios de la Asamblea de Madrid solamente pueden ser privados de su derecho al voto respecto de las resoluciones que afecten a su estatuto de Diputado y que su inclusión en las Comisiones, permanentes o no permanentes, debe ser acordada por la Mesa de la Asamblea conforme a la propuesta de los grupos parlamentarios, los cuales deberán contar, como mínimo, con un miembro en cada una de dichas Comisiones. Por tanto, si se toma en consideración que uno de los demandantes de amparo se propuso para formar parte de la Comisión de investigación en representación del Grupo Mixto al que pertenecía y, pese a ello, no fue nombrado sino que, por el contrario, se acordó su exclusión de la misma, resulta patente que se vulneró la configuración legal del derecho fundamental al impedirle su asistencia con voz y voto, al tiempo que se impedía a la segunda demandante de amparo su asistencia sin voto a las sesiones de la Comisión, pues no consta que fuera declarada secreta. Estas vulneraciones entrañan, además, la del derecho fundamental reconocido en el art. 23.2 CE por afectar a su contenido esencial, sin que dicha limitación pueda justificarse en la salvaguarda de la imparcialidad de la Comisión ni la credibilidad de sus resultados, porque, estando compuesta de 24 miembros, el Grupo Mixto solamente iba a estar representado por uno de los demandantes de amparo y porque en el Pleno que debía aprobar sus conclusiones, que se </w:t>
      </w:r>
      <w:r>
        <w:lastRenderedPageBreak/>
        <w:t xml:space="preserve">compone de 111 miembros, el referido Grupo solamente contaba con dos parlamentarios, de suerte que su intervención en la redacción y aprobación de los conclusiones iba a ser irrelevante, si bien indudablemente contribuiría de alguna manera a configurar la posición de la Cámara sobre el objeto de la Comisión, que es, precisamente, la finalidad que pretende su regulación, por lo que al resultar impedida ilegítimamente dicha intervención, el núcleo esencial del derecho resultó afectado de manera injustificada por la resolución recurrida. </w:t>
      </w:r>
    </w:p>
    <w:p w:rsidR="0052098F" w:rsidRDefault="0052098F" w:rsidP="0052098F">
      <w:pPr>
        <w:pStyle w:val="TextoNormal"/>
      </w:pPr>
      <w:r>
        <w:t>Justificada la procedencia de otorgar el amparo que se pide, concluye el Ministerio Fiscal determinando sus efectos a partir del fundamental dato de que la Asamblea de la que los demandantes de amparo formaban parte fue disuelta y se convocaron nuevas elecciones a las que los mismos concurrieron en candidatura distinta de la presentada por la formación política con la que concurrieron en la primera elección sin resultar ahora elegidos, por lo que es obvio que la eficacia del amparo que se interesa debe evidentemente limitarse a declarar vulnerado el derecho de los demandantes de amparo de acceso en condiciones de igualdad al cargo público representativo para el que fueron elegidos en relación con el derecho de los ciudadanos a participar en los asuntos públicos proclamados en el art. 23 CE.</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La representación letrada de la Asamblea presenta sus alegaciones el 2 de diciembre de 2004, oponiéndose a la concesión del amparo. </w:t>
      </w:r>
    </w:p>
    <w:p w:rsidR="0052098F" w:rsidRDefault="0052098F" w:rsidP="0052098F">
      <w:pPr>
        <w:pStyle w:val="TextoNormal"/>
      </w:pPr>
      <w:r>
        <w:t xml:space="preserve">Recuerda los términos del debate jurídico que hubo de resolver la Mesa de la Cámara: dilucidar si podían los Diputados ahora recurrentes, únicos integrantes del Grupo Parlamentario Mixto, formar parte de una Comisión de investigación en la que el objeto a investigar incluye expresa y nominativamente a los citados Diputados. </w:t>
      </w:r>
    </w:p>
    <w:p w:rsidR="0052098F" w:rsidRDefault="0052098F" w:rsidP="0052098F">
      <w:pPr>
        <w:pStyle w:val="TextoNormal"/>
      </w:pPr>
      <w:r>
        <w:t xml:space="preserve">Para responder a esta duda era preciso solventar la contradicción existente entre la literalidad del art. 63.2 RAM, que garantiza la presencia en todas las Comisiones de al menos un representante por cada Grupo Parlamentario, y el principio general del Derecho que proscribe que alguien pueda ser juez de su propia causa. Pues bien, tras una extensa exposición de doctrina científica y jurisprudencial, comparada y patria, en relación con los principios jurídicos como normas de solución de conflictos, la aplicabilidad del principio constitucional de interdicción de la arbitrariedad de los poderes públicos y el contenido y los límites de los derechos de participación política, concluye la representación de la Asamblea que evitar la producción de un acto que implique una arbitrariedad fue la razón de la decisión de la Mesa en su Acuerdo de 10 de julio de 2003. La Mesa actuó positivamente al limitar el derecho a participar en una Comisión de investigación a dos Diputados que constituían precisamente el objeto de esa investigación, por entender que ello supondría una arbitrariedad contraria a un principio constitucional que prohíbe actuar arbitrariamente a todos los poderes públicos, pues la admisión de los Diputados en una Comisión de investigación cuyo objeto viene integrado por la actuación de ambos hubiese constituido una evidente arbitrariedad. Se señala en tal sentido que ciertamente en toda investigación existen dos posiciones: el investigador de una parte y el objeto o sujeto investigado de otra y que está claro que el sujeto investigado puede participar (y en numerosas ocasiones debe hacerlo) en el curso de la investigación (como paradigmáticamente ocurre en un procedimiento penal), pero lo que nunca ocurrirá es que el inculpado decida “sobre el procedimiento” participando en mayor o menor medida en el papel del juez, porque ello repugna al mismo concepto de Derecho. </w:t>
      </w:r>
    </w:p>
    <w:p w:rsidR="0052098F" w:rsidRDefault="0052098F" w:rsidP="0052098F">
      <w:pPr>
        <w:pStyle w:val="TextoNormal"/>
      </w:pPr>
      <w:r>
        <w:t xml:space="preserve">En esta ocasión, los dos demandantes de amparo eran “sujetos investigados”, sin que tal consideración sea el resultado de una caprichosa actuación de los órganos de la Asamblea sino el resultado de la actuación de los afectados, y como tales participaron en la investigación en calidad de comparecientes, asistidos de letrado y rodeados de todas las garantías reglamentarias y constitucionales pertinentes; pero lo que no podían hacer era participar </w:t>
      </w:r>
      <w:r>
        <w:lastRenderedPageBreak/>
        <w:t xml:space="preserve">también y a la vez como miembros de la Comisión, decidiendo en la proporción que a su grupo hubiese correspondido (que, por lo demás y en virtud de la aritmética parlamentaria —alega la Asamblea— se situaba con capacidad dirimente) acerca del desarrollo de la investigación y sobre sus conclusiones o resultado. Es cierto que la naturaleza de la función de instrucción judicial y de la investigación parlamentaria no son iguales y se orientan a finalidades distintas: mientras que la primera busca establecer la verdad objetiva de un modo imparcial, la segunda tiene como objetivo proporcionar datos e informaciones a una Cámara parlamentaria para la adopción de una decisión política. Ahora bien, no por ello la Comisión parlamentaria ha de dejar de estar sujeta a las reglas de imparcialidad e independencia que han de regir la actuación de todos los poderes públicos, reglas que se verían seriamente dañadas si los que son objeto de investigación participan en la misma. Es más, la conexión con el proceso penal que lo actuado en una Comisión de investigación puede tener en virtud de lo dispuesto en el art. 75.7 RAM, obliga a reforzar las garantías de imparcialidad en el procedimiento parlamentario para evitar el fenómeno que la doctrina especializada ha denominado como “contaminación del proceso penal”. </w:t>
      </w:r>
    </w:p>
    <w:p w:rsidR="0052098F" w:rsidRDefault="0052098F" w:rsidP="0052098F">
      <w:pPr>
        <w:pStyle w:val="TextoNormal"/>
      </w:pPr>
      <w:r>
        <w:t xml:space="preserve">Desde la perspectiva de la actuación de la Mesa de la Cámara, no puede olvidarse la existencia del principio de autonomía parlamentaria, reconocido en el artículo 12 del Estatuto de Autonomía por lo que a la Asamblea de Madrid se refiere. Este principio es una de las claves de la configuración del sistema parlamentario, y, como concreción del mismo se reconoce la capacidad de los parlamentos para darse sus propias normas de funcionamiento. Con base en él, el artículo 75.1 RAM otorga a la Mesa la creación de las Comisiones de investigación, debiendo aprobar, entre otras cosas, sus reglas básicas de funcionamiento. Por tanto, éstas podrán, y de hecho es lo que generalmente ocurre, apartarse de las reglas de funcionamiento de las Comisiones ordinarias en base a su especial carácter y necesidades. Dentro de ello es como hay que entender las previsiones de la Resolución de la Mesa, objeto del recurso de amparo: la lex generalis, que en este caso serían los artículo 63 y 64 RAM relativos a la composición de las Comisiones, cedería a favor de la aplicación de la lex specialis, en este caso las previsiones que con apoyo en el artículo 75.1 RAM pudieran preverse, y que de hecho se previeron en relación con este tema. </w:t>
      </w:r>
    </w:p>
    <w:p w:rsidR="0052098F" w:rsidRDefault="0052098F" w:rsidP="0052098F">
      <w:pPr>
        <w:pStyle w:val="TextoNormal"/>
      </w:pPr>
      <w:r>
        <w:t xml:space="preserve">Desde el punto de vista del derecho al ejercicio de las funciones parlamentarias, garantizado en el art. 23.2 CE, tras recordar la representación letrada de la Asamblea que los derechos fundamentales no son derechos absolutos y, en tal sentido, la atribución normativa de un derecho no impide que su ejercicio pueda o deba ser modulado, limitado o suspendido, llegado el caso, razona que los recurrentes están confundiendo dos conceptos claramente diferenciados en el derecho parlamentario, Grupo Parlamentario y Diputado o miembro de un Parlamento. A estos efectos y por lo que al presente caso importa, el Reglamento de la Asamblea de Madrid reconoce a los Grupos Parlamentarios su presencia en todas las Comisiones, lo que, a sensu contrario, no supone el reconocimiento de este derecho a título individual a los Diputados. Estos últimos, conforme al artículo 17 RAM sólo tienen derecho “a formar parte, al menos, de una Comisión”. Pues bien, en el presente caso y en contra de lo manifestado por la parte recurrente, la Resolución objeto del recurso de amparo no tenía como “consecuencia directa” la expulsión del Grupo Mixto de la Comisión de investigación, todo lo contrario. Antes bien, está expresamente prevista en ella la posibilidad de que un miembro del mismo forme parte de la citada Comisión. Otra cosa es que sean sólo dos los integrantes del Grupo Parlamentario Mixto y que, por las circunstancias ya señaladas, no puedan participar en la Comisión de investigación. No se trata de emplear ningún tipo de circunloquio, como alega la parte recurrente, para excluir a sus representados. Estamos, simplemente, en presencia de una consecuencia lógica derivada de la situación planteada. </w:t>
      </w:r>
    </w:p>
    <w:p w:rsidR="0052098F" w:rsidRDefault="0052098F" w:rsidP="0052098F">
      <w:pPr>
        <w:pStyle w:val="TextoNormal"/>
      </w:pPr>
      <w:r>
        <w:lastRenderedPageBreak/>
        <w:t>Las alegaciones de la Asamblea de Madrid concluyen con una breve referencia a la presunta vulneración del principio de igualdad del artículo 14 CE, señalando al respecto que resulta evidente que la situación en la que se encontraban los ahora recurrentes no era, en modo alguno, equiparable a la del resto de los Diputados. Siendo ello cierto, es de aplicación la doctrina del Tribunal Constitucional, en virtud de la cual la igualdad no se ve infringida porque se dé un tratamiento distinto a quienes se hallen en situaciones diferentes (STC 144/1988, de 12 de julio). La diferencia de trato tiene, como ha sido puesto de manifiesto, una evidente justificación “objetiva y razonable”, criterios éstos exigidos por el Alto Tribunal para que la diferenciación pueda reputarse legítima (STC 209/1988, de 10 de noviembre). Asimismo, y como ya quedó dicho, el que los recurrentes no formaran parte de la Comisión de investigación no impidió que los mismos participaran en ella en calidad de comparecientes, asistidos de letrado y rodeados de todas las garantías reglamentarias y constitucionales.</w:t>
      </w:r>
    </w:p>
    <w:p w:rsidR="0052098F" w:rsidRDefault="0052098F" w:rsidP="0052098F">
      <w:pPr>
        <w:pStyle w:val="TextoNormal"/>
      </w:pPr>
    </w:p>
    <w:p w:rsidR="0052098F" w:rsidRDefault="0052098F" w:rsidP="0052098F">
      <w:pPr>
        <w:pStyle w:val="TextoNormal"/>
      </w:pPr>
      <w:r w:rsidRPr="0052098F">
        <w:rPr>
          <w:rStyle w:val="NumeroAFNegritaCaracter"/>
        </w:rPr>
        <w:t>7</w:t>
      </w:r>
      <w:r>
        <w:t>. Los recurrentes presentaron sus alegaciones el 3 de diciembre de 2004. En esencia, y con cita abundante de jurisprudencia constitucional que entienden confirmatoria de su pretensión, las mismas reproducen los argumentos sustantivos expuestos en la demanda, añadiendo, no obstante, diversas referencias que a su entender refutan la fundamentación del Informe de 9 de julio de 2003, del Letrado Jefe de la Asesoría Jurídica al que se ha hecho referencia en el antecedente 2 f).</w:t>
      </w:r>
    </w:p>
    <w:p w:rsidR="0052098F" w:rsidRDefault="0052098F" w:rsidP="0052098F">
      <w:pPr>
        <w:pStyle w:val="TextoNormal"/>
      </w:pPr>
    </w:p>
    <w:p w:rsidR="0052098F" w:rsidRDefault="0052098F" w:rsidP="0052098F">
      <w:pPr>
        <w:pStyle w:val="TextoNormal"/>
      </w:pPr>
      <w:r w:rsidRPr="0052098F">
        <w:rPr>
          <w:rStyle w:val="NumeroAFNegritaCaracter"/>
        </w:rPr>
        <w:t>8</w:t>
      </w:r>
      <w:r>
        <w:t>. Por providencia de 6 de marzo de 2008 se señaló para deliberación y fallo de la presente Sentencia el día 10 del mismo mes y año, trámite que ha finalizado en el día de hoy.</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Se impugna en este amparo constitucional la Resolución de la Mesa de la Diputación Permanente de la Asamblea de Madrid de 10 de julio de 2003. Versa la misma, literalmente, sobre la composición, organización y funcionamiento, así como plazo de finalización de sus trabajos, de la Comisión de investigación sobre análisis y evaluación de “las responsabilidades que pudieran derivarse de actuaciones urbanísticas en el ámbito territorial de la Comunidad de Madrid, que puedan estar relacionadas con el actual bloqueo institucional en que se encuentra la Asamblea de Madrid, provocado por la actuación de los Sres. Tamayo y Sáez, incorporando a la investigación todos los intereses urbanísticos de quienes puedan estar relacionados con el mismo, incluidos aquellos vinculados a miembros de la Asamblea”.</w:t>
      </w:r>
    </w:p>
    <w:p w:rsidR="0052098F" w:rsidRDefault="0052098F" w:rsidP="0052098F">
      <w:pPr>
        <w:pStyle w:val="TextoNormal"/>
      </w:pPr>
      <w:r>
        <w:t>Sostienen los demandantes de amparo que esta resolución vulnera sus derechos garantizados en los arts. 14 y 23.2 CE. Comparte esta posición el Ministerio Fiscal, quien pide la concesión del amparo, por las razones que se han recogido en los antecedentes. Por el contrario, la representación procesal de la Asamblea de Madrid solicita la desestimación de la demanda.</w:t>
      </w:r>
    </w:p>
    <w:p w:rsidR="0052098F" w:rsidRDefault="0052098F" w:rsidP="0052098F">
      <w:pPr>
        <w:pStyle w:val="TextoNormal"/>
      </w:pPr>
    </w:p>
    <w:p w:rsidR="0052098F" w:rsidRDefault="0052098F" w:rsidP="0052098F">
      <w:pPr>
        <w:pStyle w:val="TextoNormal"/>
      </w:pPr>
      <w:r w:rsidRPr="0052098F">
        <w:rPr>
          <w:rStyle w:val="NumeroAFNegritaCaracter"/>
        </w:rPr>
        <w:t>2</w:t>
      </w:r>
      <w:r>
        <w:t>. Antes de abordar el examen de las quejas concretas planteadas por los recurrentes en amparo conviene acotar el objeto de este proceso constitucional.</w:t>
      </w:r>
    </w:p>
    <w:p w:rsidR="0052098F" w:rsidRDefault="0052098F" w:rsidP="0052098F">
      <w:pPr>
        <w:pStyle w:val="TextoNormal"/>
      </w:pPr>
      <w:r>
        <w:lastRenderedPageBreak/>
        <w:t>a) Esta tarea requiere, en primer lugar, realizar una breve síntesis del contenido de la Resolución de la Mesa de la Diputación Permanente de la Asamblea de Madrid de 10 de julio de 2003, expresamente impugnada.</w:t>
      </w:r>
    </w:p>
    <w:p w:rsidR="0052098F" w:rsidRDefault="0052098F" w:rsidP="0052098F">
      <w:pPr>
        <w:pStyle w:val="TextoNormal"/>
      </w:pPr>
      <w:r>
        <w:t>Al respecto hemos de señalar que dicha Resolución está dividida en cuatro apartados, el primero de los cuales contiene las reglas básicas sobre composición, organización y funcionamiento de la Comisión de investigación que se encuentra en el origen de este proceso constitucional. Esas reglas básicas se estructuran en normas de funcionamiento, donde tras la definición del objeto de la indicada Comisión de investigación, fijada en la norma primera de funcionamiento, que coincide en lo esencial con el título general de la Resolución, se establece, en la norma segunda, la siguiente composición de la Comisión: “8 Diputados del Grupo Parlamentario Popular, 6 Diputados del Grupo Parlamentario Socialista, 2 Diputados del Grupo Parlamentario de Izquierda Unida y un Diputado del Grupo Parlamentario Mixto”.  Posteriormente se señala que “atendiendo a la necesidad de garantizar la eficacia, la objetividad y la solvencia de las conclusiones y el resultado de los trabajos realizados, la Mesa, respetando siempre la legalidad vigente, excluirá de la misma a aquellos miembros que puedan resultar directamente afectados por el objeto de la Comisión” (norma de funcionamiento segunda.2 in fine).</w:t>
      </w:r>
    </w:p>
    <w:p w:rsidR="0052098F" w:rsidRDefault="0052098F" w:rsidP="0052098F">
      <w:pPr>
        <w:pStyle w:val="TextoNormal"/>
      </w:pPr>
      <w:r>
        <w:t>También interesa para la resolución de este proceso constitucional recordar la literalidad del segundo apartado de la Resolución, que dice así: “con base en el informe jurídico de fecha 9 de julio de 2003, emitido por el Sr. Letrado-Jefe de la Asesoría Jurídica (Reg. Sal. Ases. Jurídica núm. 124, 9-07-03), la Mesa de la Diputación Permanente limita el derecho a participar en la Comisión de Investigación de los Sres.  Diputados D. Eduardo Tamayo Barrena y Dña. María Teresa Sáez Laguna, por resultar citados en el objeto de la Comisión”.</w:t>
      </w:r>
    </w:p>
    <w:p w:rsidR="0052098F" w:rsidRDefault="0052098F" w:rsidP="0052098F">
      <w:pPr>
        <w:pStyle w:val="TextoNormal"/>
      </w:pPr>
      <w:r>
        <w:t>b) No se impugna, por el contrario, la Resolución de la Mesa de la Diputación Permanente de la Asamblea de Madrid de 14 de julio de 2003, designando los miembros de la Comisión de investigación propuestos por los Grupos Parlamentarios Popular, de Izquierda Unida y Socialista.</w:t>
      </w:r>
    </w:p>
    <w:p w:rsidR="0052098F" w:rsidRDefault="0052098F" w:rsidP="0052098F">
      <w:pPr>
        <w:pStyle w:val="TextoNormal"/>
      </w:pPr>
      <w:r>
        <w:t>En el texto de esta Resolución se identifica con el número de registro general de entrada parlamentario 932 (VI)/03 un escrito del entonces Portavoz del Grupo Parlamentario Mixto y demandante de amparo comunicando su designación como miembro de la Comisión de investigación. Sin embargo, en la parte dispositiva de la resolución no figura el correspondiente nombramiento, en aplicación de “lo dispuesto en los artículos 64.1 y 75 del Reglamento de la Asamblea, así como en las Normas de funcionamiento de la Comisión, y a la vista del Informe Jurídico (Reg. Sal. Ases. Juríd. núm.  124, de 9-07-03), emitido por el Letrado-Jefe de la Asesoría Jurídica”. Como ya se ha indicado, en esta resolución únicamente se nombra a los miembros de la Comisión de investigación propuestos en representación de los otros tres grupos parlamentarios.</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Acotado en estos términos el objeto del presente recurso de amparo es preciso discernir, con carácter previo, si la Resolución de la Mesa de la Diputación Permanente de la Asamblea de Madrid de 10 de julio de 2003 era susceptible de lesionar por sí sola los derechos fundamentales invocados, puesto que, como este Tribunal Constitucional ha señalado reiteradamente, el recurso de amparo no tiene carácter cautelar, ni protege frente a eventuales lesiones todavía no producidas sino que es un remedio que únicamente cabe impetrar cuando se haya materializado una lesión real de derechos fundamentales, de modo que, como hemos recordado en la STC 288/2006, de 9 de octubre, resulta imprescindible “la </w:t>
      </w:r>
      <w:r>
        <w:lastRenderedPageBreak/>
        <w:t>existencia de una lesión efectiva, real y concreta de un derecho fundamental, y no un hipotético daño potencial o previsiblemente futuro, ni la denuncia abstracta y no materializada de la vulneración de un derecho constitucional” (FJ 2).</w:t>
      </w:r>
    </w:p>
    <w:p w:rsidR="0052098F" w:rsidRDefault="0052098F" w:rsidP="0052098F">
      <w:pPr>
        <w:pStyle w:val="TextoNormal"/>
      </w:pPr>
      <w:r>
        <w:t>En esta ocasión pudiera pensarse que las vulneraciones denunciadas de los derechos fundamentales invocados no se materializaron hasta la adopción de la Resolución de la Mesa de la Diputación Permanente de la Asamblea de Madrid de 14 de julio de 2003, de modo que su no impugnación se erigiría en óbice para poder emprender el examen del fondo de las cuestiones planteadas en este proceso constitucional. De aceptarse la premisa de esta línea de razonamiento, habríamos de convenir, además, en que únicamente el recurrente Sr. Tamayo Barrena ostentaría legitimación para impetrar el amparo de este Tribunal Constitucional al haber sido el único integrante del Grupo Mixto de la Asamblea de Madrid propuesto para formar parte de la Comisión de investigación de la que trae causa este amparo.</w:t>
      </w:r>
    </w:p>
    <w:p w:rsidR="0052098F" w:rsidRDefault="0052098F" w:rsidP="0052098F">
      <w:pPr>
        <w:pStyle w:val="TextoNormal"/>
      </w:pPr>
      <w:r>
        <w:t>Sin embargo, no podemos acoger esta interpretación del alcance y sentido de las resoluciones parlamentarias impugnadas. En primer lugar, porque la Resolución de 14 de julio de 2003 tiene, a los efectos que ahora estrictamente interesan, un contenido puramente negativo en la medida en que se limita a no incorporar en su parte dispositiva la propuesta de nombramiento que el Grupo Mixto había elevado a la Mesa de la Diputación Permanente de la Asamblea de Madrid. En segundo lugar, la lectura de la Resolución de 10 de julio de 2003 debe integrarse con el informe de los servicios jurídicos de la Cámara al que expresamente se remite en su apartado segundo. En ese apartado segundo, “con base en el informe jurídico de fecha 9 de julio de 2003”, se adopta el acuerdo de “limitar” el derecho a participar en la Comisión de investigación de los demandantes de amparo. Pues bien, el alcance de esa limitación se precisa en el informe jurídico de remisión, donde se señala que “el momento en que habría de considerarse, en su caso, la existencia de circunstancias que permitan u obliguen a limitar el derecho de participación de los Diputados Tamayo y Sáez en la Comisión de Investigación vendría determinado por la definición del objeto de la misma, de tal forma que si en el Acuerdo de Mesa que lo define ya concurre esta circunstancia sería el mismo Acuerdo del órgano rector el que determinaría la imposibilidad de participación para los citados Diputados”.</w:t>
      </w:r>
    </w:p>
    <w:p w:rsidR="0052098F" w:rsidRDefault="0052098F" w:rsidP="0052098F">
      <w:pPr>
        <w:pStyle w:val="TextoNormal"/>
      </w:pPr>
      <w:r>
        <w:t>Toda vez que la Resolución de 10 de julio de 2003 hace suyo el referido informe, que expresamente toma como fundamento del acuerdo ahora controvertido, habremos de concluir que la limitación acordada se concreta en la negativa a reconocer a los entonces Diputados de la Asamblea de Madrid y ahora solicitantes de amparo como miembros de la Comisión de investigación. De modo que la meritada Resolución es susceptible de haber vulnerado los derechos fundamentales cuya reparación se pretende, habida cuenta de que su eficacia no precisaba de actos concretos de aplicación. Es la propia Resolución de 10 de julio de 2003 la que impide a los actores ser miembros de la Comisión de investigación, de modo que representa un objeto idóneo para el presente recurso de amparo.</w:t>
      </w:r>
    </w:p>
    <w:p w:rsidR="0052098F" w:rsidRDefault="0052098F" w:rsidP="0052098F">
      <w:pPr>
        <w:pStyle w:val="TextoNormal"/>
      </w:pPr>
      <w:r>
        <w:t xml:space="preserve">El alegato de que el contenido del informe de los servicios jurídicos de la Cámara no se pusiera en conocimiento de los recurrentes no altera la conclusión alcanzada. Además de que sería irrazonable hacer recaer sobre éstos la carga de salvar con su diligencia el defecto de la comunicación parlamentaria, no puede perjudicarles en su actuar en defensa de los derechos fundamentales invocados las irregularidades que haya podido padecer la notificación del acto del poder público al que se reprocha la lesión denunciada. Por otro lado, habiendo convenido en la calificación de la Resolución de 10 de julio de 2003 como objeto idóneo de este proceso constitucional no cabe negar la legitimación activa de doña Teresa Sáez Laguna toda vez que también se halla comprendida en la limitación del derecho a participar en la Comisión de investigación.  Exigir en tal caso que hubiera solicitado formar </w:t>
      </w:r>
      <w:r>
        <w:lastRenderedPageBreak/>
        <w:t>parte de dicha Comisión manifiesta un rigorismo formal desproporcionado, desde el momento en que la Resolución recurrida anticipa el resultado de tal solicitud en forma concluyente.</w:t>
      </w:r>
    </w:p>
    <w:p w:rsidR="0052098F" w:rsidRDefault="0052098F" w:rsidP="0052098F">
      <w:pPr>
        <w:pStyle w:val="TextoNormal"/>
      </w:pPr>
    </w:p>
    <w:p w:rsidR="0052098F" w:rsidRDefault="0052098F" w:rsidP="0052098F">
      <w:pPr>
        <w:pStyle w:val="TextoNormal"/>
      </w:pPr>
      <w:r w:rsidRPr="0052098F">
        <w:rPr>
          <w:rStyle w:val="NumeroAFNegritaCaracter"/>
        </w:rPr>
        <w:t>4</w:t>
      </w:r>
      <w:r>
        <w:t>. Descartada la concurrencia de óbices procesales, procede entrar en el análisis del fondo de las cuestiones planteadas en este proceso constitucional. La lectura conjunta de la Resolución de la Mesa de la Diputación Permanente de la Asamblea de Madrid impugnada y del escrito rector de este recurso de amparo permite avanzar ya la clara desestimación de la vulneración del derecho a la igualdad (art. 14 CE) denunciada por los recurrentes.</w:t>
      </w:r>
    </w:p>
    <w:p w:rsidR="0052098F" w:rsidRDefault="0052098F" w:rsidP="0052098F">
      <w:pPr>
        <w:pStyle w:val="TextoNormal"/>
      </w:pPr>
      <w:r>
        <w:t>En efecto, habiéndose aducido como preceptos constitucionales infringidos por la Resolución parlamentaria controvertida los arts. 14 y 23.2 CE, será preciso recordar que esta última norma constitucional “concreta, sin reiterarlo, el mandato presente en la regla que, en el artículo 14 de la misma Constitución, establece la igualdad de todos los españoles ante la Ley” [SSTC 75/1983, de 3 de agosto, FJ 3, y 50/1986, de 23 de abril, FJ 4; más recientemente, en similares términos, STC 154/2003, de 17 de julio, FJ 6 b)]. De modo que el art. 23.2 CE especifica 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(por todas, STC 191/2007, de 10 de septiembre, FJ 3, y las resoluciones allí citadas).</w:t>
      </w:r>
    </w:p>
    <w:p w:rsidR="0052098F" w:rsidRDefault="0052098F" w:rsidP="0052098F">
      <w:pPr>
        <w:pStyle w:val="TextoNormal"/>
      </w:pPr>
      <w:r>
        <w:t>En este caso los recurrentes se limitan a denunciar la vulneración del art. 14 CE sin aportar ningún elemento que permita identificar qué concreto criterio de discriminación de los específicamente prohibidos por el precepto constitucional habría sido empleado en la resolución parlamentaria impugnada. Ha de concluirse, por ello, que la invocación del art. 14 CE no tiene otro propósito que el de reforzar la argumentación desplegada en la demanda de amparo en defensa de las pretensiones deducidas, que gira principalmente en torno al alegato de vulneración del art. 23.2 CE. Esta misma conclusión se refuerza con la lectura de la resolución controvertida, en la que no se aprecia la utilización de ninguno de los criterios específicamente prohibidos por el art. 14 CE para limitar el derecho de los demandantes de amparo a participar en la Comisión de investigación.</w:t>
      </w:r>
    </w:p>
    <w:p w:rsidR="0052098F" w:rsidRDefault="0052098F" w:rsidP="0052098F">
      <w:pPr>
        <w:pStyle w:val="TextoNormal"/>
      </w:pPr>
    </w:p>
    <w:p w:rsidR="0052098F" w:rsidRDefault="0052098F" w:rsidP="0052098F">
      <w:pPr>
        <w:pStyle w:val="TextoNormal"/>
      </w:pPr>
      <w:r w:rsidRPr="0052098F">
        <w:rPr>
          <w:rStyle w:val="NumeroAFNegritaCaracter"/>
        </w:rPr>
        <w:t>5</w:t>
      </w:r>
      <w:r>
        <w:t>. La doctrina constitucional aplicable la resolución de este caso se sintetiza en las recientes SSTC 89/2005, de 19 de abril, FJ 2; 361/2006, de 18 de diciembre, FJ 2, y 141/2007, de 18 de junio, FJ 3, y en el ATC 369/2007, de 12 de septiembre, FJ 3.</w:t>
      </w:r>
    </w:p>
    <w:p w:rsidR="0052098F" w:rsidRDefault="0052098F" w:rsidP="0052098F">
      <w:pPr>
        <w:pStyle w:val="TextoNormal"/>
      </w:pPr>
      <w:r>
        <w:t xml:space="preserve">En todas estas resoluciones se recuerda que el art. 23.2 CE, además del derecho de acceso en condiciones de igualdad a las funciones y cargos públicos incorpora, como “garantía añadida”, el derecho de los parlamentarios y de los grupos en que se integran a ejercer sus funciones en condiciones de igualdad y dentro de la legalidad parlamentaria. A este respecto parece oportuno insistir en la caracterización del ius in officium tutelado por el art. 23.2 CE como un derecho de configuración legal, en el sentido de que “compete a los Reglamentos parlamentarios fijar y ordenar los derechos y atribuciones que a los parlamentarios corresponden” (STC 141/2007, de 18 de junio, FJ 3). Como igualmente hemos indicado en esta última resolución citada, el correlato lógico de esta función configuradora que desempeñan los Reglamentos parlamentarios radica en que una vez creados los derechos y facultades de los parlamentarios, se integran en su status representativo; de modo que, conforme a la doctrina de este Tribunal, “la Constitución veta la privación o perturbación al representante político de la práctica de su cargo, introduciendo obstáculos que puedan colocar a unos </w:t>
      </w:r>
      <w:r>
        <w:lastRenderedPageBreak/>
        <w:t>representantes en condiciones de inferioridad respecto de otros (SSTC 10/1983; 32/1985, de 6 de marzo, FJ 3; 227/2004, de 29 de noviembre, FJ 2)” (STC 141/2007, de 18 de junio, FJ 5). Lo dicho no conlleva, por otra parte, que cualquier infracción del estatuto del parlamentario en la Cámara represente por sí sola una lesión del derecho fundamental toda vez que únicamente poseen relevancia constitucional aquellos derechos o facultades que pertenezcan al núcleo de la función representativa parlamentaria, respecto de los cuales cabría apreciar vulneración del art. 23.2 CE “si los propios órganos de las Asambleas impiden o coartan ilegítimamente su práctica o adoptan decisiones jurídicamente reprobables que contraríen la naturaleza de la representación o la igualdad de los representantes (SSTC 38/1999, de 22 de marzo, FJ 2; 107/2001, de 23 de abril, FJ 3; 203/2001, de 15 de octubre, FJ 2, y ATC 118/1999, de 10 de mayo)” (STC 141/2007, FJ 3).</w:t>
      </w:r>
    </w:p>
    <w:p w:rsidR="0052098F" w:rsidRDefault="0052098F" w:rsidP="0052098F">
      <w:pPr>
        <w:pStyle w:val="TextoNormal"/>
      </w:pPr>
      <w:r>
        <w:t>No debe perderse de vista, finalmente, la estrecha conexión existente entre esta “garantía añadida” del art. 23.2 CE y el derecho fundamental de los ciudadanos a participar en los asuntos públicos por medio de sus representantes reconocido en el art. 23.1 CE. En efecto, como este Tribunal ha declarado reiteradamente, “puede decirse que ‘son primordialmente los representantes políticos de los ciudadanos quienes dan efectividad a su derecho a participar en los asuntos públicos, según hemos declarado también en la STC 107/2001, de 23 de abril, FJ 3’ (STC 177/2002, FJ 3),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[ATC 181/2003, de 2 de junio, FJ 2 a)]” [SSTC 89/2005, de 19 de abril, FJ 2 a), y 361/2006, de 18 de diciembre, FJ 2 a)].</w:t>
      </w:r>
    </w:p>
    <w:p w:rsidR="0052098F" w:rsidRDefault="0052098F" w:rsidP="0052098F">
      <w:pPr>
        <w:pStyle w:val="TextoNormal"/>
      </w:pPr>
    </w:p>
    <w:p w:rsidR="0052098F" w:rsidRDefault="0052098F" w:rsidP="0052098F">
      <w:pPr>
        <w:pStyle w:val="TextoNormal"/>
      </w:pPr>
      <w:r w:rsidRPr="0052098F">
        <w:rPr>
          <w:rStyle w:val="NumeroAFNegritaCaracter"/>
        </w:rPr>
        <w:t>6</w:t>
      </w:r>
      <w:r>
        <w:t>. El examen del presente supuesto a la luz de esta doctrina requiere, como paso previo, deslindar dos aspectos que en la demanda se presentan entremezclados. Así, invocan los recurrentes el art. 63.2 del Reglamento de la Asamblea de Madrid (RAM) donde se garantiza la representación de todos los grupos parlamentarios en las Comisiones que se constituyan en la Asamblea de Madrid. Partiendo de esta premisa señalan que ellos eran los únicos componentes del Grupo Parlamentario Mixto de la Asamblea de Madrid al momento de dictarse la resolución controvertida, de modo que su exclusión de la Comisión de investigación que se encuentra en el origen de este proceso constitucional representa de suyo la infracción del indicado precepto del Reglamento parlamentario y, en consecuencia, una lesión del derecho fundamental de cada uno de los actores al ejercicio de su cargo en condiciones de igualdad garantizado por el art. 23.2 CE.</w:t>
      </w:r>
    </w:p>
    <w:p w:rsidR="0052098F" w:rsidRDefault="0052098F" w:rsidP="0052098F">
      <w:pPr>
        <w:pStyle w:val="TextoNormal"/>
      </w:pPr>
      <w:r>
        <w:t>Omiten los recurrentes que la norma segunda de funcionamiento de la Comisión de investigación creada por la resolución parlamentaria impugnada incluye expresamente entre los miembros de dicha Comisión a un Diputado del Grupo Parlamentario Mixto.</w:t>
      </w:r>
    </w:p>
    <w:p w:rsidR="0052098F" w:rsidRDefault="0052098F" w:rsidP="0052098F">
      <w:pPr>
        <w:pStyle w:val="TextoNormal"/>
      </w:pPr>
      <w:r>
        <w:t>Pues bien, se trata de determinar, en primer lugar, si esta previsión da cumplimiento al mandato plasmado en el art. 63.2 RAM o si, por el contrario, la aplicación formal de la regla recogida en este precepto del Reglamento parlamentario oculta una desatención a su contenido sustantivo, ya que, de ser así, habríamos de concluir que se ha producido la lesión denunciada. En efecto, tratándose como es el caso del art. 23.2 CE, de un derecho de configuración legal, la infracción de los derechos reconocidos a los miembros de las Cámaras legislativas, bien individualmente considerados bien como integrantes de un grupo parlamentario, conlleva en sí misma la vulneración del derecho al ejercicio del cargo en condiciones de igualdad protegido por el citado precepto constitucional.</w:t>
      </w:r>
    </w:p>
    <w:p w:rsidR="0052098F" w:rsidRDefault="0052098F" w:rsidP="0052098F">
      <w:pPr>
        <w:pStyle w:val="TextoNormal"/>
      </w:pPr>
      <w:r>
        <w:lastRenderedPageBreak/>
        <w:t>No es posible apreciar, sin embargo, vulneración sustantiva alguna del art. 63.2 RAM.</w:t>
      </w:r>
    </w:p>
    <w:p w:rsidR="0052098F" w:rsidRDefault="0052098F" w:rsidP="0052098F">
      <w:pPr>
        <w:pStyle w:val="TextoNormal"/>
      </w:pPr>
      <w:r>
        <w:t>En el presente caso se atribuye un puesto en la Comisión de investigación creada por la Resolución de la Mesa de la Diputación Permanente de la Asamblea de Madrid de 10 de julio de 2003 al representante designado por el Grupo Parlamentario Mixto.  Se trata de un grupo parlamentario cuya configuración en el Reglamento de la Asamblea de Madrid presenta unas características peculiares, pues responde al propósito de facilitar a los Diputados no integrados en otros grupos parlamentarios un cauce adecuado para el desempeño de sus funciones representativas en condiciones de igualdad.</w:t>
      </w:r>
    </w:p>
    <w:p w:rsidR="0052098F" w:rsidRDefault="0052098F" w:rsidP="0052098F">
      <w:pPr>
        <w:pStyle w:val="TextoNormal"/>
      </w:pPr>
      <w:r>
        <w:t>Con respecto a la composición del Grupo Mixto cabe destacar su heterogeneidad pues se incorporan a él aquellos Diputados que no hayan sido integrados en ningún otro grupo parlamentario (art. 40.1 RAM), o que dejen de pertenecer a su grupo parlamentario de origen (art. 43.2 in fine RAM). En cuanto a su funcionamiento podemos señalar una reducción del grado de autonomía del que disfrutan otros grupos parlamentarios toda vez que su reglamento de organización y funcionamiento interno debe ser aprobado por mayoría absoluta de sus miembros y elevado a la consideración de la Mesa de la Cámara, órgano que también resuelve las discrepancias que surjan entre los miembros del Grupo Parlamentario Mixto respecto de su organización y funcionamiento (art. 45 RAM).</w:t>
      </w:r>
    </w:p>
    <w:p w:rsidR="0052098F" w:rsidRDefault="0052098F" w:rsidP="0052098F">
      <w:pPr>
        <w:pStyle w:val="TextoNormal"/>
      </w:pPr>
      <w:r>
        <w:t>En rigor, todo ello pone de relieve la consideración del Grupo Parlamentario Mixto como un instrumento al servicio del ejercicio de las funciones representativas de los Diputados, lo que en ocasiones puede conllevar la modulación de la autonomía organizativa de los representantes de la ciudadanía. Por otro lado, las características descritas permiten advertir que en la Asamblea de Madrid el Grupo Parlamentario Mixto es el único al que pueden incorporarse nuevos miembros a lo largo de la legislatura.</w:t>
      </w:r>
    </w:p>
    <w:p w:rsidR="0052098F" w:rsidRDefault="0052098F" w:rsidP="0052098F">
      <w:pPr>
        <w:pStyle w:val="TextoNormal"/>
      </w:pPr>
      <w:r>
        <w:t>A la vista de esta singularidad no puede concluirse que el reconocimiento de que corresponde al Grupo Mixto un puesto en la Comisión de investigación constituya un simple cumplimiento formal de lo dispuesto en el art. 63.2 RAM. Por la misma razón, tampoco puede sostenerse que la exclusión de los demandantes de amparo de dicha Comisión representa una infracción del mencionado precepto del Reglamento de la Asamblea de Madrid. Dicha exclusión no fue acordada atendiendo a su integración en el Grupo Parlamentario Mixto y no representaba un obstáculo insalvable para que ese mismo Grupo designara como miembro de la Comisión de investigación a cualquier otro Diputado que eventualmente pudiera incorporarse al Grupo Mixto y en el que no concurrieran las circunstancias que determinaron la limitación del derecho a participar en la Comisión de los solicitantes de amparo.</w:t>
      </w:r>
    </w:p>
    <w:p w:rsidR="0052098F" w:rsidRDefault="0052098F" w:rsidP="0052098F">
      <w:pPr>
        <w:pStyle w:val="TextoNormal"/>
      </w:pPr>
    </w:p>
    <w:p w:rsidR="0052098F" w:rsidRDefault="0052098F" w:rsidP="0052098F">
      <w:pPr>
        <w:pStyle w:val="TextoNormal"/>
      </w:pPr>
      <w:r w:rsidRPr="0052098F">
        <w:rPr>
          <w:rStyle w:val="NumeroAFNegritaCaracter"/>
        </w:rPr>
        <w:t>7</w:t>
      </w:r>
      <w:r>
        <w:t>. Descartado que la Resolución de la Mesa de la Diputación Permanente de la Asamblea de Madrid de 10 de julio de 2003 infrinja el art. 63.2 RAM debemos examinar si, a pesar de ello, ha podido vulnerar el derecho fundamental de los recurrentes a ejercer con libertad y en condiciones de igualdad su función representativa protegido por el art. 23.2 CE.</w:t>
      </w:r>
    </w:p>
    <w:p w:rsidR="0052098F" w:rsidRDefault="0052098F" w:rsidP="0052098F">
      <w:pPr>
        <w:pStyle w:val="TextoNormal"/>
      </w:pPr>
      <w:r>
        <w:t>Al respecto hemos de comenzar señalando que la limitación del derecho de los demandantes a participar en la Comisión de investigación acordada en la Resolución de la Mesa de la Diputación Permanente de la Asamblea de Madrid de 10 de julio de 2003 representa una aplicación al caso concreto del criterio general establecido en la norma de funcionamiento segunda de esa misma Resolución. Como ya hemos tenido ocasión de indicar, en esta norma se prevé que “atendiendo a la necesidad de garantizar la eficacia, la objetividad y la solvencia de las conclusiones y el resultado de los trabajos realizados, la Mesa, respetando siempre la legalidad vigente, excluirá de la misma a aquellos miembros que puedan resultar directamente afectados por el objeto de la Comisión”.</w:t>
      </w:r>
    </w:p>
    <w:p w:rsidR="0052098F" w:rsidRDefault="0052098F" w:rsidP="0052098F">
      <w:pPr>
        <w:pStyle w:val="TextoNormal"/>
      </w:pPr>
      <w:r>
        <w:lastRenderedPageBreak/>
        <w:t>Indirectamente plantean los recurrentes la inaplicabilidad de los criterios relacionados en la norma ahora reproducida al hacer hincapié en el hecho de que las Comisiones parlamentarias de investigación valoran intereses políticos y, consecuentemente, sustancian responsabilidades políticas y no jurídicas. Partiendo de esta premisa sostienen no sólo que en la Comisión de investigación habían de dilucidarse los intereses exclusivamente políticos defendidos por los diversos grupos parlamentarios sino además que se trataba de esclarecer el comportamiento de todos ellos, de modo que los distintos grupos parlamentarios eran a un tiempo investigadores y presuntos implicados. Consecuentemente con esta línea de razonamiento, la exclusión de los ahora recurrentes de la Comisión representa un trato discriminatorio para los miembros del Grupo Mixto, únicos a los que se impide participar en dicho órgano parlamentario.</w:t>
      </w:r>
    </w:p>
    <w:p w:rsidR="0052098F" w:rsidRDefault="0052098F" w:rsidP="0052098F">
      <w:pPr>
        <w:pStyle w:val="TextoNormal"/>
      </w:pPr>
      <w:r>
        <w:t>Para dar respuesta a estas alegaciones es preciso evitar toda confusión entre la labor investigadora que puedan llevar a cabo las Asambleas autonómicas o las Cortes Generales y aquélla que corresponde a los órganos integrantes del Poder Judicial.  Como este Tribunal ha tenido ocasión de señalar, “las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sólo el proceso judicial garantiza” (STC 46/2001, de 15 de febrero, FJ 12). Esta distinción no sólo es predicable del resultado de la investigación sino que se aprecia en toda la actividad desarrollada por las Comisiones parlamentarias de investigación, a las que no puede exigirse la objetividad e imparcialidad propia de los órganos jurisdiccionales.</w:t>
      </w:r>
    </w:p>
    <w:p w:rsidR="0052098F" w:rsidRDefault="0052098F" w:rsidP="0052098F">
      <w:pPr>
        <w:pStyle w:val="TextoNormal"/>
      </w:pPr>
      <w:r>
        <w:t>Ahora bien, lo dicho no significa que debamos rechazar, por contrarias a la Constitución, normas reguladoras del trabajo de Comisiones parlamentarias de investigación con las que se pretenda garantizar una mayor objetividad y eficacia posible de sus trabajos. Los Parlamentos son, según hemos tenido ocasión de subrayar, “ante todo, escenarios privilegiados del debate público” (STC 226/2004, de 29 de noviembre, FJ 6), concretamente un debate político institucionalizado mediante el establecimiento previo de unas reglas de juego en las que se concreta la autonomía parlamentaria y sobre cuyo contenido sólo de manera excepcional debe extenderse nuestra jurisdicción, en aras del respeto a esa misma autonomía parlamentaria (ibídem). En esta ocasión la Mesa de la Diputación Permanente de la Asamblea de Madrid, en el ejercicio de las funciones que le atribuye el Reglamento de la Cámara, en especial su art. 75, ha aprobado las normas de composición, organización y funcionamiento de la Comisión de investigación sometidas a nuestro examen, donde se ponderan de manera destacada esos valores de objetividad y eficacia en su actuación. Ponderación que es razonable si atendemos a las circunstancias que rodearon la creación de la Comisión de investigación y, en particular, a la situación de bloqueo institucional que padecía por entonces la Comunidad de Madrid. En virtud de todo ello no debe merecer reproche, desde la estricta perspectiva constitucional que nos compete adoptar, la atención a dichos valores para la fijación de las reglas del debate que habían de desarrollarse en el seno de la Comisión de investigación.</w:t>
      </w:r>
    </w:p>
    <w:p w:rsidR="0052098F" w:rsidRDefault="0052098F" w:rsidP="0052098F">
      <w:pPr>
        <w:pStyle w:val="TextoNormal"/>
      </w:pPr>
      <w:r>
        <w:t>Obviamente, la fijación de esos criterios no altera la naturaleza estrictamente parlamentaria de la Comisión de investigación ni supone que sus conclusiones puedan incidir sobre la esfera jurídica de los ciudadanos. Pero ello tampoco implica privar de toda eficacia a esa aspiración a actuar con objetividad y eficacia; estamos ante el establecimiento de unos criterios de funcionamiento de la Comisión que, más allá de su observancia en los trabajos de la Comisión, impide que los órganos rectores de la Cámara adopten decisiones contrarias a los mismos.</w:t>
      </w:r>
    </w:p>
    <w:p w:rsidR="0052098F" w:rsidRDefault="0052098F" w:rsidP="0052098F">
      <w:pPr>
        <w:pStyle w:val="TextoNormal"/>
      </w:pPr>
      <w:r>
        <w:lastRenderedPageBreak/>
        <w:t>Dicho esto, debemos rechazar la alegación que formulan los recurrentes y que equipara su situación al momento de constituirse la Comisión de investigación con la que pudieran llegar a ocupar otros grupos parlamentarios en el desarrollo de sus trabajos. Se plantea una igualación no asumible entre una situación real y efectiva y otra eventual o posible, que en todo caso no se ha materializado al momento de crearse la Comisión.</w:t>
      </w:r>
    </w:p>
    <w:p w:rsidR="0052098F" w:rsidRDefault="0052098F" w:rsidP="0052098F">
      <w:pPr>
        <w:pStyle w:val="TextoNormal"/>
      </w:pPr>
      <w:r>
        <w:t>Por otra parte, la norma segunda de funcionamiento aprobada por la Resolución de la Mesa de la Diputación Permanente de la Asamblea de Madrid de 14 de julio de 2003 no ceñía la adopción de una medida como la aquí criticada exclusivamente a los recurrentes sino que se facultaba a la propia Mesa para que la aplicase a los miembros de la Comisión que pudieran resultar “directamente afectados por el objeto de la Comisión”, una vez que esa afección se materializara. Que los demandantes resultaban directamente afectados por el objeto de la Comisión se pone de manifiesto por la circunstancia de que fueran mencionados expresamente en su denominación. Recuérdese que, de acuerdo con la norma de funcionamiento primera, ese objeto consistía en “analizar y evaluar las responsabilidades que pudieran derivarse de actuaciones urbanísticas en el ámbito territorial de la Comunidad de Madrid, que puedan estar relacionadas con el actual bloqueo institucional en el que se encuentra la Asamblea de Madrid, provocado por la actuación de los Sres. Tamayo y Sáez”. Y es que, al momento de constituirse la Comisión, no era posible afirmar que ningún otro miembro de la Asamblea de Madrid hubiera contribuido con su actuación a la generación de la situación de bloqueo institucional que provocó la creación de dicha Comisión de investigación. Por consiguiente, no puede apreciarse la existencia de tratamiento desigual o peyorativo.</w:t>
      </w:r>
    </w:p>
    <w:p w:rsidR="0052098F" w:rsidRDefault="0052098F" w:rsidP="0052098F">
      <w:pPr>
        <w:pStyle w:val="TextoNormal"/>
      </w:pPr>
      <w:r>
        <w:t>La labor investigadora que había de realizar la Comisión creada por la Resolución de la Mesa de la Diputación Permanente de 10 de julio de 2003 no necesariamente había de arrojar un resultado penalmente relevante, pero debía servir para “ analizar y evaluar”, como ha quedado dicho, “ las responsabilidades que pudieran derivarse de actuaciones urbanísticas en el ámbito territorial de la Comunidad de Madrid, que puedan estar relacionadas con el actual bloqueo institucional en que se encuentra la Asamblea de Madrid” (antecedente de hecho 2.g). Por todo ello era razonable establecer como criterios de actuación de la Comisión de investigación la objetividad y la eficacia, en aras, como se dice en la propia Resolución recurrida, de la solvencia de las conclusiones y el resultado de los trabajos realizados.</w:t>
      </w:r>
    </w:p>
    <w:p w:rsidR="0052098F" w:rsidRDefault="0052098F" w:rsidP="0052098F">
      <w:pPr>
        <w:pStyle w:val="TextoNormal"/>
      </w:pPr>
      <w:r>
        <w:t xml:space="preserve">Hemos de añadir que no puede tildarse de desproporcionada la decisión cuestionada en este proceso constitucional. Como hemos afirmado reiteradamente (por todas, STC 206/2007, de 24 de septiembre, FJ 6), la formulación del juicio de proporcionalidad de las medidas limitativas de los derechos fundamentales se concreta en tres requisitos o condiciones: idoneidad, necesidad y proporcionalidad en sentido estricto. En este caso, la exclusión de los parlamentarios afectados por la investigación de la Comisión parlamentaria puede considerarse una medida idónea, bien que no suficiente, para preservar los criterios de actuación fijados para la Comisión en su resolución de creación, pues podían arriesgar un interés personal distinto del estrictamente político que invocan. Por otro lado, no se han planteado otras medidas menos gravosas, que con un sacrificio menor del derecho fundamental alegado fueran igualmente aptas para ese fin, en particular si reparamos en el hecho de que ambos comparecieron ante la Comisión de investigación, que desarrolló su trabajo con publicidad, según lo previsto en la norma sexta de funcionamiento; de modo que pudieron estar en todo momento perfectamente informados del desarrollo de las actividades de la Comisión, lo que les permitía actuar en defensa de sus derechos en la eventualidad de que entendieran que habían sido conculcados. No puede concluirse, finalmente, que de la aplicación de la decisión se derivaran más perjuicios sobre otros bienes o intereses en conflicto </w:t>
      </w:r>
      <w:r>
        <w:lastRenderedPageBreak/>
        <w:t>que beneficios o ventajas para el interés general, aquí concretado en la averiguación de los intereses urbanísticos que pudieran estar relacionados con el bloqueo institucional de la Asamblea de Madrid. Por todo ello cabe concluir que la decisión controvertida no ha vulnerado el derecho de los recurrentes a ejercer con libertad y en condiciones de igualdad su labor representativa; máxime cuando se trataba de averiguar las razones que habían impedido al conjunto de miembros de la Cámara ese ejercicio a resultas del comportamiento de los parlamentarios afectados por el objeto de la Comisión creada por la Resolución de la Mesa de la Diputación Permanente de la Asamblea de Madrid de 10 de julio de 2003.</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Denegar el amparo solicitado por don Eduardo Tamayo Barrena y doña María Teresa Sáez Laguna.</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diez de marzo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3" w:name="SENTENCIA_2008_40"/>
      <w:r>
        <w:lastRenderedPageBreak/>
        <w:t>SENTENCIA 40/2008, de 10 de marzo de 2008</w:t>
      </w:r>
    </w:p>
    <w:bookmarkEnd w:id="43"/>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ECLI:ES:TC:2008:40</w:t>
      </w:r>
    </w:p>
    <w:p w:rsidR="0052098F" w:rsidRDefault="0052098F" w:rsidP="0052098F">
      <w:pPr>
        <w:pStyle w:val="SntesisDescriptiva"/>
      </w:pPr>
    </w:p>
    <w:p w:rsidR="0052098F" w:rsidRDefault="0052098F" w:rsidP="0052098F">
      <w:pPr>
        <w:pStyle w:val="SntesisDescriptiva"/>
      </w:pPr>
      <w:r>
        <w:t>Recurso de amparo 6545-2004. Promovido por don David Jiménez Gallardo frente a la Sentencia y el Auto de nulidad de un Juzgado de lo Contencioso-Administrativo de Córdoba que desestimó su demanda contra el Subdelegado del Gobierno en esa ciudad sobre multa de tráfico por exceso de velocidad.</w:t>
      </w:r>
    </w:p>
    <w:p w:rsidR="0052098F" w:rsidRDefault="0052098F" w:rsidP="0052098F">
      <w:pPr>
        <w:pStyle w:val="SntesisDescriptiva"/>
      </w:pPr>
    </w:p>
    <w:p w:rsidR="0052098F" w:rsidRDefault="0052098F" w:rsidP="0052098F">
      <w:pPr>
        <w:pStyle w:val="SntesisAnaltica"/>
      </w:pPr>
      <w:r>
        <w:t>Supuesta vulneración del derecho a la presunción de inocencia y vulneración del derecho a la tutela judicial efectiva (incongruencia): sanción administrativa apoyada en prueba de cargo suministrada por un cinemómetro; sentencia y auto de nulidad que no resuelven la pretensión subsidiaria de reducir la cuantía de la multa.</w:t>
      </w:r>
    </w:p>
    <w:p w:rsidR="0052098F" w:rsidRDefault="0052098F" w:rsidP="0052098F">
      <w:pPr>
        <w:pStyle w:val="SntesisAnaltica"/>
      </w:pPr>
    </w:p>
    <w:p w:rsidR="0052098F" w:rsidRDefault="0052098F" w:rsidP="0052098F">
      <w:pPr>
        <w:pStyle w:val="Extracto"/>
      </w:pPr>
      <w:r>
        <w:t>1.</w:t>
      </w:r>
      <w:r>
        <w:tab/>
        <w:t>La Sentencia no contiene una respuesta expresa a la pretensión subsidiaria, ni una respuesta por remisión a la resolución administrativa, ni tampoco una respuesta tácita más allá de la mera desestimación del recurso contencioso-administrativo, por lo que incurre en incongruencia omisiva lesiva del derecho a la tutela judicial efectiva [FJ 5].</w:t>
      </w:r>
    </w:p>
    <w:p w:rsidR="0052098F" w:rsidRDefault="0052098F" w:rsidP="0052098F">
      <w:pPr>
        <w:pStyle w:val="Extracto"/>
      </w:pPr>
    </w:p>
    <w:p w:rsidR="0052098F" w:rsidRDefault="0052098F" w:rsidP="0052098F">
      <w:pPr>
        <w:pStyle w:val="Extracto"/>
      </w:pPr>
      <w:r>
        <w:t>2.</w:t>
      </w:r>
      <w:r>
        <w:tab/>
        <w:t>El derecho a la presunción de inocencia comporta que la sanción esté basada en actos o medios probatorios de cargo o incriminadores de la conducta reprochada, correspondiendo la carga de la prueba a quien acusa, sin que nadie esté obligado a probar su propia inocencia, por lo que cualquier insuficiencia en el resultado de las pruebas practicadas debe traducirse en un pronunciamiento absolutorio (SSTC 76/1990, 69/1998) [FJ 2].</w:t>
      </w:r>
    </w:p>
    <w:p w:rsidR="0052098F" w:rsidRDefault="0052098F" w:rsidP="0052098F">
      <w:pPr>
        <w:pStyle w:val="Extracto"/>
      </w:pPr>
    </w:p>
    <w:p w:rsidR="0052098F" w:rsidRDefault="0052098F" w:rsidP="0052098F">
      <w:pPr>
        <w:pStyle w:val="Extracto"/>
      </w:pPr>
      <w:r>
        <w:t>3.</w:t>
      </w:r>
      <w:r>
        <w:tab/>
        <w:t>Los datos obtenidos mediante cinemómetros, gozan de una presunción iuris tantum de veracidad siempre que dichos aparatos hayan sido fabricados y hayan superado los controles establecidos por la normativa técnica vigente en cada momento, y así resulte acreditado mediante las correspondientes certificaciones de naturaleza técnica (ATC 193/2004) [FJ 2].</w:t>
      </w:r>
    </w:p>
    <w:p w:rsidR="0052098F" w:rsidRDefault="0052098F" w:rsidP="0052098F">
      <w:pPr>
        <w:pStyle w:val="Extracto"/>
      </w:pPr>
    </w:p>
    <w:p w:rsidR="0052098F" w:rsidRDefault="0052098F" w:rsidP="0052098F">
      <w:pPr>
        <w:pStyle w:val="Extracto"/>
      </w:pPr>
      <w:r>
        <w:t>4.</w:t>
      </w:r>
      <w:r>
        <w:tab/>
        <w:t>No constituye, una duda razonable para cuestionar la fiabilidad de un cinemómetro la simple apreciación del conductor, sin ningún tipo de corroboración mínimamente objetiva, de que según el velocímetro de su vehículo circulaba a una velocidad inferior a la señalada en el cinemómetro (ATC 193/2004) [FJ 2].</w:t>
      </w:r>
    </w:p>
    <w:p w:rsidR="0052098F" w:rsidRDefault="0052098F" w:rsidP="0052098F">
      <w:pPr>
        <w:pStyle w:val="Extracto"/>
      </w:pPr>
    </w:p>
    <w:p w:rsidR="0052098F" w:rsidRDefault="0052098F" w:rsidP="0052098F">
      <w:pPr>
        <w:pStyle w:val="Extracto"/>
      </w:pPr>
      <w:r>
        <w:t>5.</w:t>
      </w:r>
      <w:r>
        <w:tab/>
        <w:t>En los recursos de amparo mixtos, cuando la lesión imputada al órgano judicial tenga carácter procesal, este Tribunal podrá excluir el enjuiciamiento de las quejas formuladas por el cauce del art. 44 LOTC o dotar a su pronunciamiento de un alcance meramente declarativo siempre que, como consecuencia de haberse descartado la inconstitucionalidad del acto administrativo, no resulte ya necesaria la retroacción de las actuaciones (STC 5/2008) [FJ 3].</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6545-2004, promovido por don David Jiménez Gallardo, representado por el Procurador de los Tribunales don Antonio Palma Villalón y asistido por el Abogado don Enrique Paredes Cerezo, contra la Sentencia del Juzgado de lo Contencioso-Administrativo núm. 1 de Córdoba recaída el 6 de septiembre de 2004 en el procedimiento abreviado núm. 13-2004, y contra el Auto de 21 de septiembre de 2004 que desestima el incidente de nulidad de actuaciones promovido contra la referida Sentencia. Ha intervenido el Ministerio Fiscal. Ha sido parte el Abogado del Estado en la representación que ostenta. Ha sido Ponente el Magistrado don Jorge Rodríguez-Zapata Pérez,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3 de noviembre de 2004, el Procurador de los Tribunales don Antonio Palma Villalón, en nombre y representación de don David Jiménez Gallardo, interpuso recurso de amparo contra la Sentencia de 6 de septiembre de 2004 y el Auto de 21 de septiembre de 2004, dictados por el Juzgado de lo Contencioso-Administrativo núm. 1 de Córdoba en el procedimiento abreviado núm. 13-2004, de los que se hace mención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fundamentos de hecho de la demanda de amparo son los siguientes: </w:t>
      </w:r>
    </w:p>
    <w:p w:rsidR="0052098F" w:rsidRDefault="0052098F" w:rsidP="0052098F">
      <w:pPr>
        <w:pStyle w:val="TextoNormal"/>
      </w:pPr>
      <w:r>
        <w:t xml:space="preserve">a) Agentes de la Agrupación de Tráfico de la Guardia Civil denunciaron que a las 12:14 del día 28 de diciembre de 2002, el vehículo CO-4700-AT, cuyo conductor resultó ser el demandante de amparo, circulaba a la altura del punto kilométrico 42,5 de la autovía A-44 a una velocidad de 181 kilómetros por hora, siendo la máxima autorizada en ese punto la de 120 km/h. </w:t>
      </w:r>
    </w:p>
    <w:p w:rsidR="0052098F" w:rsidRDefault="0052098F" w:rsidP="0052098F">
      <w:pPr>
        <w:pStyle w:val="TextoNormal"/>
      </w:pPr>
      <w:r>
        <w:t xml:space="preserve">b) Incoado el expediente sancionador núm. 14-040-152.523-0, tras las alegaciones formuladas por el recurrente y la práctica de diversas pruebas documentales —al tiempo que fueron denegadas otras documentales y una testifical—, el 4 de junio de 2003 recayó Resolución sancionadora, dictada por el Subdelegado del Gobierno en Córdoba por delegación del Delegado del Gobierno en Andalucía, imponiendo al demandante una multa de 200 euros, como responsable de una infracción prevista en el art. 65.4 del texto articulado aprobado por Real Decreto Legislativo 339/1990, de 2 de marzo, de la Ley sobre tráfico, circulación de vehículos a motor y seguridad vial, al circular superando los límites de velocidad fijados </w:t>
      </w:r>
      <w:r>
        <w:lastRenderedPageBreak/>
        <w:t xml:space="preserve">en el art. 48 del Reglamento general de circulación aprobado por el Real Decreto 13/1992, de 17 de enero. </w:t>
      </w:r>
    </w:p>
    <w:p w:rsidR="0052098F" w:rsidRDefault="0052098F" w:rsidP="0052098F">
      <w:pPr>
        <w:pStyle w:val="TextoNormal"/>
      </w:pPr>
      <w:r>
        <w:t xml:space="preserve">c) El demandante de amparo interpuso recurso de alzada alegando la vulneración del principio de presunción de inocencia a causa de que la prueba fotográfica obtenida mediante cinemómetro había sufrido manipulaciones, en el sentido de que determinados datos esenciales —fecha de la infracción, número de antena y punto kilométrico— no fueron impresos mecánicamente por el propio cinemómetro sino que fueron manuscritos, estimando por ello necesaria la ratificación de la denuncia por el agente denunciante; igualmente adujo la vulneración del derecho a la práctica de las pruebas pertinentes para la defensa, la infracción del principio de audiencia, la ausencia en la resolución sancionadora de la firma de la autoridad competente y la vulneración del principio de proporcionalidad. El recurso de alzada fue desestimado por el Director General de Tráfico mediante Resolución de 20 de noviembre de 2003. </w:t>
      </w:r>
    </w:p>
    <w:p w:rsidR="0052098F" w:rsidRDefault="0052098F" w:rsidP="0052098F">
      <w:pPr>
        <w:pStyle w:val="TextoNormal"/>
      </w:pPr>
      <w:r>
        <w:t xml:space="preserve">d) Disconforme con la sanción, don David Jiménez Gallardo interpuso recurso contencioso- administrativo, cuyo conocimiento correspondió al Juzgado de lo Contencioso-Administrativo núm. 1 de Córdoba, registrándose como procedimiento abreviado núm. 13-2004. El recurso se fundó en los siguientes motivos, en atención a los cuales se pedía la anulación de la sanción: a’) vulneración del principio de presunción de inocencia; b’) vulneración del derecho a la práctica de las pruebas pertinentes para la defensa; y c’) vulneración del principio de audiencia. Con carácter subsidiario, se solicitaba la reducción de la cuantía de la sanción al mínimo legal, en aplicación del art. 131.3 de la Ley 30/1992, de 26 de noviembre (en adelante, LPC). </w:t>
      </w:r>
    </w:p>
    <w:p w:rsidR="0052098F" w:rsidRDefault="0052098F" w:rsidP="0052098F">
      <w:pPr>
        <w:pStyle w:val="TextoNormal"/>
      </w:pPr>
      <w:r>
        <w:t xml:space="preserve">En la vista oral, celebrada el 2 de septiembre de 2004, el recurrente ratificó la demanda y propuso una sola prueba (que el Centro Español de Metrología informase sobre la adecuación legal de la prueba cinemómetra practicada) que le fue denegada por versar sobre cuestión jurídica. </w:t>
      </w:r>
    </w:p>
    <w:p w:rsidR="0052098F" w:rsidRDefault="0052098F" w:rsidP="0052098F">
      <w:pPr>
        <w:pStyle w:val="TextoNormal"/>
      </w:pPr>
      <w:r>
        <w:t xml:space="preserve">e) El 6 de septiembre de 2004 recayó Sentencia desestimatoria del recurso contencioso- administrativo en la que se deniega la anulación de lo actuado en el procedimiento administrativo, por apreciarse que el recurrente no había sufrido indefensión; y, tras reproducir la normativa que se estimó como aplicable al caso, se concluye que la presunción de veracidad de las actas y denuncias administrativas no había sido desvirtuada por el recurrente; a continuación se expresa que la prueba testifical propuesta no tenía cobertura legal, obrando prueba suficiente en el expediente. </w:t>
      </w:r>
    </w:p>
    <w:p w:rsidR="0052098F" w:rsidRDefault="0052098F" w:rsidP="0052098F">
      <w:pPr>
        <w:pStyle w:val="TextoNormal"/>
      </w:pPr>
      <w:r>
        <w:t>f) Finalmente, el demandante promovió un incidente de nulidad de actuaciones por entender que la Sentencia había incurrido en incongruencia omisiva —por falta de análisis de las alegaciones referidas a la infracción de los principios de proporcionalidad y de presunción de inocencia— siendo inadmitido dicho incidente por Auto de 21 de septiembre de 2004, en el que se argumenta que del contexto de la Sentencia resulta haberse tratado, en lo necesario, la totalidad de las cuestiones planteadas.</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la demanda de amparo se sostiene que se ha vulnerado, en primer lugar, el derecho a la tutela judicial efectiva del recurrente (art. 24.1 CE) como consecuencia de que la Sentencia del Juzgado de lo Contencioso-Administrativo núm. 1 de Córdoba incurre en incongruencia omisiva, al no resolver sobre las alegadas infracciones de los principios de presunción de inocencia y de proporcionalidad, sin que tal defecto fuese remediado pese a promoverse el correspondiente incidente de nulidad de actuaciones. </w:t>
      </w:r>
    </w:p>
    <w:p w:rsidR="0052098F" w:rsidRDefault="0052098F" w:rsidP="0052098F">
      <w:pPr>
        <w:pStyle w:val="TextoNormal"/>
      </w:pPr>
      <w:r>
        <w:lastRenderedPageBreak/>
        <w:t xml:space="preserve">En segundo lugar, se aduce la vulneración del derecho a la presunción de inocencia (art. 24.2 CE), dado que la única prueba de cargo existente es una fotografía obtenida mediante cinemómetro sin cumplirse los requisitos exigidos por la normativa metrológica. </w:t>
      </w:r>
    </w:p>
    <w:p w:rsidR="0052098F" w:rsidRDefault="0052098F" w:rsidP="0052098F">
      <w:pPr>
        <w:pStyle w:val="TextoNormal"/>
      </w:pPr>
      <w:r>
        <w:t>Por último, se alega la vulneración del derecho a la igualdad en la aplicación de la ley (art. 14 CE), al haber tratado el Juzgado de forma desigual supuestos iguales, puesto que en la Sentencia recaída en el recurso contencioso-administrativo núm. 334-2003, el mismo Juzgado redujo la sanción impugnada en consideración a que la Administración sancionadora no había motivado las razones para imponerla por encima del mínimo legal, siendo así que en el presente caso la Administración tampoco ha motivado ese extremo y, sin embargo, el órgano no ha aplicado el mismo criterio para reducir la sanción.</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25 de enero de 2007 la Sección Segunda de este Tribunal admitió a trámite la demanda de amparo, acordando dirigir atenta comunicación al Juzgado de lo Contencioso-Administrativo núm. 1 de Córdoba, para que en el plazo de diez días remitiera testimonio del procedimiento abreviado núm. 13-2004,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0052098F" w:rsidRDefault="0052098F" w:rsidP="0052098F">
      <w:pPr>
        <w:pStyle w:val="TextoNormal"/>
      </w:pPr>
    </w:p>
    <w:p w:rsidR="0052098F" w:rsidRDefault="0052098F" w:rsidP="0052098F">
      <w:pPr>
        <w:pStyle w:val="TextoNormal"/>
      </w:pPr>
      <w:r w:rsidRPr="0052098F">
        <w:rPr>
          <w:rStyle w:val="NumeroAFNegritaCaracter"/>
        </w:rPr>
        <w:t>5</w:t>
      </w:r>
      <w:r>
        <w:t>. El Abogado del Estado solicitó su personación mediante escrito presentado el 5 de febrero de 2007, lo que fue acordado por diligencia de ordenación de 16 de marzo de 2007.</w:t>
      </w:r>
    </w:p>
    <w:p w:rsidR="0052098F" w:rsidRDefault="0052098F" w:rsidP="0052098F">
      <w:pPr>
        <w:pStyle w:val="TextoNormal"/>
      </w:pPr>
    </w:p>
    <w:p w:rsidR="0052098F" w:rsidRDefault="0052098F" w:rsidP="0052098F">
      <w:pPr>
        <w:pStyle w:val="TextoNormal"/>
      </w:pPr>
      <w:r w:rsidRPr="0052098F">
        <w:rPr>
          <w:rStyle w:val="NumeroAFNegritaCaracter"/>
        </w:rPr>
        <w:t>6</w:t>
      </w:r>
      <w:r>
        <w:t>. En la misma diligencia de ordenación de 16 de marzo de 2007 se tuvo por recibido el testimonio recabado. También se acordó, a tenor de lo dispuesto en el art. 52 LOTC, dar vista de las actuaciones recibidas, en la Secretaría de la Sala, por un plazo común de veinte días, al Ministerio Fiscal y demás partes personadas, para que dentro de dicho término presentaran las alegaciones que a su derecho conviniera.</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Abogado del Estado presentó su escrito de alegaciones el 28 de marzo de 2007, en el que niega que se hayan producido las vulneraciones de derechos constitucionales denunciadas por el demandante de amparo. </w:t>
      </w:r>
    </w:p>
    <w:p w:rsidR="0052098F" w:rsidRDefault="0052098F" w:rsidP="0052098F">
      <w:pPr>
        <w:pStyle w:val="TextoNormal"/>
      </w:pPr>
      <w:r>
        <w:t xml:space="preserve">Rechaza, en primer lugar, que la fotografía de que dispone la Administración como prueba de la infracción cometida carezca de los requisitos establecidos por la normativa metrológica. Señala que el demandante confunde el alcance de las normas metrológicas y las rectoras de la circulación rodada: la denuncia de una infracción es el cometido testimonial de unos hechos apreciados por los sentidos; y cuando la denuncia dimana de un agente de la autoridad, rige la presunción de veracidad establecida en el art. 137.3 de la Ley 30/92, de 26 de noviembre, y en el art. 17.5 del Reglamento de procedimiento para el ejercicio de la potestad sancionadora de la Administración. Y ello no obsta a que en la determinación de los hechos se pongan en juego instrumentos de medida que permitan una mayor precisión que los sentidos, como el cinemómetro, que permite determinar la velocidad de un vehículo. Añade que la normativa metrológica no contiene indicación alguna de las menciones con que debe contar una prueba efectuada por los aparatos medidores de la velocidad de un vehículo, fuera de la identificación de la velocidad a la que discurre un vehículo, objetivo principal del cinemómetro; pero el lugar, la fecha o el sentido de la marcha, son datos cuya identificación puede ser perfectamente realizada por el agente denunciante y con plena sujeción a las normas generales sobre la actividad sancionadora. Ninguna norma establece que </w:t>
      </w:r>
      <w:r>
        <w:lastRenderedPageBreak/>
        <w:t xml:space="preserve">esos datos deban resultar de una mecanización automática del cinemómetro, ni que los agentes encargados de la vigilancia del tránsito rodado no puedan obtenerlas o expresarlas en las denuncias. </w:t>
      </w:r>
    </w:p>
    <w:p w:rsidR="0052098F" w:rsidRDefault="0052098F" w:rsidP="0052098F">
      <w:pPr>
        <w:pStyle w:val="TextoNormal"/>
      </w:pPr>
      <w:r>
        <w:t xml:space="preserve">En segundo lugar, rechaza el Abogado del Estado la similitud absoluta del término de comparación propuesto para justificar la vulneración del art. 14 CE, ya que el recurrente circulaba a 181 km/h pese a estar sujeto a la limitación máxima de 120 km/h. Quiere ello decir que, en realidad, había incurrido en una infracción muy grave conforme al art. 65.5 del texto articulado de la Ley sobre tráfico, circulación de vehículos a motor y seguridad vial (puesto que circulaba a velocidad superior al 50 por 100 del límite máximo y superando en más de 30 km/h dicho límite máximo). Sin embargo, la sanción se fijó en 200 euros en lugar del mínimo aplicable a las muy graves: 302 euros y suspensión del permiso de conducir. Aplicar las mismas sanciones a dos infracciones tan distintas hubiera resultado verdaderamente injusto, por lo que la rebaja acordada por el juzgador en aplicación del principio de proporcionalidad en el caso traído a colación por el recurrente aparece plenamente justificada y la pretensión de beneficiarse de la misma rebaja de la multa es desorbitada. </w:t>
      </w:r>
    </w:p>
    <w:p w:rsidR="0052098F" w:rsidRDefault="0052098F" w:rsidP="0052098F">
      <w:pPr>
        <w:pStyle w:val="TextoNormal"/>
      </w:pPr>
      <w:r>
        <w:t xml:space="preserve">Se opone también el Abogado del Estado a la objeción basada en la incongruencia de la Sentencia, ya que en su fundamento de Derecho primero se contiene un extenso razonamiento sobre la nulidad de actuaciones, concluyendo en la inexistencia de causa alguna de nulidad o anulabilidad del expediente sancionador y en la ausencia de cualquier forma de indefensión para el recurrente. Además, se recuerda en el fundamento de Derecho tercero el valor probatorio de las actas y denuncias administrativas, entendiendo que los datos manuscritos o superpuestos en los impresos se acogen a dicha regla probatoria. Finalmente, el juzgador rechaza la prueba testifical del agente que suscribió la denuncia, por considerar los hechos suficientemente acreditados mediante la prueba documental obrante en el expediente. </w:t>
      </w:r>
    </w:p>
    <w:p w:rsidR="0052098F" w:rsidRDefault="0052098F" w:rsidP="0052098F">
      <w:pPr>
        <w:pStyle w:val="TextoNormal"/>
      </w:pPr>
      <w:r>
        <w:t>Tampoco aprecia una insuficiente motivación en lo atinente a la pretensión de rebaja de la sanción sustentada en el principio de proporcionalidad, habida cuenta de que en el fundamento de Derecho 2 in fine de la Sentencia se indica que “[e]n el caso concreto que nos ocupa, la infracción legal que se imputa al denunciado, y posteriormente sancionado, se corresponden (sic) con los hechos denunciados y constitutivos del apoyo fáctico de la resolución sancionadora”, lo que, a juicio del Abogado del Estado, es una respuesta a la pretensión de rebaja del importe de la multa impuesta.</w:t>
      </w:r>
    </w:p>
    <w:p w:rsidR="0052098F" w:rsidRDefault="0052098F" w:rsidP="0052098F">
      <w:pPr>
        <w:pStyle w:val="TextoNormal"/>
      </w:pPr>
    </w:p>
    <w:p w:rsidR="0052098F" w:rsidRDefault="0052098F" w:rsidP="0052098F">
      <w:pPr>
        <w:pStyle w:val="TextoNormal"/>
      </w:pPr>
      <w:r w:rsidRPr="0052098F">
        <w:rPr>
          <w:rStyle w:val="NumeroAFNegritaCaracter"/>
        </w:rPr>
        <w:t>8</w:t>
      </w:r>
      <w:r>
        <w:t>. La parte demandante de amparo no presentó escrito de alegaciones en el trámite conferido al efecto.</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La Fiscalía ante el Tribunal Constitucional presentó el 25 de abril de 2007 su escrito de alegaciones, en el que, tras recordar la doctrina de este Tribunal sobre el derecho a la prueba, se razona que la motivación de la Administración para denegar la declaración del agente denunciante —la suficiencia de la prueba documental consistente en la fotografía obtenida mediante cinemómetro— sería válida si no fuera porque el recurrente planteó la nulidad de la referida fotografía por su posible manipulación, que hacía, a juicio del sancionado, inválidos algunos de los datos de hecho, concretamente el lugar exacto de la infracción que se le imputó. Entiende el Fiscal que la denegación de la prueba produjo indefensión al recurrente ya que no se le contestó nunca sobre su pretensión de invalidez de la prueba fotográfica, que fue el sustento único de la sanción. Sin embargo, en el proceso contencioso-administrativo el recurrente se limitó a pedir un medio de prueba distinto a los que había propuesto en el expediente sancionador, y este nuevo medio de prueba le fue denegado de </w:t>
      </w:r>
      <w:r>
        <w:lastRenderedPageBreak/>
        <w:t xml:space="preserve">manera motivada y justificada, ya que tenía como objeto que el Centro Español de Metrología informase sobre la adecuación legal de la prueba cinemómetra practicada, lo que corresponde analizar al propio juzgador. Esta falta de solicitud en sede judicial impide que pueda apreciarse una real indefensión. Además, al no solicitar del Juzgado la prueba, no puede considerarse agotada la vía judicial previa a este amparo. </w:t>
      </w:r>
    </w:p>
    <w:p w:rsidR="0052098F" w:rsidRDefault="0052098F" w:rsidP="0052098F">
      <w:pPr>
        <w:pStyle w:val="TextoNormal"/>
      </w:pPr>
      <w:r>
        <w:t>Por el contrario, el Ministerio Fiscal sí considera incursa a la Sentencia impugnada en incongruencia omisiva. Tras repasar los requisitos exigidos por nuestra jurisprudencia para su apreciación, concluye que la Sentencia no da respuesta al problema de la validez de la prueba cuestionada, ni siquiera para decir que es válida, ni se contesta a la alegación referida a la supuesta desproporción de la sanción administrativa. En consecuencia, solicita la nulidad de las resoluciones recurridas y que se retrotraigan las actuaciones al momento de dictarse, para que se motiven suficientemente, por lo cual le parece innecesario entrar a valorar la supuesta desproporcionalidad de la sanción impuesta, ya que antes es preciso dar al juzgador la posibilidad de subsanar el defecto apreciado.</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fecha 6 de marzo de 2008 se señaló para deliberación y votación de la presente Sentencia el día 10 del mismo mes y año, trámite que ha finalizado en el día de hoy.</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Conforme ha quedado expuesto en los antecedentes de esta resolución, el presente proceso constitucional tiene su origen en la imposición al recurrente de una sanción pecuniaria, como responsable de una infracción prevista en el art. 65.4 del texto articulado de la Ley sobre tráfico, circulación de vehículos a motor y seguridad vial, al circular superando los límites de velocidad fijados en el art. 48 del Reglamento general de circulación aprobado por el Real Decreto 13/1992, de 17 de enero, habiendo sido desestimado el recurso contencioso-administrativo interpuesto con el propósito de obtener la anulación o, subsidiariamente, la reducción de la referida sanción.</w:t>
      </w:r>
    </w:p>
    <w:p w:rsidR="0052098F" w:rsidRDefault="0052098F" w:rsidP="0052098F">
      <w:pPr>
        <w:pStyle w:val="TextoNormal"/>
      </w:pPr>
      <w:r>
        <w:t>El recurso de amparo presentado tiene naturaleza mixta, resultado de la acumulación de dos pretensiones impugnatorias en la misma demanda. Por el cauce del art. 43 LOTC se impugna la Resolución dictada el 4 de junio de 2003 por el Subdelegado del Gobierno en Córdoba mediante la que se impuso la sanción; así como la dictada el 20 de noviembre de 2003 por el Director General de Tráfico, desestimando el recurso de alzada formulado contra la primera. A estas resoluciones se atribuye la violación del derecho a la presunción de inocencia (art. 24.2 CE).</w:t>
      </w:r>
    </w:p>
    <w:p w:rsidR="0052098F" w:rsidRDefault="0052098F" w:rsidP="0052098F">
      <w:pPr>
        <w:pStyle w:val="TextoNormal"/>
      </w:pPr>
      <w:r>
        <w:t>Por la vía del art. 44 LOTC se impugna la Sentencia dictada el 26 de marzo de 2004 por el Juzgado de lo Contencioso-Administrativo núm. 1 de Córdoba, que, sobre no remediar la lesión constitucional atribuida a las resoluciones administrativas, habría incurrido por sí misma en incongruencia omisiva —lesiva del derecho a la tutela judicial efectiva (art. 24.1 CE)— y en violación del derecho a la igualdad en la aplicación de la ley (art. 14 CE). El reproche se extiende al Auto de 21 de septiembre de 2004 que, al denegar la nulidad de actuaciones solicitada, no reparó la incongruencia omisiva que se atribuye a la Sentencia.</w:t>
      </w:r>
    </w:p>
    <w:p w:rsidR="0052098F" w:rsidRDefault="0052098F" w:rsidP="0052098F">
      <w:pPr>
        <w:pStyle w:val="TextoNormal"/>
      </w:pPr>
      <w:r>
        <w:t xml:space="preserve">El Ministerio Fiscal acepta parcialmente los planteamientos del demandante, coincidiendo en considerar a la Sentencia impugnada como incursa en incongruencia omisiva por no darse respuesta en ella, ni al problema de la validez de la prueba cuestionada ni a la alegación referida a la desproporción de la sanción administrativa. A la vista de ello solicita </w:t>
      </w:r>
      <w:r>
        <w:lastRenderedPageBreak/>
        <w:t>la nulidad de las resoluciones judiciales recurridas y que se retrotraigan las actuaciones al momento de dictarse para que se motiven suficientemente, lo cual hace innecesario, a su juicio, entrar a valorar la supuesta desproporcionalidad de la sanción impuesta, ya que antes es preciso dar al juzgador la posibilidad de subsanar el defecto apreciado.</w:t>
      </w:r>
    </w:p>
    <w:p w:rsidR="0052098F" w:rsidRDefault="0052098F" w:rsidP="0052098F">
      <w:pPr>
        <w:pStyle w:val="TextoNormal"/>
      </w:pPr>
      <w:r>
        <w:t>Por el contrario, el Abogado del Estado rechaza que se hayan producido las vulneraciones de derechos constitucionales denunciadas por el demandante de amparo, entendiendo que consta en las actuaciones prueba de cargo válidamente obtenida, que la sanción es proporcionada a las circunstancias del caso y que la Sentencia da respuesta suficiente a las cuestiones que se plantearon en el recurso contencioso-administrativo.</w:t>
      </w:r>
    </w:p>
    <w:p w:rsidR="0052098F" w:rsidRDefault="0052098F" w:rsidP="0052098F">
      <w:pPr>
        <w:pStyle w:val="TextoNormal"/>
      </w:pPr>
    </w:p>
    <w:p w:rsidR="0052098F" w:rsidRDefault="0052098F" w:rsidP="0052098F">
      <w:pPr>
        <w:pStyle w:val="TextoNormal"/>
      </w:pPr>
      <w:r w:rsidRPr="0052098F">
        <w:rPr>
          <w:rStyle w:val="NumeroAFNegritaCaracter"/>
        </w:rPr>
        <w:t>2</w:t>
      </w:r>
      <w:r>
        <w:t>. Atendida la naturaleza mixta del presente recurso de amparo (arts. 43 y 44 LOTC), debemos iniciar nuestro enjuiciamiento valorando si en la vía administrativa se conculcó el derecho a la presunción de inocencia del demandante de amparo, quien sostiene que no existe prueba de cargo que permita destruirla, ya que, ante su negación de los hechos, la Administración sólo dispone de una fotografía obtenida mediante cinemómetro, que no cumple los requisitos exigidos por la normativa metrológica.  Sostiene el demandante que determinados datos esenciales —fecha de la infracción, número de antena y sentido de marcha del vehículo— no fueron impresos mecánicamente por el propio cinemómetro sino que fueron manuscritos, estimando por ello necesaria la ratificación de la denuncia por el agente denunciante, que en el presente caso no se ha producido.</w:t>
      </w:r>
    </w:p>
    <w:p w:rsidR="0052098F" w:rsidRDefault="0052098F" w:rsidP="0052098F">
      <w:pPr>
        <w:pStyle w:val="TextoNormal"/>
      </w:pPr>
      <w:r>
        <w:t>Ciertamente, la presunción de inocencia rige sin excepciones en el ordenamiento sancionador y ha de ser respetada en la imposición de cualesquiera sanciones, sean penales, sean administrativas, pues el ejercicio del ius puniendi en sus diversas manifestaciones está condicionado por el art. 24.2 CE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corresponde a quien acusa, sin que nadie esté obligado a probar su propia inocencia, y que cualquier insuficiencia en el resultado de las pruebas practicadas, libremente valorado por el órgano sancionador, debe traducirse en un pronunciamiento absolutorio [SSTC 76/1990, de 26 de abril, FJ 8 b); y 169/1998, de 21 de julio, FJ 2]. De entre los contenidos que incorpora el derecho fundamental ahora invocado, resulta de todo punto aplicable al procedimiento administrativo sancionador la exigencia de un acervo probatorio suficiente, recayendo sobre la Administración pública actuante la carga probatoria tanto de la comisión del ilícito como de la participación del acusado, sin que a éste pueda exigírsele una probatio diabolica de los hechos negativos (por todas, STC 45/1997, de 11 de marzo, FJ 4). Sin perjuicio de lo cual, es obligado recordar que no corresponde a este Tribunal la revisión de la valoración del material probatorio efectuada por la Administración, sino sólo llevar a cabo una supervisión externa de la razonabilidad del discurso que enlaza la actividad probatoria con el relato fáctico resultante (SSTC 117/2002, de 20 de mayo, FJ 9 ab initio; 131/2003, de 30 de junio, FJ 7; y 74/2004, de 22 de abril, FJ 4).</w:t>
      </w:r>
    </w:p>
    <w:p w:rsidR="0052098F" w:rsidRDefault="0052098F" w:rsidP="0052098F">
      <w:pPr>
        <w:pStyle w:val="TextoNormal"/>
      </w:pPr>
      <w:r>
        <w:t xml:space="preserve">En relación con los datos obtenidos mediante el funcionamiento de cinemómetros, hemos señalado en el ATC 193/2004, de 26 de mayo, que “gozan de una presunción iuris tantum de veracidad siempre que dichos aparatos hayan sido fabricados y hayan superado los controles establecidos por la normativa técnica vigente en cada momento, y así resulte acreditado, además, mediante las correspondientes certificaciones de naturaleza técnica” (FJ 5). Esta normativa técnica estaba constituida esencialmente, en el momento de los hechos, por la Orden del Ministerio de Obras Públicas, Transportes y Medio Ambiente de 11 de febrero </w:t>
      </w:r>
      <w:r>
        <w:lastRenderedPageBreak/>
        <w:t>de 1994, reguladora del control metrológico del Estado para los instrumentos destinados a medir la velocidad de circulación de vehículos a motor, norma reglamentaria ésta que tiene su apoyo en la Ley 3/1985, de 18 de marzo, de metrología, desarrollada por el Real Decreto 1616/1985, de 11 de septiembre, por el que se establece el control metrológico que realiza la Administración del Estado. La referida presunción puede, lógicamente, ser destruida mediante la práctica de las pertinentes pruebas. “Ahora bien, dada la peculiar naturaleza de este tipo de aparatos, caracterizados por su gran precisión y fiabilidad desde un punto de vista técnico, y los exhaustivos controles técnicos a los que reglamentariamente están sometidos para asegurar su satisfactoria operatividad (y que el art. 2 de la indicada Orden de 11 febrero de 1994 enumeraba: ‘aprobación de modelo’, ‘verificación primitiva’, ‘verificación después de reparación o modificación’ y ‘verificación periódica’), es necesario, para que la práctica de la prueba solicitada resulte pertinente, que existan unas dudas mínimamente razonables sobre la corrección de su funcionamiento, por, entre otros supuestos imaginables, resultar de manera evidente una manipulación externa del aparato. No constituye, sin embargo, una duda razonable para poner en cuestión la fiabilidad de este tipo de dispositivos la simple apreciación del conductor, sin ningún tipo de corroboración mínimamente objetiva, de que según el velocímetro de su vehículo circulaba a una velocidad inferior a la señalada en el cinemómetro” (FJ 5 del mencionado ATC 193/2004, de 26 de mayo).</w:t>
      </w:r>
    </w:p>
    <w:p w:rsidR="0052098F" w:rsidRDefault="0052098F" w:rsidP="0052098F">
      <w:pPr>
        <w:pStyle w:val="TextoNormal"/>
      </w:pPr>
      <w:r>
        <w:t>En el presente caso, considera el demandante de amparo que no cabe tener por probados el lugar y la fecha en que el cinemómetro detectó el exceso de velocidad, puesto que tales datos no fueron impresos mecánicamente por el cinemómetro sobre la fotografía tomada sino que fueron manuscritos sobre ella por el agente denunciante. Así pues, lo que el recurrente reprocha no es un funcionamiento defectuoso del concreto aparato cinemómetro utilizado sino que la Administración haya tenido por probados datos —en este caso el lugar y fecha de la infracción— que no se coligen directamente del aparato medidor de la velocidad.</w:t>
      </w:r>
    </w:p>
    <w:p w:rsidR="0052098F" w:rsidRDefault="0052098F" w:rsidP="0052098F">
      <w:pPr>
        <w:pStyle w:val="TextoNormal"/>
      </w:pPr>
      <w:r>
        <w:t>Ciertamente, aparecen manuscritos en la fotografía tanto la fecha como el número de antena y el punto kilométrico de la autovía en que fue tomada, tratándose de datos incorporados manualmente por el agente denunciante. Pero desde la perspectiva constitucional no resulta lesivo del derecho fundamental invocado que el órgano sancionador de la Administración considere probados el lugar y la fecha en que se comete una infracción mediante la manifestación escrita de sus agentes, habida cuenta de que la función propia de los aparatos cinemómetros es la de comprobar la velocidad del vehículo en un punto determinado; mientras que el resto de los datos que conforman la infracción —como el lugar, la fecha o el sentido de la marcha del vehículo— pueden ser acreditados con sujeción a las normas generales sobre la actividad probatoria. En consecuencia, debe concluirse que no se ha producido la denunciada vulneración del derecho a la presunción de inocencia (art. 24.2 CE).</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Descartada la tacha de inconstitucionalidad dirigida contra las resoluciones administrativas, resta el examen de las impugnaciones formuladas contra la Sentencia. Pero antes debemos acotar en qué medida resulta necesario prolongar nuestro enjuiciamiento a todas ellas. A tal efecto hemos entendido que en los recursos de amparo mixtos la comisión de una lesión constitucional en el transcurso del proceso judicial no impide que el acto administrativo siga siendo el verdadero objeto del proceso de amparo y que, por tanto, cuando la lesión imputada al órgano judicial tenga carácter procesal —por referirse a alguna de las vertientes o dimensiones del art. 24.1 CE— este Tribunal podrá excluir el enjuiciamiento de las quejas formuladas por el cauce del art. 44 LOTC o dotar a su pronunciamiento de un alcance meramente declarativo siempre que, como consecuencia de haberse descartado la </w:t>
      </w:r>
      <w:r>
        <w:lastRenderedPageBreak/>
        <w:t>inconstitucionalidad del acto administrativo, no resulte ya necesaria la retroacción de las actuaciones (STC 5/2008, de 21 de enero, FJ 6).</w:t>
      </w:r>
    </w:p>
    <w:p w:rsidR="0052098F" w:rsidRDefault="0052098F" w:rsidP="0052098F">
      <w:pPr>
        <w:pStyle w:val="TextoNormal"/>
      </w:pPr>
      <w:r>
        <w:t>Así ocurre en el presente caso con la denuncia referida al silencio de la Sentencia judicial acerca de la conculcación del derecho a la presunción de inocencia del recurrente, aspecto sobre el cual acabamos de pronunciarnos. En efecto, una vez que hemos dispensado nuestro juicio de constitucionalidad sobre tal cuestión, por más que el órgano judicial hubiera incurrido en incongruencia omisiva respecto de esta precisa cuestión, resultaría improcedente, por innecesario, que acordásemos la retroacción de las actuaciones, puesto que el órgano judicial no podría resolver ya este punto de un modo distinto a como lo hemos hecho en la presente Sentencia, como consecuencia del valor de cosa juzgada de nuestras sentencias (art. 164.1 CE).</w:t>
      </w:r>
    </w:p>
    <w:p w:rsidR="0052098F" w:rsidRDefault="0052098F" w:rsidP="0052098F">
      <w:pPr>
        <w:pStyle w:val="TextoNormal"/>
      </w:pPr>
    </w:p>
    <w:p w:rsidR="0052098F" w:rsidRDefault="0052098F" w:rsidP="0052098F">
      <w:pPr>
        <w:pStyle w:val="TextoNormal"/>
      </w:pPr>
      <w:r w:rsidRPr="0052098F">
        <w:rPr>
          <w:rStyle w:val="NumeroAFNegritaCaracter"/>
        </w:rPr>
        <w:t>4</w:t>
      </w:r>
      <w:r>
        <w:t>. Por el contrario, sí es necesario que examinemos si la Sentencia ha incurrido en incongruencia omisiva respecto de la pretensión que subsidiariamente se planteó en el proceso contencioso-administrativo. Para ello conviene recordar que, como con mayor detalle ha quedado reflejado en los antecedentes de esta resolución, el recurso contencioso-administrativo contenía dos pretensiones: la primera y principal era la anulación de las resoluciones sancionadoras (por vulneración de los derechos a la presunción de inocencia, a la prueba y al principio de audiencia); pero, además, para el caso de que no prosperase la pretensión anulatoria, se formulaba otra de forma supletoria: la reducción de la sanción al mínimo legal, en aplicación del art. 131.3 de la Ley 30/1992, de 26 de noviembre (en adelante, LPC).</w:t>
      </w:r>
    </w:p>
    <w:p w:rsidR="0052098F" w:rsidRDefault="0052098F" w:rsidP="0052098F">
      <w:pPr>
        <w:pStyle w:val="TextoNormal"/>
      </w:pPr>
      <w:r>
        <w:t>La razón por la que, en este caso, debemos abordar si la Sentencia judicial incurrió en omisión vulneradora del art. 24.1 CE reside en que, de apreciarse así, deberemos acordar la retroacción de las actuaciones, pues la cuestión a la que se negó respuesta versa sobre la interpretación y aplicación de la legalidad ordinaria. En efecto, la exposición de motivos (XIV) de la Ley 30/1992, de 26 de noviembre, señala al principio de proporcionalidad como uno de los principios básicos a que debe someterse el ejercicio de la potestad sancionadora de la Administración. Este principio, creado jurisprudencialmente para graduar las sanciones en consideración a los elementos estructurales de la infracción, se concreta en el art. 131.3 de la mencionada Ley, con arreglo al cual “en la imposición de sanciones por las Administraciones Públicas se deberá guardar la debida adecuación entre la gravedad del hecho constitutivo de la infracción y la sanción aplicada, considerándose especialmente los siguientes criterios para la graduación de la sanción a aplicar: a) La existencia de intencionalidad o reiteración. b) La naturaleza de los perjuicios causados. c) La reincidencia, por comisión en el término de un año de más de una infracción de la misma naturaleza cuando así haya sido declarado por resolución firme”.</w:t>
      </w:r>
    </w:p>
    <w:p w:rsidR="0052098F" w:rsidRDefault="0052098F" w:rsidP="0052098F">
      <w:pPr>
        <w:pStyle w:val="TextoNormal"/>
      </w:pPr>
      <w:r>
        <w:t>El recurrente ya solicitó en la vía administrativa, al interponer el recurso de alzada, una reducción de la sanción, lo que fue rechazado por la Dirección General de Tráfico en consideración “al peligro potencial derivado del exceso de velocidad”.  Disconforme con la respuesta ofrecida por la Administración, el demandante siguió considerando desproporcionada la sanción, por lo que en el recurso contencioso- administrativo, tras invocar el art. 131.3 LPC, señaló que, para el caso de que el juzgador desestimase las demás alegaciones, apelaba al principio de proporcionalidad de las sanciones “pues no figuran circunstancias de peligro, ni antecedentes de mi mandante que justifiquen su imposición por encima del mínimo”.</w:t>
      </w:r>
    </w:p>
    <w:p w:rsidR="0052098F" w:rsidRDefault="0052098F" w:rsidP="0052098F">
      <w:pPr>
        <w:pStyle w:val="TextoNormal"/>
      </w:pPr>
      <w:r>
        <w:t>Posteriormente, en el escrito promotor del incidente de nulidad de actuaciones, denunció que la Sentencia no contenía respuesta a esta pretensión subsidiaria de reducción de la cuan</w:t>
      </w:r>
      <w:r>
        <w:lastRenderedPageBreak/>
        <w:t>tía de la sanción, al tiempo que señalaba que en otros casos similares el Juzgado había procedido a aminorar la sanción administrativa. En efecto, denuncia también el demandante la vulneración del derecho a la igualdad en la aplicación de la ley (art. 14 CE) como consecuencia de que el órgano judicial se ha apartado en este caso del criterio sostenido en resoluciones precedentes, en las que el Juzgado redujo la sanción impuesta cuando la Administración no había motivado las razones para imponerla por encima del mínimo legal. Y en apoyo de su alegación aporta como término de comparación la Sentencia dictada por el mismo órgano judicial el 26 de marzo de 2004 en el recurso contencioso-administrativo núm. 334-2003.</w:t>
      </w:r>
    </w:p>
    <w:p w:rsidR="0052098F" w:rsidRDefault="0052098F" w:rsidP="0052098F">
      <w:pPr>
        <w:pStyle w:val="TextoNormal"/>
      </w:pPr>
      <w:r>
        <w:t>Ahora bien, la pretendida vulneración del principio de igualdad en aplicación de la ley (art. 14 CE) aparece vinculada a la existencia de una incongruencia omisiva que, según hemos visto, también se denuncia en el recurso. En efecto, el recurrente pretendía que, para el caso de que la sanción no fuera anulada, se redujera al mínimo legal, y para reforzar esta pretensión ponía de manifiesto que en casos similares el mismo Juzgado había aplicado el criterio reductor. Pues bien, en la medida en que tal pretensión no ha recibido respuesta —cualquiera que fuese— la Sentencia incurriría en incongruencia omisiva; y, en la media en que, además, el resultado fuese distinto al de los precedentes, se vulneraría el art. 14 CE.</w:t>
      </w:r>
    </w:p>
    <w:p w:rsidR="0052098F" w:rsidRDefault="0052098F" w:rsidP="0052098F">
      <w:pPr>
        <w:pStyle w:val="TextoNormal"/>
      </w:pPr>
      <w:r>
        <w:t>Aunque son dos las infracciones denunciadas es obvia también la vinculación entre ambas. Un análisis de las cuestiones planteadas nos debe llevar a dar respuesta, en primer lugar, a la posible violación del art. 24.1 CE pues en caso de llegarse a la conclusión, como así ocurre, de que se vulneró el derecho a la tutela judicial efectiva del recurrente, de ello se derivará la anulación de la Sentencia impugnada por sus defectos intrínsecos y no será necesaria una subsiguiente consideración de la denunciada violación del art. 14 CE (tal y como apreciamos en las SSTC 85/1996, de 21 de mayo, FJ 2; y 105/2001, de 23 de abril, FFJJ 2 y 3).</w:t>
      </w:r>
    </w:p>
    <w:p w:rsidR="0052098F" w:rsidRDefault="0052098F" w:rsidP="0052098F">
      <w:pPr>
        <w:pStyle w:val="TextoNormal"/>
      </w:pPr>
      <w:r>
        <w:t>Pues bien, así matizado el ámbito de nuestro enjuiciamiento, debe reconocerse que la Sentencia recurrida en amparo —que ofrece una redacción estereotipada— no contiene una respuesta expresa a la pretensión subsidiaria. Tampoco puede encontrarse en ella una respuesta por remisión a la propia resolución administrativa, ni una respuesta tácita más allá de la mera desestimación del recurso contencioso-administrativo. Por ello, en este extremo puede apreciarse que la Sentencia incurre en incongruencia omisiva lesiva del derecho a la tutela judicial efectiva (art. 24.1 CE).</w:t>
      </w:r>
    </w:p>
    <w:p w:rsidR="0052098F" w:rsidRDefault="0052098F" w:rsidP="0052098F">
      <w:pPr>
        <w:pStyle w:val="TextoNormal"/>
      </w:pPr>
      <w:r>
        <w:t>Debemos advertir que lo constatado no es un defecto de motivación acerca de la concreta individualización de la sanción, pues en este punto hemos admitido que la motivación pueda inferirse de los propios hechos probados, sin que sea constitucionalmente exigible ningún ulterior razonamiento que los traduzca en una cuantificación de sanción exacta. Por el contrario, se aprecia una falta de respuesta —sin que importe ahora el sentido de esa respuesta— a la pretensión de que fuese aplicado al caso un determinado criterio jurídico —consistente en la reducción de la sanción a su mínimo legal cuando la Administración no exprese las razones para imponerla por encima del mismo— que el propio órgano judicial había empleado en casos precedentes.</w:t>
      </w:r>
    </w:p>
    <w:p w:rsidR="0052098F" w:rsidRDefault="0052098F" w:rsidP="0052098F">
      <w:pPr>
        <w:pStyle w:val="TextoNormal"/>
      </w:pPr>
      <w:r>
        <w:t>6. Llegados a este punto debemos fijar, con arreglo a lo dispuesto en el art. 55 LOTC, el alcance del amparo otorgado, atendiendo a la peculiaridad que concurre en los amparos de naturaleza mixta.</w:t>
      </w:r>
    </w:p>
    <w:p w:rsidR="0052098F" w:rsidRDefault="0052098F" w:rsidP="0052098F">
      <w:pPr>
        <w:pStyle w:val="TextoNormal"/>
      </w:pPr>
      <w:r>
        <w:t xml:space="preserve">Según ha quedado expuesto, hemos rechazado que se haya producido la lesión del derecho a la presunción de inocencia del recurrente (art. 24.2 CE), único reproche dirigido en la demanda de amparo contra las resoluciones administrativas sancionadoras. En segundo lugar, hemos considerado innecesario el examen de la queja dirigida contra la Sentencia </w:t>
      </w:r>
      <w:r>
        <w:lastRenderedPageBreak/>
        <w:t>acerca de su incongruencia omisiva sobre la conculcación de la presunción de inocencia. Por el contrario, hemos apreciado que en el proceso judicial se ha vulnerado el derecho a la tutela judicial efectiva (art. 24.1 CE), en su dimensión de derecho a obtener una resolución judicial congruente con las pretensiones deducidas en el propio proceso, referida a la petición de reducción del importe de la sanción en aplicación de los criterios fijados en el art. 131.3 LPC, aspecto sobre el que este Tribunal no puede pronunciarse por ser ajeno a su competencia, lo que hace inevitable la retroacción de lo actuado en la vía ordinaria.</w:t>
      </w:r>
    </w:p>
    <w:p w:rsidR="0052098F" w:rsidRDefault="0052098F" w:rsidP="0052098F">
      <w:pPr>
        <w:pStyle w:val="TextoNormal"/>
      </w:pPr>
      <w:r>
        <w:t>Por consiguiente el amparo consistirá en el reconocimiento al recurrente de su derecho a la tutela judicial efectiva, la anulación de la Sentencia y del Auto impugnados, y en ordenar la retroacción de las actuaciones, a fin de que se dicte nueva resolución respetuosa con el derecho fundamental reconocido, que se ciña exclusivamente a la referida cuestión de legalidad ordinaria, consistente en la pretensión de reducción de la sanción, que con carácter subsidiario se formuló en el recurso contencioso-administrativo.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parcialmente el recurso de amparo presentado por don David Jiménez Gallardo y, en su virtud:</w:t>
      </w:r>
    </w:p>
    <w:p w:rsidR="0052098F" w:rsidRDefault="0052098F" w:rsidP="0052098F">
      <w:pPr>
        <w:pStyle w:val="TextoNormal"/>
      </w:pPr>
      <w:r>
        <w:t>1º Reconocer su derecho a la tutela judicial efectiva (art. 24.1 CE).</w:t>
      </w:r>
    </w:p>
    <w:p w:rsidR="0052098F" w:rsidRDefault="0052098F" w:rsidP="0052098F">
      <w:pPr>
        <w:pStyle w:val="TextoNormal"/>
      </w:pPr>
      <w:r>
        <w:t>2º Declarar la nulidad de la Sentencia del Juzgado de lo Contencioso-Administrativo núm. 1 de Córdoba, recaída el 6 de septiembre de 2004 en el recurso contencioso-administrativo núm. 13-2004, así como del Auto de 21 de septiembre de 2004, de este mismo órgano judicial, por el que se desestima el incidente de nulidad de actuaciones promovido contra dicha Sentencia.</w:t>
      </w:r>
    </w:p>
    <w:p w:rsidR="0052098F" w:rsidRDefault="0052098F" w:rsidP="0052098F">
      <w:pPr>
        <w:pStyle w:val="TextoNormal"/>
      </w:pPr>
      <w:r>
        <w:t>3º Retrotraer las actuaciones al momento anterior al de dictarse sentencia, a fin de que se dicte nueva resolución respetuosa con el derecho fundamental reconocido, en los términos fijados en el fundamento jurídico 6.</w:t>
      </w:r>
    </w:p>
    <w:p w:rsidR="0052098F" w:rsidRDefault="0052098F" w:rsidP="0052098F">
      <w:pPr>
        <w:pStyle w:val="TextoNormal"/>
      </w:pPr>
      <w:r>
        <w:t>4º Desestimar la demanda en todo lo demás.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diez de marzo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4" w:name="SENTENCIA_2008_41"/>
      <w:r>
        <w:lastRenderedPageBreak/>
        <w:t>SENTENCIA 41/2008, de 10 de marzo de 2008</w:t>
      </w:r>
    </w:p>
    <w:bookmarkEnd w:id="44"/>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ECLI:ES:TC:2008:41</w:t>
      </w:r>
    </w:p>
    <w:p w:rsidR="0052098F" w:rsidRDefault="0052098F" w:rsidP="0052098F">
      <w:pPr>
        <w:pStyle w:val="SntesisDescriptiva"/>
      </w:pPr>
    </w:p>
    <w:p w:rsidR="0052098F" w:rsidRDefault="0052098F" w:rsidP="0052098F">
      <w:pPr>
        <w:pStyle w:val="SntesisDescriptiva"/>
      </w:pPr>
      <w:r>
        <w:t>Recurso de amparo 6914-2004. Promovido por Orton, S.A., respecto a la Sentencia de la Audiencia Provincial de Madrid que estimó su recurso de apelación en litigio civil por reclamación de cantidad.</w:t>
      </w:r>
    </w:p>
    <w:p w:rsidR="0052098F" w:rsidRDefault="0052098F" w:rsidP="0052098F">
      <w:pPr>
        <w:pStyle w:val="SntesisDescriptiva"/>
      </w:pPr>
    </w:p>
    <w:p w:rsidR="0052098F" w:rsidRDefault="0052098F" w:rsidP="0052098F">
      <w:pPr>
        <w:pStyle w:val="SntesisAnaltica"/>
      </w:pPr>
      <w:r>
        <w:t>Vulneración del derecho a la tutela judicial (reforma peyorativa): alteración de los intereses legales en perjuicio del único apelante.</w:t>
      </w:r>
    </w:p>
    <w:p w:rsidR="0052098F" w:rsidRDefault="0052098F" w:rsidP="0052098F">
      <w:pPr>
        <w:pStyle w:val="SntesisAnaltica"/>
      </w:pPr>
    </w:p>
    <w:p w:rsidR="0052098F" w:rsidRDefault="0052098F" w:rsidP="0052098F">
      <w:pPr>
        <w:pStyle w:val="Extracto"/>
      </w:pPr>
      <w:r>
        <w:t>1.</w:t>
      </w:r>
      <w:r>
        <w:tab/>
        <w:t>El empeoramiento de la situación de la entidad recurrente, por la imposición de unos intereses legales más altos de los que habían sido reconocidos en la Sentencia del Juez de instancia, ha supuesto una reforma peyorativa que vulnera el derecho fundamental a la tutela judicial efectiva [FJ 3].</w:t>
      </w:r>
    </w:p>
    <w:p w:rsidR="0052098F" w:rsidRDefault="0052098F" w:rsidP="0052098F">
      <w:pPr>
        <w:pStyle w:val="Extracto"/>
      </w:pPr>
    </w:p>
    <w:p w:rsidR="0052098F" w:rsidRDefault="0052098F" w:rsidP="0052098F">
      <w:pPr>
        <w:pStyle w:val="Extracto"/>
      </w:pPr>
      <w:r>
        <w:t>2.</w:t>
      </w:r>
      <w:r>
        <w:tab/>
        <w:t>Aplica doctrina sobre el concepto de reforma peyorativa referido a una incongruencia que lesiona el derecho a la tutela judicial efectiva (STC 204/2007) [FJ 2].</w:t>
      </w:r>
    </w:p>
    <w:p w:rsidR="0052098F" w:rsidRDefault="0052098F" w:rsidP="0052098F">
      <w:pPr>
        <w:pStyle w:val="Extracto"/>
      </w:pPr>
    </w:p>
    <w:p w:rsidR="0052098F" w:rsidRDefault="0052098F" w:rsidP="0052098F">
      <w:pPr>
        <w:pStyle w:val="Extracto"/>
      </w:pPr>
      <w:r>
        <w:t>3.</w:t>
      </w:r>
      <w:r>
        <w:tab/>
        <w:t>Procede la estimación del recurso de amparo, anulando la Sentencia recaída en apelación en el único punto relativo a la determinación de los intereses legales, retrotrayendo las actuaciones al momento en que se dictó para que en ella sea declarada la firmeza de la dictada por el Juez en dicho extremo, dejando subsistentes los demás pronunciamientos de la Sentencia dictada en apelación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6914-2004, promovido por la entidad Orton, S.A., representados por la Procuradora de los Tribunales doña Aránzazu Fernández Pérez, bajo la dirección del Letrado don Pedro Jiménez Gutiérrez, contra la Sentencia de fecha 5 de octubre de 2004 dictado por la Sección Décima de la Audiencia Provincial de Madrid en el rollo de apelación civil núm. 605-2003. Ha intervenido el Ministerio Fiscal. Ha sido Ponente el Magistrado don Roberto García-Calvo y Montiel,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día 19 de noviembre de 2004, la Procuradora de los Tribunales doña Aránzazu Fernández Pérez, en nombre y representación de la entidad Orton, S.A., bajo la dirección del Letrado don Pedro Jiménez Gutiérrez, interpuso recurso de amparo contra la Sentencia que se menciona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demanda de amparo tiene su origen en los siguientes antecedentes: </w:t>
      </w:r>
    </w:p>
    <w:p w:rsidR="0052098F" w:rsidRDefault="0052098F" w:rsidP="0052098F">
      <w:pPr>
        <w:pStyle w:val="TextoNormal"/>
      </w:pPr>
      <w:r>
        <w:t xml:space="preserve">a) En el juicio declarativo ordinario de menor cuantía núm 443-1999 instado por don Fulgencio García González contra la entidad demandante de amparo se dictó Sentencia por el Juzgado de Primera Instancia núm. 34 de los de Madrid, condenando a la entidad demandada al pago de 18.030,36 euros más los intereses legales causados desde la notificación de la Sentencia, hasta su completo pago, sin hacer expresa condena en costas. </w:t>
      </w:r>
    </w:p>
    <w:p w:rsidR="0052098F" w:rsidRDefault="0052098F" w:rsidP="0052098F">
      <w:pPr>
        <w:pStyle w:val="TextoNormal"/>
      </w:pPr>
      <w:r>
        <w:t>b) Interpuesto recurso de apelación por la entidad demandante de amparo, la Sección Décima de la Audiencia Provincial de Madrid dictó Sentencia, de fecha 5 de octubre de 2004, revocando la Sentencia de instancia, condenado a la entidad demandada y ahora demandante de amparo a satisfacer la cantidad de 6.000 euros y los intereses legales de dicha cantidad desde la interpelación judicial, sin especial pronunciamiento respecto de las costas.</w:t>
      </w:r>
    </w:p>
    <w:p w:rsidR="0052098F" w:rsidRDefault="0052098F" w:rsidP="0052098F">
      <w:pPr>
        <w:pStyle w:val="TextoNormal"/>
      </w:pPr>
    </w:p>
    <w:p w:rsidR="0052098F" w:rsidRDefault="0052098F" w:rsidP="0052098F">
      <w:pPr>
        <w:pStyle w:val="TextoNormal"/>
      </w:pPr>
      <w:r w:rsidRPr="0052098F">
        <w:rPr>
          <w:rStyle w:val="NumeroAFNegritaCaracter"/>
        </w:rPr>
        <w:t>3</w:t>
      </w:r>
      <w:r>
        <w:t>. La entidad recurrente aduce en su demanda de amparo que la resolución impugnada ha vulnerado su derecho a la tutela judicial efectiva (art. 24.1 CE), en su manifestación de reformatio in peius ya que, pese a haber sido recurrente en apelación, la Sentencia dictada en segunda instancia agravó considerablemente la condena que le había sido impuesta por el órgano jurisdiccional a quo, al haber establecido aquélla unos intereses legales más gravosos que los que había determinado el Juzgado de instancia. Así, la Sentencia de instancia condena a la entidad demandante a pagar los intereses legales causados desde la notificación de la Sentencia hasta su completo pago, mientras que la Sentencia de apelación le condena al pago de dichos intereses desde la interpelación judicial.</w:t>
      </w:r>
    </w:p>
    <w:p w:rsidR="0052098F" w:rsidRDefault="0052098F" w:rsidP="0052098F">
      <w:pPr>
        <w:pStyle w:val="TextoNormal"/>
      </w:pPr>
    </w:p>
    <w:p w:rsidR="0052098F" w:rsidRDefault="0052098F" w:rsidP="0052098F">
      <w:pPr>
        <w:pStyle w:val="TextoNormal"/>
      </w:pPr>
      <w:r w:rsidRPr="0052098F">
        <w:rPr>
          <w:rStyle w:val="NumeroAFNegritaCaracter"/>
        </w:rPr>
        <w:t>4</w:t>
      </w:r>
      <w:r>
        <w:t>. La Sección Segunda de este Tribunal, por providencia de 25 de enero de 2007, acordó la admisión a trámite de la demanda de amparo y dirigir atenta comunicación a los órganos judiciales competentes para la remisión de copia testimoniada de las actuaciones y el emplazamiento a quienes hubieran sido parte en este procedimiento para que pudieran comparecer en el mismo.</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la Secretaría de Justicia de la Sala Primera de 11 de mayo de 2007 se tuvieron por recibidos los testimonios de las actuaciones y, a tenor del art. 52 LOTC, se acordó dar vista de las actuaciones al Ministerio Fiscal y a las partes personadas por plazo común de veinte días para que pudieran presentar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El Ministerio Fiscal, por escrito registrado el 22 de junio de 2007, presentó sus alegaciones interesando el otorgamiento del amparo solicitado. </w:t>
      </w:r>
    </w:p>
    <w:p w:rsidR="0052098F" w:rsidRDefault="0052098F" w:rsidP="0052098F">
      <w:pPr>
        <w:pStyle w:val="TextoNormal"/>
      </w:pPr>
      <w:r>
        <w:t xml:space="preserve">Alega el Fiscal, tras dictar la doctrina constitucional sobre la reforma peyorativa, que dicha doctrina es trasladable al caso, en el que se ha empeorado la situación del demandante </w:t>
      </w:r>
      <w:r>
        <w:lastRenderedPageBreak/>
        <w:t xml:space="preserve">a consecuencia de su propio recurso sin petición de la contraparte en el sentido sentenciado. A tales efectos, considera el Fiscal que no deben confundirse las sumas correspondientes a principal y a intereses, computando el total y considerando que ello no excede de la cantidad otorgada en primera instancia. Tampoco entiende que la imposición de unos intereses más altos y más gravosos entre dentro de las facultades del órgano judicial como inherentes al “orden público”, por no participar de esta naturaleza como lo sería, por ejemplo, el concepto de costas. Y esto es así porque la petición de intereses, en su cuantía y en su fecha de inicio de devengo está sometida al principio dispositivo, propio del proceso civil, sin que, por ello, el Tribunal pueda decidir sobre su fecha de devengo al margen de la solicitud de la parte, máxime cuando esta cuestión no se deriva de ningún precepto taxativo de la LEC y es sumamente controvertida en la jurisprudencia. </w:t>
      </w:r>
    </w:p>
    <w:p w:rsidR="0052098F" w:rsidRDefault="0052098F" w:rsidP="0052098F">
      <w:pPr>
        <w:pStyle w:val="TextoNormal"/>
      </w:pPr>
      <w:r>
        <w:t>Por ello, al asumir el Tribunal poderes de oficio sobre una parte disponible de la pretensión está vulnerando el principio de incongruencia y, derivadamente, el de proscripción de la reforma peyorativa. Dicho esto, el efecto del amparo debe ser el de anulación de la Sentencia y el dictado de otra que sea respetuosa con el derecho de tutela judicial efectiva del recurrente en su derivación de prohibición de reformatio in peius.</w:t>
      </w:r>
    </w:p>
    <w:p w:rsidR="0052098F" w:rsidRDefault="0052098F" w:rsidP="0052098F">
      <w:pPr>
        <w:pStyle w:val="TextoNormal"/>
      </w:pPr>
    </w:p>
    <w:p w:rsidR="0052098F" w:rsidRDefault="0052098F" w:rsidP="0052098F">
      <w:pPr>
        <w:pStyle w:val="TextoNormal"/>
      </w:pPr>
      <w:r w:rsidRPr="0052098F">
        <w:rPr>
          <w:rStyle w:val="NumeroAFNegritaCaracter"/>
        </w:rPr>
        <w:t>7</w:t>
      </w:r>
      <w:r>
        <w:t>. La Procuradora Sra. Fernández Pérez no ha presentado alegaciones.</w:t>
      </w:r>
    </w:p>
    <w:p w:rsidR="0052098F" w:rsidRDefault="0052098F" w:rsidP="0052098F">
      <w:pPr>
        <w:pStyle w:val="TextoNormal"/>
      </w:pPr>
    </w:p>
    <w:p w:rsidR="0052098F" w:rsidRDefault="0052098F" w:rsidP="0052098F">
      <w:pPr>
        <w:pStyle w:val="TextoNormal"/>
      </w:pPr>
      <w:r w:rsidRPr="0052098F">
        <w:rPr>
          <w:rStyle w:val="NumeroAFNegritaCaracter"/>
        </w:rPr>
        <w:t>8</w:t>
      </w:r>
      <w:r>
        <w:t>. Por providencia de fecha de 6 de marzo de 2008 se señaló para deliberación y votación de la presente Sentencia el 10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entidad demandante de amparo pretende hacer valer su derecho a la tutela judicial efectiva (art. 24.1 CE), cuya vulneración imputa a la Sentencia de apelación recurrida en la medida en que aumentó el quantum de los intereses legales que habían sido establecidos por el Juez, en virtud únicamente de su propio recurso de apelación. Procede analizar si en el caso que nos ocupa ha existido, por este motivo, lesión del derecho fundamental a la tutela judicial de la recurrente.</w:t>
      </w:r>
    </w:p>
    <w:p w:rsidR="0052098F" w:rsidRDefault="0052098F" w:rsidP="0052098F">
      <w:pPr>
        <w:pStyle w:val="TextoNormal"/>
      </w:pPr>
    </w:p>
    <w:p w:rsidR="0052098F" w:rsidRDefault="0052098F" w:rsidP="0052098F">
      <w:pPr>
        <w:pStyle w:val="TextoNormal"/>
      </w:pPr>
      <w:r w:rsidRPr="0052098F">
        <w:rPr>
          <w:rStyle w:val="NumeroAFNegritaCaracter"/>
        </w:rPr>
        <w:t>2</w:t>
      </w:r>
      <w:r>
        <w:t>. Conviene recordar que, en un cuerpo de doctrina ya bien consolidado, este Tribunal ha ido delimitando el concepto de reforma peyorativa al referirlo a una incongruencia que lesiona el derecho a la tutela judicial efectiva. Así, en la reciente STC 204/2007, de 24 de septiembre, FJ 3, con cita de las SSTC 50/2007, de 12 de marzo, y 87/2006, de 27 de marzo, recogíamos la doctrina sentada al respecto, recordando que:</w:t>
      </w:r>
    </w:p>
    <w:p w:rsidR="0052098F" w:rsidRDefault="0052098F" w:rsidP="0052098F">
      <w:pPr>
        <w:pStyle w:val="TextoNormal"/>
      </w:pPr>
      <w:r>
        <w:t xml:space="preserve">“[E]n la STC 310/2005, de 12 de diciembre, FJ 2, la denominada reforma peyorativa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que era, precisamente, eliminar o aminorar el gravamen sufrido con la resolución objeto de impugnación (SSTC 9/1998, de 13 de enero, FJ 2; 232/2001, de 10 de diciembre, FJ 5) … Desde las primeras resoluciones de este Tribunal hemos afirmado que la prohibición de la reforma peyorativa, aunque no esté expresamente enunciada en el art. 24 CE, tiene una dimensión constitucional, pues representa un principio procesal que forma parte del derecho a la tutela judicial efectiva a través del régimen de garantías legales de los </w:t>
      </w:r>
      <w:r>
        <w:lastRenderedPageBreak/>
        <w:t>recursos, que deriva, en todo caso, de la prohibición constitucional de indefensión (entre otras, SSTC 54/1985, de 18 de abril, FJ 7; ó 28/2003, de 10 de febrero, FJ 3). Es, además,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Así pues, la reforma peyorativa sólo adquiere relevancia constitucional en tanto se manifiesta como forma de incongruencia determinante de una situación de indefensión (entre otras, SSTC 15/1987, de 11 de febrero, FJ 3; ó 241/2000, de 16 de octubre, FJ 3). En tal sentido, hemos advertido, no obstante, que no cualquier empeoramiento de la situación inicial del recurrente es contrario al derecho a la tutela judicial efectiva del art. 24.1 CE, sino sólo aquél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 (SSTC 15/1987, de 11 de febrero, FJ 3; 40/1990, de 12 de marzo, FJ 1; 153/1990, de 15 de octubre, FJ 4; y 241/2000, de 16 de octubre, FJ 2)”.</w:t>
      </w:r>
    </w:p>
    <w:p w:rsidR="0052098F" w:rsidRDefault="0052098F" w:rsidP="0052098F">
      <w:pPr>
        <w:pStyle w:val="TextoNormal"/>
      </w:pPr>
    </w:p>
    <w:p w:rsidR="0052098F" w:rsidRDefault="0052098F" w:rsidP="0052098F">
      <w:pPr>
        <w:pStyle w:val="TextoNormal"/>
      </w:pPr>
      <w:r w:rsidRPr="0052098F">
        <w:rPr>
          <w:rStyle w:val="NumeroAFNegritaCaracter"/>
        </w:rPr>
        <w:t>3</w:t>
      </w:r>
      <w:r>
        <w:t>. La aplicación de la anterior doctrina al supuesto ahora sometido a nuestra consideración permite constatar que, en efecto, la situación del demandante de amparo empeoró como consecuencia de la estimación parcial de su recurso de apelación.</w:t>
      </w:r>
    </w:p>
    <w:p w:rsidR="0052098F" w:rsidRDefault="0052098F" w:rsidP="0052098F">
      <w:pPr>
        <w:pStyle w:val="TextoNormal"/>
      </w:pPr>
      <w:r>
        <w:t>En efecto. En el presente recurso de amparo se pueden comprobar los siguientes extremos: 1) La Sentencia de instancia condenó a la entidad demandada al pago de 18.030,36 euros más los intereses legales causados desde la notificación de la Sentencia, hasta su completo pago; 2) El único litigante que interpuso recurso de apelación contra dicha resolución fue el hoy recurrente de amparo, habiéndose conformado la otra parte, quien no recurrió la Sentencia de instancia ni se adhirió al recurso; 3) La Audiencia Provincial estimó parcialmente el recurso de apelación, revocó la Sentencia de instancia y condenó a la entidad demandada y ahora demandante de amparo a satisfacer la cantidad de 6.000 euros y los intereses legales de dicha cantidad desde la interpelación judicial.</w:t>
      </w:r>
    </w:p>
    <w:p w:rsidR="0052098F" w:rsidRDefault="0052098F" w:rsidP="0052098F">
      <w:pPr>
        <w:pStyle w:val="TextoNormal"/>
      </w:pPr>
      <w:r>
        <w:t>La Audiencia actuó de esta forma, según ampliamente expone en el fundamento jurídico 20 de la Sentencia de apelación, como cuestión de legalidad ordinaria, desde el análisis de las circunstancias concurrentes en el caso controvertido atendiendo a una razón de justicia sobre la equivalencia de las prestaciones que evite situaciones de desequilibrio económico que puedan ser buscadas por la parte renuente al pago, como un medio de dilatarlo con beneficio.</w:t>
      </w:r>
    </w:p>
    <w:p w:rsidR="0052098F" w:rsidRDefault="0052098F" w:rsidP="0052098F">
      <w:pPr>
        <w:pStyle w:val="TextoNormal"/>
      </w:pPr>
      <w:r>
        <w:t xml:space="preserve">Sin embargo, lo cierto es que al actuar así la Audiencia no se apercibió que perjudicaba la situación de la entidad apelante desde el momento que condujo a la imposición de unos intereses legales más altos de los que habían sido reconocidos en la Sentencia del Juez. Por lo que este empeoramiento de la situación de la entidad recurrente en virtud únicamente de su recursos de apelación, interpuesto, como es natural, con la intención de obtener un beneficio y no un perjuicio, ha supuesto una reforma peyorativa por la respuesta que el órgano </w:t>
      </w:r>
      <w:r>
        <w:lastRenderedPageBreak/>
        <w:t>judicial ha dado a la pretensión de una de las partes del proceso y, en consecuencia, la existencia de la lesión del derecho fundamental a la tutela judicial efectiva, del que se ha quejado, con razón, la demandante de amparo.</w:t>
      </w:r>
    </w:p>
    <w:p w:rsidR="0052098F" w:rsidRDefault="0052098F" w:rsidP="0052098F">
      <w:pPr>
        <w:pStyle w:val="TextoNormal"/>
      </w:pPr>
    </w:p>
    <w:p w:rsidR="0052098F" w:rsidRDefault="0052098F" w:rsidP="0052098F">
      <w:pPr>
        <w:pStyle w:val="TextoNormal"/>
      </w:pPr>
      <w:r w:rsidRPr="0052098F">
        <w:rPr>
          <w:rStyle w:val="NumeroAFNegritaCaracter"/>
        </w:rPr>
        <w:t>4</w:t>
      </w:r>
      <w:r>
        <w:t>. Lo hasta ahora expuesto conduce a la estimación del recurso de amparo, restando determinar el alcance de esta estimación. A este respecto, el restablecimiento de la sociedad demandante en su derecho fundamental violado obliga a anular la Sentencia recaída en apelación en el único punto relativo a la determinación de los intereses legales y retrotraer las actuaciones al momento en que se dictó para que en ella sea declarada la firmeza de la dictada por el Juez en dicho extremo, dejando subsistentes los demás pronunciamientos de la Sentencia dictada en apelación.</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la entidad Orton, S.A. y, en su virtud:</w:t>
      </w:r>
    </w:p>
    <w:p w:rsidR="0052098F" w:rsidRDefault="0052098F" w:rsidP="0052098F">
      <w:pPr>
        <w:pStyle w:val="TextoNormal"/>
      </w:pPr>
      <w:r>
        <w:t>1º Reconocer su derecho a la tutela judicial efectiva sin padecer indefensión (art. 24.1 CE).</w:t>
      </w:r>
    </w:p>
    <w:p w:rsidR="0052098F" w:rsidRDefault="0052098F" w:rsidP="0052098F">
      <w:pPr>
        <w:pStyle w:val="TextoNormal"/>
      </w:pPr>
      <w:r>
        <w:t>2º Declarar la nulidad de la Sentencia de fecha 5 de octubre de 2004 dictado por la Sección Décima de la Audiencia Provincial de Madrid en el único punto relativo a la determinación de los intereses legales.</w:t>
      </w:r>
    </w:p>
    <w:p w:rsidR="0052098F" w:rsidRDefault="0052098F" w:rsidP="0052098F">
      <w:pPr>
        <w:pStyle w:val="TextoNormal"/>
      </w:pPr>
      <w:r>
        <w:t>3º Retrotraer las actuaciones al momento de dictarse la Sentencia parcialmente anulada para que en ella sea declarada la firmeza de la dictada por el Juez en dicho extremo, dejando subsistentes los demás pronunciamientos de la Sentencia dictada en apelación.</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diez de marzo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5" w:name="SENTENCIA_2008_42"/>
      <w:r>
        <w:lastRenderedPageBreak/>
        <w:t>SENTENCIA 42/2008, de 10 de marzo de 2008</w:t>
      </w:r>
    </w:p>
    <w:bookmarkEnd w:id="45"/>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ECLI:ES:TC:2008:42</w:t>
      </w:r>
    </w:p>
    <w:p w:rsidR="0052098F" w:rsidRDefault="0052098F" w:rsidP="0052098F">
      <w:pPr>
        <w:pStyle w:val="SntesisDescriptiva"/>
      </w:pPr>
    </w:p>
    <w:p w:rsidR="0052098F" w:rsidRDefault="0052098F" w:rsidP="0052098F">
      <w:pPr>
        <w:pStyle w:val="SntesisDescriptiva"/>
      </w:pPr>
      <w:r>
        <w:t>Recurso de amparo 3482-2005. Promovido por don Ramón Cremades Navarro respecto a los Autos del Juzgado de Vigilancia Penitenciaria  de Alicante que desestimaron su recurso contra el centro penitenciario de Alicante por sanción disciplinaria.</w:t>
      </w:r>
    </w:p>
    <w:p w:rsidR="0052098F" w:rsidRDefault="0052098F" w:rsidP="0052098F">
      <w:pPr>
        <w:pStyle w:val="SntesisDescriptiva"/>
      </w:pPr>
    </w:p>
    <w:p w:rsidR="0052098F" w:rsidRDefault="0052098F" w:rsidP="0052098F">
      <w:pPr>
        <w:pStyle w:val="SntesisAnaltica"/>
      </w:pPr>
      <w:r>
        <w:t>Supuesta vulneración del derecho a la asistencia letrada: alcance de la garantía en el procedimiento de disciplina penitenciaria; petición de asesoramiento no formulada por el recluso en forma.</w:t>
      </w:r>
    </w:p>
    <w:p w:rsidR="0052098F" w:rsidRDefault="0052098F" w:rsidP="0052098F">
      <w:pPr>
        <w:pStyle w:val="SntesisAnaltica"/>
      </w:pPr>
    </w:p>
    <w:p w:rsidR="0052098F" w:rsidRDefault="0052098F" w:rsidP="0052098F">
      <w:pPr>
        <w:pStyle w:val="Extracto"/>
      </w:pPr>
      <w:r>
        <w:t>1.</w:t>
      </w:r>
      <w:r>
        <w:tab/>
        <w:t>El derecho a la asistencia letrada en el procedimiento disciplinario penitenciario tiene sus peculiaridades y limitaciones ya que, aunque comprende el derecho del interno a asesorarse por Letrado de su elección, pese a que no sea preceptiva su intervención, sin embargo, tanto en la fase administrativa como en la fase del posterior recurso ante el Juzgado de Vigilancia Penitenciaria no forma parte de su contenido el derecho a la designación de letrado del turno de oficio (SSTC 9/1997, 104/2003) [FJ 4].</w:t>
      </w:r>
    </w:p>
    <w:p w:rsidR="0052098F" w:rsidRDefault="0052098F" w:rsidP="0052098F">
      <w:pPr>
        <w:pStyle w:val="Extracto"/>
      </w:pPr>
    </w:p>
    <w:p w:rsidR="0052098F" w:rsidRDefault="0052098F" w:rsidP="0052098F">
      <w:pPr>
        <w:pStyle w:val="Extracto"/>
      </w:pPr>
      <w:r>
        <w:t>2.</w:t>
      </w:r>
      <w:r>
        <w:tab/>
        <w:t>La falta de petición de asesoramiento a la Administración penitenciaria, y la anormal solicitud interesando la designación de Abogado del turno de oficio al Juez de Vigilancia Penitenciaria motiva la desestimación del amparo sobre el derecho a la asistencia letrada [FJ 5].</w:t>
      </w:r>
    </w:p>
    <w:p w:rsidR="0052098F" w:rsidRDefault="0052098F" w:rsidP="0052098F">
      <w:pPr>
        <w:pStyle w:val="Extracto"/>
      </w:pPr>
    </w:p>
    <w:p w:rsidR="0052098F" w:rsidRDefault="0052098F" w:rsidP="0052098F">
      <w:pPr>
        <w:pStyle w:val="Extracto"/>
      </w:pPr>
      <w:r>
        <w:t>3.</w:t>
      </w:r>
      <w:r>
        <w:tab/>
        <w:t>No corresponde al Tribunal reconstruir de oficio las demandas de amparo, suplir los razonamientos de las partes, ni suscitar la eventual existencia de motivos relevantes para el amparo fuera de la vía prevista en el art. 84 LOTC (SSTC 91/2000, 105/2006) [FJ 2].</w:t>
      </w:r>
    </w:p>
    <w:p w:rsidR="0052098F" w:rsidRDefault="0052098F" w:rsidP="0052098F">
      <w:pPr>
        <w:pStyle w:val="Extracto"/>
      </w:pPr>
    </w:p>
    <w:p w:rsidR="0052098F" w:rsidRDefault="0052098F" w:rsidP="0052098F">
      <w:pPr>
        <w:pStyle w:val="Extracto"/>
      </w:pPr>
      <w:r>
        <w:t>4.</w:t>
      </w:r>
      <w:r>
        <w:tab/>
        <w:t>El silencio respecto de la petición del recurrente de designar Abogado de oficio para contestar al pliego de cargos, así como la petición de suspender el cómputo del plazo para recurrir en reforma el Auto, carece de transcendencia constitucional [FJ 6].</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3482-2005, promovido por don Ramón Cremades Navarro, representado por el Procurador de los Tribunales don Ángel Luis Rodríguez Velasco y asistido por el Letrado don Carlos Cabrera Saiz, contra los Autos del Juzgado de Vigilancia Penitenciaria de Alicante de 14 de marzo y 14 de abril de 2005, recaídos en el expediente penitenciario núm. 914-2005, dimanante del expediente disciplinario núm. 118-2005 del Centro Penitenciario de Cumplimiento de Alicante. Han comparecido y formulado alegaciones el Abogado del Estado y el Ministerio Fiscal. Ha actuado como Ponente el Magistrado don Vicente Conde Martín de Hijas,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Mediante escrito presentado en la oficina de correos el día 13 de mayo de 2005, registrado en este Tribunal el día 16 siguiente, don Ramón Cremades Navarro solicitó la designación de Abogado y Procurador del turno de oficio para interponer recurso de amparo contra las resoluciones judiciales a las que se ha hecho mención en el encabezamiento de esta Sentencia. </w:t>
      </w:r>
    </w:p>
    <w:p w:rsidR="0052098F" w:rsidRDefault="0052098F" w:rsidP="0052098F">
      <w:pPr>
        <w:pStyle w:val="TextoNormal"/>
      </w:pPr>
      <w:r>
        <w:t>Dirigidas las correspondientes comunicaciones a los Colegios de Abogados y Procuradores de Madrid, por diligencia de ordenación de la Secretaría de la Sala Segunda del Tribunal Constitucional, de 26 de septiembre de 2005, se tuvo por designados como Abogado y Procurador a don Carlos Cabrera Saiz y a don Ángel Luis Rodríguez Velasco, respectivamente, se les comunicó a los mismos y al recurrente en amparo su designación, y se entregó al expresado Procurador copia de los escritos presentados para que los pasara al referido Abogado, a fin de que formalizase la demanda de amparo en el plazo de veinte días con sujeción a lo dispuesto en el art. 49 LOTC, o, en el caso de que estimara insostenible el recurso o de falta de documentación, se atuviese a lo dispuesto en los arts. 32 y 33 de la Ley Orgánica 1/1996, de 10 de enero, de asistencia jurídica gratuita, poniéndolo en conocimiento de este Tribunal.</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demanda de amparo fue formalizada mediante escrito presentado en el Registro General de este Tribunal el día 24 de octubre de 2005, en el que se contiene la siguiente relación de antecedentes fácticos: </w:t>
      </w:r>
    </w:p>
    <w:p w:rsidR="0052098F" w:rsidRDefault="0052098F" w:rsidP="0052098F">
      <w:pPr>
        <w:pStyle w:val="TextoNormal"/>
      </w:pPr>
      <w:r>
        <w:t xml:space="preserve">a) Con fecha 25 de febrero de 2005 se abrió expediente disciplinario núm. 118-2005 al recurrente en amparo por hechos ocurridos en el Centro Penitenciario de Alicante II (Villena) (sic), contra el que aquél presentó las oportunas alegaciones. En fecha 8 de febrero de 2005 se dictó el correspondiente acuerdo sancionador, considerando hechos probados los narrados en el expediente disciplinario, que fueron calificados como falta grave, imponiéndose al recurrente en amparo la sanción de diez días de privación de paseos y actos recreativos. </w:t>
      </w:r>
    </w:p>
    <w:p w:rsidR="0052098F" w:rsidRDefault="0052098F" w:rsidP="0052098F">
      <w:pPr>
        <w:pStyle w:val="TextoNormal"/>
      </w:pPr>
      <w:r>
        <w:t xml:space="preserve">b) El demandante de amparo interpuso recurso de alzada contra el anterior acuerdo, que fue desestimado por Auto del Juzgado de Vigilancia Penitenciaria de Alicante de 14 de marzo de 2005. </w:t>
      </w:r>
    </w:p>
    <w:p w:rsidR="0052098F" w:rsidRDefault="0052098F" w:rsidP="0052098F">
      <w:pPr>
        <w:pStyle w:val="TextoNormal"/>
      </w:pPr>
      <w:r>
        <w:t>c) El demandante de amparo interpuso recurso de reforma contra dicho Auto, que fue desestimado por Auto del Juzgado de Vigilancia Penitenciaria de 14 de abril de 2005.</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la fundamentación jurídica de la demanda de amparo se invoca la vulneración del derecho a la asistencia letrada (art. 24.2, en relación con el art. 119 CE), con base en la argumentación que a continuación se extracta: </w:t>
      </w:r>
    </w:p>
    <w:p w:rsidR="0052098F" w:rsidRDefault="0052098F" w:rsidP="0052098F">
      <w:pPr>
        <w:pStyle w:val="TextoNormal"/>
      </w:pPr>
      <w:r>
        <w:t xml:space="preserve">Tras señalar que el interno en un centro penitenciario tiene derecho a que se le nombre defensa letrada, de acuerdo con lo previsto en la ley de asistencia jurídica gratuita, que le permita recurrir las sanciones disciplinarias y otros acuerdos dictados en su contra, se afirma en la demanda que en este caso don Ramón Cremades Navarro había solicitado el nombramiento de Letrado del turno de oficio, ya desde el inicio de su expediente disciplinario, para recurrir el pliego de cargos, mediante escrito de 2 de febrero de 2005. Repitió dicha solicitud en fecha 28 de marzo de 2005, en el que alegó que también había efectuado la petición al Colegio de Abogados de Alicante mediante instancia núm. 1841, instando la suspensión del plazo para recurrir mientras se tramitaba administrativamente el nombramiento requerido. </w:t>
      </w:r>
    </w:p>
    <w:p w:rsidR="0052098F" w:rsidRDefault="0052098F" w:rsidP="0052098F">
      <w:pPr>
        <w:pStyle w:val="TextoNormal"/>
      </w:pPr>
      <w:r>
        <w:t xml:space="preserve">De la referida petición no se ha efectuado tramitación alguna que le conste fehacientemente al recurrente en amparo, quien no pudo contar con asistencia letrada para recurrir contra el pliego de cargos, el subsiguiente acuerdo sancionador y el Auto del Juzgado de Vigilancia Penitenciaria de 14 de marzo de 2005, dándose además el caso de que dicho Juzgado tramitó el escrito de alegaciones presentado por el demandante de amparo como recurso de reforma en sentido propio y no como base para que un profesional del Derecho preparase un recurso de reforma idóneo desde el punto de vista jurídico. </w:t>
      </w:r>
    </w:p>
    <w:p w:rsidR="0052098F" w:rsidRDefault="0052098F" w:rsidP="0052098F">
      <w:pPr>
        <w:pStyle w:val="TextoNormal"/>
      </w:pPr>
      <w:r>
        <w:t xml:space="preserve">Aunque no son jurídicamente obligatorios, el Juzgado de Vigilancia Penitenciario no ha seguido en este caso los Acuerdos a los que llegaron los Jueces de Vigilancia Penitenciaria de España en su reunión número XII, celebrada en Madrid en enero de 2003, en concreto su Acuerdo núm. 91, adoptado por unanimidad, en el que se insta a los Jueces de Vigilancia Penitenciaria a que pidan nombramiento de Letrado del turno de oficio, con preferencia a los inscritos en el turno especial de materia penitenciaria, cuando cupiese indefensión por razón de la materia o de la complejidad del asunto. </w:t>
      </w:r>
    </w:p>
    <w:p w:rsidR="0052098F" w:rsidRDefault="0052098F" w:rsidP="0052098F">
      <w:pPr>
        <w:pStyle w:val="TextoNormal"/>
      </w:pPr>
      <w:r>
        <w:t xml:space="preserve">En este caso la indefensión se ha producido, ya que se trataba de una materia disciplinaria y el recurrente en amparo no contó en ningún momento con asistencia letrada, pese a requerirla con insistencia, desconociendo las peculiaridades jurídicas y, más en concreto, las del Derecho penitenciario, por lo que sus escritos y recursos carecían de la sistematización y fundamentación jurídicas que sin duda habría aportado un letrado. </w:t>
      </w:r>
    </w:p>
    <w:p w:rsidR="0052098F" w:rsidRDefault="0052098F" w:rsidP="0052098F">
      <w:pPr>
        <w:pStyle w:val="TextoNormal"/>
      </w:pPr>
      <w:r>
        <w:t>Concluye el escrito de demanda suplicando del Tribunal Constitucional que, tras los trámites pertinentes, dicte Sentencia en la que se otorgue el amparo solicitado y se declare la nulidad de los Autos del Juzgado de Vigilancia Penitenciaria de Alicante de 14 de marzo y 14 de abril de 2005, accediéndose, en consecuencia, al nombramiento del letrado del turno de oficio para tramitar los recursos judiciales y administrativos que derivan del expediente disciplinario al que fue sometido el recurrente. Por otrosí se interesó, de conformidad con lo dispuesto en el art. 56.1 LOTC, la suspensión de la ejecución de la sanción disciplinaria impuesta al demandante de amparo.</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La Sección Cuarta del Tribunal Constitucional, por providencia de 6 de febrero de 2007, de conformidad con lo dispuesto en el art. 50.3 LOTC, acordó conceder al demandante de amparo y al Ministerio Fiscal plazo común de diez días para que, con las aportaciones documentales que procediesen, formularan las alegaciones que estimasen pertinentes en relación con lo dispuesto en el art. 50.1 LOTC. </w:t>
      </w:r>
    </w:p>
    <w:p w:rsidR="0052098F" w:rsidRDefault="0052098F" w:rsidP="0052098F">
      <w:pPr>
        <w:pStyle w:val="TextoNormal"/>
      </w:pPr>
      <w:r>
        <w:t xml:space="preserve">Evacuado el trámite de alegaciones conferido, la Sala Segunda del Tribunal Constitucional, por providencia de 12 de junio de 2007, acordó admitir la demanda y, obrando ya en la </w:t>
      </w:r>
      <w:r>
        <w:lastRenderedPageBreak/>
        <w:t>Sala las actuaciones correspondientes al expediente núm. 941-2005, dirigió atenta comunicación al Juzgado de Vigilancia Penitenciaria de Alicante comunicándole la admisión de la demanda, debiendo emplazar a quienes hubieran sido parte en el procedimiento, a excepción del demandante de amparo, para que si lo deseasen pudieran comparecer en el plazo de diez días en este proceso de amparo.</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La Sala Segunda del Tribunal Constitucional, por providencia de 12 de junio de 2007, acordó formar la oportuna pieza para la tramitación del incidente sobre la suspensión y, de conformidad con lo dispuesto en el art. 56 LOTC, conceder un plazo común de tres días a la parte recurrente y al Ministerio Fiscal para que alegasen lo que estimaran procedente sobre la suspensión solicitada. </w:t>
      </w:r>
    </w:p>
    <w:p w:rsidR="0052098F" w:rsidRDefault="0052098F" w:rsidP="0052098F">
      <w:pPr>
        <w:pStyle w:val="TextoNormal"/>
      </w:pPr>
      <w:r>
        <w:t>Evacuado el trámite de alegaciones conferido, la Sala, por ATC 414/2007, de 5 de noviembre, acordó suspender la sanción de diez días de privación de paseos y actos recreativos impuesta al recurrente en amparo por la Comisión Disciplinaria del Centro Penitenciario de Alicante II, de 8 de febrero de 2005.</w:t>
      </w:r>
    </w:p>
    <w:p w:rsidR="0052098F" w:rsidRDefault="0052098F" w:rsidP="0052098F">
      <w:pPr>
        <w:pStyle w:val="TextoNormal"/>
      </w:pPr>
    </w:p>
    <w:p w:rsidR="0052098F" w:rsidRDefault="0052098F" w:rsidP="0052098F">
      <w:pPr>
        <w:pStyle w:val="TextoNormal"/>
      </w:pPr>
      <w:r w:rsidRPr="0052098F">
        <w:rPr>
          <w:rStyle w:val="NumeroAFNegritaCaracter"/>
        </w:rPr>
        <w:t>6</w:t>
      </w:r>
      <w:r>
        <w:t>. Por diligencia de ordenación de la Secretaría de la Sala Segunda del Tribunal Constitucional, de 19 de noviembre de 2007, se tuvo por personado y parte en el procedimiento al Abogado del Estado, en la representación que ostenta, y, de conformidad con lo dispuesto en el art. 52.1 LOTC, se dio vista de las actuaciones recibidas a las partes personadas y al Ministerio Fiscal para que en el plazo común de veinte días formulasen las alegaciones que tuvieran por convenientes.</w:t>
      </w:r>
    </w:p>
    <w:p w:rsidR="0052098F" w:rsidRDefault="0052098F" w:rsidP="0052098F">
      <w:pPr>
        <w:pStyle w:val="TextoNormal"/>
      </w:pPr>
    </w:p>
    <w:p w:rsidR="0052098F" w:rsidRDefault="0052098F" w:rsidP="0052098F">
      <w:pPr>
        <w:pStyle w:val="TextoNormal"/>
      </w:pPr>
      <w:r w:rsidRPr="0052098F">
        <w:rPr>
          <w:rStyle w:val="NumeroAFNegritaCaracter"/>
        </w:rPr>
        <w:t>7</w:t>
      </w:r>
      <w:r>
        <w:t>. La representación procesal del recurrente evacuó el trámite de alegaciones conferido mediante escrito registrado en fecha 11 de diciembre de 2007, en el que dio por reiteradas las efectuadas en la demanda de amparo.</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Abogado del Estado evacuó el trámite de alegaciones conferido mediante escrito registrado en fecha 17 de diciembre de 2007, que en lo sustancial a continuación se extracta: </w:t>
      </w:r>
    </w:p>
    <w:p w:rsidR="0052098F" w:rsidRDefault="0052098F" w:rsidP="0052098F">
      <w:pPr>
        <w:pStyle w:val="TextoNormal"/>
      </w:pPr>
      <w:r>
        <w:t xml:space="preserve">a) Tras señalar que la demanda se base exclusivamente en la supuesta lesión del derecho a la asistencia letrada (art. 24.2 CE), el Abogado del Estado descarta que se haya producido dicha lesión, ya que el art. 242.2 i) del Reglamento penitenciario de 9 de febrero de 1996 no reconoce el derecho a la asistencia letrada gratuita, sino el derecho del interno a ser asesorado en el procedimiento disciplinario “por letrado, funcionario o cualquier otra persona que designe durante la tramitación del expediente y para la redacción del pliego de descargos” (SSTC, por todas, 91/2004, de 19 de junio, FJ 3, 55/2006, de 27 de febrero, FJ 3, y 66/2007, de 27 de marzo, FJ 4). Por su parte la disposición adicional 5.9 LOPJ, en la redacción dada por la Ley Orgánica 5/2003, de 27 de mayo, sólo prevé la necesidad de defensa por Letrado —que podrá ser también representante procesal— para los recursos de apelación. Los presos no gozan, sin embargo, de un derecho pleno a la asistencia jurídica gratuita (SSTC 128/1996, de 9 de julio, FJ 6, 83/1997, de 22 de abril, FJ 3), sin duda con la excepción de los recursos de apelación, en los que desde el año 2003 es necesaria la defensa técnica por imposición legal. La STC 39/1997, de 27 de febrero, declaró que para la interposición del recurso de reforma frente a los Autos del Juzgado de Vigilancia Penitenciaria “no es necesaria la asistencia letrada” (FJ 3), si bien esta tesis se mantuvo con otra redacción de la disposición adicional quinta LOPJ distinta a la vigente. En fin, es doctrina constitucional que la falta de respuesta de la Administración penitenciaria a la petición de asesoramiento </w:t>
      </w:r>
      <w:r>
        <w:lastRenderedPageBreak/>
        <w:t xml:space="preserve">en un procedimiento disciplinario entraña una violación del derecho de defensa (por todas, SSTC 236/2002, de 9 de diciembre, FJ 4, 66/2007, FJ 4). </w:t>
      </w:r>
    </w:p>
    <w:p w:rsidR="0052098F" w:rsidRDefault="0052098F" w:rsidP="0052098F">
      <w:pPr>
        <w:pStyle w:val="TextoNormal"/>
      </w:pPr>
      <w:r>
        <w:t xml:space="preserve">b) En este caso no puede otorgarse el amparo solicitado porque no se ha violado el derecho a la asistencia letrada, o, más propiamente, el derecho a contar con asesoramiento en el procedimiento disciplinario y en el posterior recurso, por las siguientes razones: </w:t>
      </w:r>
    </w:p>
    <w:p w:rsidR="0052098F" w:rsidRDefault="0052098F" w:rsidP="0052098F">
      <w:pPr>
        <w:pStyle w:val="TextoNormal"/>
      </w:pPr>
      <w:r>
        <w:t xml:space="preserve">En primer lugar, en el procedimiento administrativo disciplinario y en el posterior recurso contra la resolución sancionadora no existe derecho a la asistencia letrada gratuita, sino un derecho a ser asesorado en los estrictos términos y condiciones previstos en el Reglamento penitenciario [art. 242.2 i)]. </w:t>
      </w:r>
    </w:p>
    <w:p w:rsidR="0052098F" w:rsidRDefault="0052098F" w:rsidP="0052098F">
      <w:pPr>
        <w:pStyle w:val="TextoNormal"/>
      </w:pPr>
      <w:r>
        <w:t xml:space="preserve">En segundo lugar, al recurrente en amparo se le informó con toda claridad en el apartado séptimo del pliego de cargos de 28 de enero de 2005 que tenía el derecho a asesorarse “por letrado, por funcionario o por cualquier persona que designe” durante la tramitación del expediente. En vez de solicitar de la Administración penitenciaria el asesoramiento que se le ofrecía prefirió, por su libre voluntad, elevar el 2 de febrero de 2005 un escrito al Juzgado de Vigilancia Penitenciaria pidiendo el acceso a los “libros de derecho” de la “biblioteca central”, en términos no previstos reglamentariamente y solicitando “del turno de oficio un Abogado para mi defensa”. Ninguna de las dos peticiones tenía fundamento jurídico bastante, ni propiamente el Juez podía concederlas. Pero en cualquier caso, al dirigirse la petición al Juzgado de Vigilancia Penitenciaria, la Administración penitenciaria queda descargada de toda responsabilidad en la hipotética vulneración del derecho de defensa. El recluso no pidió debidamente al instructor del procedimiento disciplinario que se le designara asesor y por ello no puede imputarse a la Administración ni una denegación indebida del asesoramiento, ni una omisión en su deber de responder a tal solicitud. </w:t>
      </w:r>
    </w:p>
    <w:p w:rsidR="0052098F" w:rsidRDefault="0052098F" w:rsidP="0052098F">
      <w:pPr>
        <w:pStyle w:val="TextoNormal"/>
      </w:pPr>
      <w:r>
        <w:t xml:space="preserve">En tercer lugar, tras recibir el escrito de 2 de febrero de 2005, en el que se hablaba de “recurrir el pliego de cargos nº 118/2005”, la titular del Juzgado de Vigilancia Penitenciaria reclamó el expediente el 9 de febrero de 2005, pero lo hizo en un establecimiento en el que ya no se encontraba el recluso. Cuando el expediente le fue remitido por fin, pudo comprobar que ya se había dictado resolución sancionadora el 8 de febrero de 2005. El interno había presentado alegaciones orales ante la Comisión Disciplinaria, y en estas alegaciones reiteraba las ya expuestas en el escrito de 2 de febrero de 2005 (“yo no sabía que estaba prohibido”). Sin duda a la vista de ello el Juzgado estimó más conforme a la economía procesal y al derecho de defensa del recluso dar al escrito de 2 de febrero de 2005 la consideración de recurso contra la resolución sancionadora, más aún cuando el 23 de febrero de 2005 el recluso manifestó en un nuevo escrito que se le había notificado el acuerdo sancionador y “usted sabe que lo recurrí” (en el mismo escrito se pedía a la Juez “audiencia … para exponerle el asunto”, petición carente de toda base en la legislación penitenciaria y procesal y, por ello, no atendida). </w:t>
      </w:r>
    </w:p>
    <w:p w:rsidR="0052098F" w:rsidRDefault="0052098F" w:rsidP="0052098F">
      <w:pPr>
        <w:pStyle w:val="TextoNormal"/>
      </w:pPr>
      <w:r>
        <w:t xml:space="preserve">Por último, por Auto de 14 de marzo de 2005 se desestimó el recurso contra el acuerdo sancionador. El interno recurrió el Auto alegando que había solicitado “al Colegio de Abogados de Alicante que me sea designado Abogado del turno de oficio”, a lo que, de acuerdo con la jurisprudencia constitucional expuesta, no tenía derecho. En este nuevo escrito resumía sus solicitudes anteriores y volvía a insistir en que ignoraba que las normas de régimen interior prohibieran mantener en la celda algunas frutas, putrefactas según el parte funcionarial, verdes en fase de maduración según el recluso. Previo informe del Fiscal el Juzgado desestimó el recurso de reforma por Auto de 14 de abril de 2005. </w:t>
      </w:r>
    </w:p>
    <w:p w:rsidR="0052098F" w:rsidRDefault="0052098F" w:rsidP="0052098F">
      <w:pPr>
        <w:pStyle w:val="TextoNormal"/>
      </w:pPr>
      <w:r>
        <w:t xml:space="preserve">En resumen, el interno no ejercitó el derecho de asesoramiento que le fue ofrecido en los términos previsto en el Reglamento penitenciario, y, en cambio, pretendió del Juzgado que se le facilitara un tipo de asistencia letrada a la que, con arreglo a la doctrina constitucional </w:t>
      </w:r>
      <w:r>
        <w:lastRenderedPageBreak/>
        <w:t xml:space="preserve">citada, no tenía derecho. No ha existido, pues, la violación del derecho a la asistencia letrada en que se basa la demanda. </w:t>
      </w:r>
    </w:p>
    <w:p w:rsidR="0052098F" w:rsidRDefault="0052098F" w:rsidP="0052098F">
      <w:pPr>
        <w:pStyle w:val="TextoNormal"/>
      </w:pPr>
      <w:r>
        <w:t>El Abogado del Estado concluyó su escrito solicitando del Tribunal Constitucional que dicte Sentencia denegatoria del amparo pretendido.</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Ministerio Fiscal evacuó el trámite de alegaciones conferido mediante escrito registrado en fecha 26 de diciembre de 2007, en el que se remitió a las alegaciones efectuadas en el trámite del art. 50.3 LOTC, que a continuación se resumen: </w:t>
      </w:r>
    </w:p>
    <w:p w:rsidR="0052098F" w:rsidRDefault="0052098F" w:rsidP="0052098F">
      <w:pPr>
        <w:pStyle w:val="TextoNormal"/>
      </w:pPr>
      <w:r>
        <w:t xml:space="preserve">a) El análisis del caso debe partir del anómalo curso procesal seguido a partir de la incoación del expediente sancionador, pues el actor, lejos de efectuar las correspondientes alegaciones en el expediente, procedió a elevarlas directamente al Juzgado de Vigilancia Penitenciaria, solicitando, a su vez, la designación de letrado de oficio para su defensa. No obstante el Juzgado no realizó actuación alguna y, por su parte, el centro penitenciario, al desconocer las alegaciones del interno continuó con la tramitación del expediente, sin que pudiera resolver sobre lo pedido. En consecuencia la pretensión formulada se dirige exclusivamente contra las resoluciones judiciales e implícitamente frente a la inacción judicial, pues las resoluciones de la Administración penitenciaria no podrían haber subsanado sus hipotéticas deficiencias al no haber tenido conocimiento de las impugnaciones del actor, quien en el trámite de alegaciones verbales se limitó a negar que tuviera conocimiento de las normas de régimen de la prisión, sin hacer ninguna otra consideración. </w:t>
      </w:r>
    </w:p>
    <w:p w:rsidR="0052098F" w:rsidRDefault="0052098F" w:rsidP="0052098F">
      <w:pPr>
        <w:pStyle w:val="TextoNormal"/>
      </w:pPr>
      <w:r>
        <w:t xml:space="preserve">b) La petición del actor —sostenida desde el inicio del expediente disciplinario y referida a la designación de un Letrado— ha sido absolutamente desconocida por el órgano judicial, que en un primer momento no ofrece respuesta alguna a las quejas elevadas tras el pliego de cargos, y con posterioridad, ya en alzada, al reiterarse la petición, se limita a dictar un primer Auto desestimatorio, que confirmó al desestimar después el recurso de reforma. </w:t>
      </w:r>
    </w:p>
    <w:p w:rsidR="0052098F" w:rsidRDefault="0052098F" w:rsidP="0052098F">
      <w:pPr>
        <w:pStyle w:val="TextoNormal"/>
      </w:pPr>
      <w:r>
        <w:t xml:space="preserve">Cobra así relevancia la alegación del demandante de amparo en la que se denuncia la lesión del derecho a la asistencia letrada (art. 24.2 CE). Lo decisivo en este punto es que se haya padecido una real y efectiva indefensión, pues sólo podrá apreciarse la vulneración del derecho de defensa si la que se efectúa y concretamente se ha ejercitado en el proceso se manifiesta incapaz de contribuir satisfactoriamente al examen de las cuestiones jurídicas suscitadas en el mismo, lo cual ha de determinarse en cada caso concreto atendiendo a la mayor o menor complejidad del debate procesal y a la cultura y conocimientos jurídicos de quien se defiende personalmente, deducidos de la forma y nivel técnico con que se haya realizado su defensa (STC 91/2004, de 19 de mayo, FJ 3). </w:t>
      </w:r>
    </w:p>
    <w:p w:rsidR="0052098F" w:rsidRDefault="0052098F" w:rsidP="0052098F">
      <w:pPr>
        <w:pStyle w:val="TextoNormal"/>
      </w:pPr>
      <w:r>
        <w:t xml:space="preserve">Con esta perspectiva, si se examinan las peticiones y alegaciones suscritas por el demandante en su contestación a los cargos de la Administración penitenciaria o en sus recursos de alzada y de reforma, se advierte, no sólo su total desconocimiento sobre el procedimiento que había de seguirse para oponerse en el expediente sancionador, sino que sus argumentos, aun extensos, revelan un más que deficiente modo de postular sus intereses, pues confunde los hechos por los que es sancionado con una serie de consideraciones genéricas sobre las normas de régimen interno de la prisión, haciendo referencia al uso de la biblioteca y a otras cuestiones que no guardan estricta relación con la sanción de la que es objeto. Por ello cabe concluir, a juicio del Ministerio Fiscal, que el asesoramiento pretendido hubiera podido influir sin duda en un resultado más favorable a sus intereses. </w:t>
      </w:r>
    </w:p>
    <w:p w:rsidR="0052098F" w:rsidRDefault="0052098F" w:rsidP="0052098F">
      <w:pPr>
        <w:pStyle w:val="TextoNormal"/>
      </w:pPr>
      <w:r>
        <w:t xml:space="preserve">c) Al margen de lo anterior, y habida cuenta de la inactividad del Juzgado de Vigilancia Penitenciaria, el Ministerio Fiscal se plantea la posible vulneración del derecho a la tutela judicial efectiva (art. 24.1 CE), al no haber dado el órgano judicial respuesta a lo pretendido por el demandante de amparo. Además, y una vez que se formula la alzada, el Juzgado de </w:t>
      </w:r>
      <w:r>
        <w:lastRenderedPageBreak/>
        <w:t xml:space="preserve">Vigilancia Penitenciaria tampoco da ninguna respuesta a las pretensiones del actor, pues de la argumentación contenida en los Autos recurridos resulta imposible concluir cuáles son los motivos fundamentadotes de la respuesta ni su ratio decidendi, desconociéndose así el derecho a la tutela judicial efectiva del interno, quien no recibe respuesta fundamentada frente a las concretas pretensiones deducidas ante el órgano judicial al tiempo de impugnar el acuerdo sancionador. </w:t>
      </w:r>
    </w:p>
    <w:p w:rsidR="0052098F" w:rsidRDefault="0052098F" w:rsidP="0052098F">
      <w:pPr>
        <w:pStyle w:val="TextoNormal"/>
      </w:pPr>
      <w:r>
        <w:t xml:space="preserve">Dicha carencia manifiesta de fundamentación constituye, a juicio del Ministerio Fiscal, un defecto capaz de generar la vulneración del derecho a la tutela judicial efectiva si, en atención a las circunstancias concurrentes, la ausencia de razonamiento de la resolución no puede interpretarse como una desestimación tácita que satisfaga la exigencias de tal derecho, siendo más relevante su vulneración en aquellos supuestos en los que se alega la lesión de un derecho fundamental, lo cual se acentúa en los casos de las sanciones penitenciarias (SSTC 26/1997; 53/2001; 104/2002). En este caso no existe una respuesta tácita, pues no hay ninguna fundamentación, y además la falta de respuesta es más grave, en tanto se viene invocando desde el inicio el derecho de defensa, habiendo sido desoída permanentemente por el órgano judicial. </w:t>
      </w:r>
    </w:p>
    <w:p w:rsidR="0052098F" w:rsidRDefault="0052098F" w:rsidP="0052098F">
      <w:pPr>
        <w:pStyle w:val="TextoNormal"/>
      </w:pPr>
      <w:r>
        <w:t>El Ministerio Fiscal concluye su escrito de alegaciones interesando de este Tribunal que dicte Sentencia en la que se otorgue el amparo solicitado y se declare la nulidad de los Autos del Juzgado de Vigilancia Penitenciaria de Alicante de 14 de marzo y 14 de abril de 2005, retrotrayendo las actuaciones para que por el Juzgado se resuelva la inicial pretensión deducida en su día por el recurrente.</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6 de marzo de 2008, se señaló para la deliberación y votación de la presente Sentencia el día 10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presente demanda de amparo tiene por objeto la impugnación de los Autos del Juzgado de Vigilancia Penitenciaria de Alicante de 14 de marzo y 14 de abril de 2005, que desestimaron, respectivamente, el recurso de alzada interpuesto contra el Acuerdo sancionador de la Comisión Disciplinaria del Centro penitenciario de cumplimiento de Alicante de 8 de febrero de 2005 y el posterior recurso de reforma interpuesto contra el primero de los citados Autos.</w:t>
      </w:r>
    </w:p>
    <w:p w:rsidR="0052098F" w:rsidRDefault="0052098F" w:rsidP="0052098F">
      <w:pPr>
        <w:pStyle w:val="TextoNormal"/>
      </w:pPr>
      <w:r>
        <w:t>El demandante de amparo imputa a los Autos recurridos la vulneración del derecho a la asistencia letrada (art. 24.2 CE), al no haber podido contar con asistencia letrada de oficio, que había solicitado inicialmente al Juzgado de Vigilancia Penitenciaria para recurrir el pliego de cargos y que reiteró posteriormente al interponer el recurso de reforma contra el Auto de 14 de marzo de 2005.</w:t>
      </w:r>
    </w:p>
    <w:p w:rsidR="0052098F" w:rsidRDefault="0052098F" w:rsidP="0052098F">
      <w:pPr>
        <w:pStyle w:val="TextoNormal"/>
      </w:pPr>
      <w:r>
        <w:t>El Abogado del Estado se opone a la estimación de la demanda de amparo. Argumenta, en síntesis, que no ha existido la violación del derecho a la asistencia letrada, ya que el interno no ha ejercido el derecho de asesoramiento que le fue ofrecido en los términos previstos por el Reglamento penitenciario y, en cambio, ha pretendido del Juzgado de Vigilancia Penitenciaria que se le facilitase asistencia letrada de oficio, a la que, de acuerdo con reiterada doctrina constitucional, no tenía derecho.</w:t>
      </w:r>
    </w:p>
    <w:p w:rsidR="0052098F" w:rsidRDefault="0052098F" w:rsidP="0052098F">
      <w:pPr>
        <w:pStyle w:val="TextoNormal"/>
      </w:pPr>
      <w:r>
        <w:t xml:space="preserve">Por su parte, el Ministerio Fiscal se pronuncia a favor de la estimación de la demanda de amparo. A su juicio se ha producido la denunciada lesión del derecho a la asistencia letrada (art. 24.2 CE), ya que el órgano judicial ha desconocido la petición del recurrente en amparo, </w:t>
      </w:r>
      <w:r>
        <w:lastRenderedPageBreak/>
        <w:t>a la que no ofreció respuesta alguna, habiendo padecido éste una real y efectiva indefensión al no contar con la asistencia de un letrado. Además el Ministerio Fiscal invoca como nuevo motivo de amparo una posible vulneración del derecho a la tutela judicial efectiva (art. 24.1 CE), por falta de motivación de los Autos recurridos, puesto que a partir de su argumentación resulta imposible conocer la ratio decidendi en la que se basa la desestimación de los recursos de alzada y reforma.</w:t>
      </w:r>
    </w:p>
    <w:p w:rsidR="0052098F" w:rsidRDefault="0052098F" w:rsidP="0052098F">
      <w:pPr>
        <w:pStyle w:val="TextoNormal"/>
      </w:pPr>
    </w:p>
    <w:p w:rsidR="0052098F" w:rsidRDefault="0052098F" w:rsidP="0052098F">
      <w:pPr>
        <w:pStyle w:val="TextoNormal"/>
      </w:pPr>
      <w:r w:rsidRPr="0052098F">
        <w:rPr>
          <w:rStyle w:val="NumeroAFNegritaCaracter"/>
        </w:rPr>
        <w:t>2</w:t>
      </w:r>
      <w:r>
        <w:t>. Antes de abordar las cuestiones de fondo planteadas, es preciso delimitar el objeto del presente recurso de amparo. En la demanda, que conforme a nuestra doctrina, es la única encargada de delimitar el objeto del recurso, se invoca únicamente por el recurrente la lesión del derecho a la asistencia letrada (arts. 24.2 CE). El Ministerio Fiscal en el escrito de alegaciones del trámite de art. 52.1 LOTC, en el que se remitió a las efectuadas con ocasión del trámite del art. 50.3 LOTC (en la redacción anterior a la Ley Orgánica 6/2007, de 24 de mayo), añade como nuevo motivo de amparo la posible vulneración del derecho a la tutela judicial efectiva (art. 24.1 CE), por falta de motivación de los Autos recurridos.</w:t>
      </w:r>
    </w:p>
    <w:p w:rsidR="0052098F" w:rsidRDefault="0052098F" w:rsidP="0052098F">
      <w:pPr>
        <w:pStyle w:val="TextoNormal"/>
      </w:pPr>
      <w:r>
        <w:t>Pues bien, este último motivo de amparo no puede ser objeto de nuestro enjuiciamiento en la medida en que ello supondría una ampliación de la demanda, que resulta inadmisible. En efecto, según una consolidada doctrina constitucional, es en la demanda de amparo donde queda fijado el objeto proceso, definiendo y delimitando la pretensión, tanto en cuanto a la individualización del acto o de la disposición cuya nulidad se pretende, como respecto de la razón de pedirla o causa petendi, sin que sean viables las alteraciones introducidas con ulteriores alegaciones, dirigidas a completar y, en su caso, reforzar la fundamentación del recurso, mas no a ampliarlo o variarlo sustancialmente (STC 224/2007, de 22 de octubre, FJ 2).</w:t>
      </w:r>
    </w:p>
    <w:p w:rsidR="0052098F" w:rsidRDefault="0052098F" w:rsidP="0052098F">
      <w:pPr>
        <w:pStyle w:val="TextoNormal"/>
      </w:pPr>
      <w:r>
        <w:t>No se trata en este caso de que el recurrente en amparo haya podido incurrir en un erróneo encuadramiento de su queja o en una cita equivocada del derecho o de los derechos constitucionales supuestamente concernidos, circunstancias que, de acuerdo con una reiterada doctrina constitucional, en modo alguno constituyen obstáculo para su enjuiciamiento bajo el marco constitucional adecuado (STC 114/2006, de 5 de abril, FJ 1, por todas), sino de que su concreta queja desde el primer momento ha sido encuadrada en un marco constitucional adecuado, y es el Ministerio Fiscal el que formula una queja diferente, y no un encuadramiento precisado de la queja del recurrente. En la demanda no se ha aducido como motivo de amparo la supuesta lesión del derecho a la tutela judicial efectiva (art. 24.1 CE) por falta de motivación de los Autos recurridos. Es el Ministerio Fiscal el que añade en su escrito de alegaciones su propia queja a la del actor. Al propio tiempo hemos de recordar que no corresponde a este Tribunal reconstruir de oficio las demandas de amparo, suplir los razonamientos de las partes, ni suscitar la eventual existencia de motivos relevantes para el amparo fuera de la vía prevista en el art. 84 LOTC (SSTC 91/2000, de 30 de marzo, FJ 4; 143/2003, de 14 de julio, FJ 2; 196/2005, de 18 de julio, FJ 2; 105/2006, de 3 de abril, FJ 2).</w:t>
      </w:r>
    </w:p>
    <w:p w:rsidR="0052098F" w:rsidRDefault="0052098F" w:rsidP="0052098F">
      <w:pPr>
        <w:pStyle w:val="TextoNormal"/>
      </w:pPr>
      <w:r>
        <w:t>En consecuencia, el objeto del presente recurso de amparo ha de circunscribirse a la denunciada lesión del derecho a la asistencia letrada (art. 24.2 CE), aducida por el recurrente en el escrito de demanda.</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Según resulta del examen de las actuaciones, la Administración penitenciaria, al notificarle el pliego de cargos, informó expresamente al recurrente en amparo del derecho de asesorarse por letrado, funcionario o por cualquier otra persona que designase para la redacción del pliego de descargos [art. 242.2 i) del Reglamento penitenciario: RP]. Sin embargo </w:t>
      </w:r>
      <w:r>
        <w:lastRenderedPageBreak/>
        <w:t>el demandante de amparo, en vez de hacer uso de la facultad concedida, dirigió un escrito al Juzgado de Vigilancia Penitenciaria en el que, a los efectos que ahora interesan, solicitó la designación de Abogado del turno de oficio para contestar al pliego de cargos. Así pues la Administración penitenciaria en este caso informó al interno de su derecho a asesorarse en los términos previstos en el Reglamento penitenciario y no denegó ni dejó de contestar a solicitud alguna en tal sentido, pues ante ella el recluso no formuló ninguna petición de asesoramiento.</w:t>
      </w:r>
    </w:p>
    <w:p w:rsidR="0052098F" w:rsidRDefault="0052098F" w:rsidP="0052098F">
      <w:pPr>
        <w:pStyle w:val="TextoNormal"/>
      </w:pPr>
      <w:r>
        <w:t>Por su parte el Juzgado de Vigilancia Penitenciaria, recibido el escrito del interno de solicitud de Abogado de oficio, acordó formar el oportuno expediente, así como, con carácter previo a cualquier decisión, dirigir oficio al Centro penitenciario a fin de que remitiese a la mayor brevedad posible copia del expediente disciplinario. Como consecuencia del traslado del interno a otro establecimiento, el expediente disciplinario fue remitido al Juzgado el día 1 de marzo de 2005, del que se dio traslado al día siguiente al Ministerio Fiscal para evacuar el correspondiente informe. En fecha 4 de marzo de 2005 tuvo entrada en el Juzgado un oficio del Director del establecimiento penitenciario en el que se encontraba recluido el demandante de amparo, al que se adjuntó escrito de éste, de fecha 23 de febrero de 2005, en el que comunicaba al Juzgado la sanción impuesta en el expediente disciplinario, manifestando que la había recurrido ante el propio Juzgado con ocasión del escrito en el que había solicitado la designación de Abogado del turno de oficio para contestar al pliego de cargos y que aún no había recibido respuesta alguna. El Juzgado, dado el nuevo escrito y el Acuerdo sancionador recaído, estimó recurrido en alzada dicho Acuerdo, recurso que, a la vista de las alegaciones efectuadas en sus escritos por el demandante de amparo y del expediente disciplinario, desestimó por Auto de 14 de marzo de 2005.</w:t>
      </w:r>
    </w:p>
    <w:p w:rsidR="0052098F" w:rsidRDefault="0052098F" w:rsidP="0052098F">
      <w:pPr>
        <w:pStyle w:val="TextoNormal"/>
      </w:pPr>
      <w:r>
        <w:t>El interno en escrito de fecha 28 de marzo de 2005 reiteró sustancialmente las alegaciones efectuadas en el primer escrito dirigido al Juzgado de Vigilancia Penitenciaria solicitándole la designación de Abogado del turno de oficio para contestar al pliego de cargos. También le comunicaba que había interesado del Colegio de Abogados de Alicante el nombramiento de Letrado de oficio, lo que sin embargo no acreditaba, pidiendo al Juzgado que se suspendiera el plazo para recurrir el Auto de 14 de marzo de 2005 hasta que le fuese designado Abogado de oficio. El Juzgado, por Auto de 14 de abril de 2005, desestimó el recurso de reforma, calificación que otorgó al escrito del interno, al no apreciar en las nuevas alegaciones argumentos que desvirtuasen la fundamentación del Auto recurrido.</w:t>
      </w:r>
    </w:p>
    <w:p w:rsidR="0052098F" w:rsidRDefault="0052098F" w:rsidP="0052098F">
      <w:pPr>
        <w:pStyle w:val="TextoNormal"/>
      </w:pPr>
    </w:p>
    <w:p w:rsidR="0052098F" w:rsidRDefault="0052098F" w:rsidP="0052098F">
      <w:pPr>
        <w:pStyle w:val="TextoNormal"/>
      </w:pPr>
      <w:r w:rsidRPr="0052098F">
        <w:rPr>
          <w:rStyle w:val="NumeroAFNegritaCaracter"/>
        </w:rPr>
        <w:t>4</w:t>
      </w:r>
      <w:r>
        <w:t>. La queja del recurrente en amparo por la lesión del derecho a la asistencia letrada (art. 24.2 CE), formalmente dirigida contra los Autos del Juzgado de Vigilancia Penitenciaria, radica en la falta de designación de Letrado del turno de oficio durante la tramitación del expediente disciplinario penitenciario.</w:t>
      </w:r>
    </w:p>
    <w:p w:rsidR="0052098F" w:rsidRDefault="0052098F" w:rsidP="0052098F">
      <w:pPr>
        <w:pStyle w:val="TextoNormal"/>
      </w:pPr>
      <w:r>
        <w:t xml:space="preserve">Su examen requiere traer a colación la reiterada doctrina constitucional sobre el derecho a la asistencia letrada en el procedimiento disciplinario penitenciario, según la cual este derecho es trasladable a dicho procedimiento con ciertas condiciones (STC 316/2006, de 15 de noviembre), pues no se trata de un derecho a la asistencia letrada, entendida como un derecho pleno a la asistencia de Letrado, incluyendo el derecho a la asistencia jurídica gratuita en caso de necesidad si se carece de medios económicos suficientes para ello, ya que tal derecho, como resulta del art. 6.3 del Convenio europeo de derechos humanos (CEDH), sólo existe en los procesos judiciales y además no en todos los casos, sino cuando los intereses de la justicia lo requieran (SSTC 2/1987, de 21 de enero, FJ 6; 128/1996, de 9 de julio, FJ 6; 229/1993, de 12 de julio, FJ 2; 83/1997, de 22 de abril, FJ 3; 104/2003, de 2 de junio, FJ 5). En este sentido, este Tribunal tiene declarado que cumple suficientemente con </w:t>
      </w:r>
      <w:r>
        <w:lastRenderedPageBreak/>
        <w:t>la garantía constitucional del derecho de defensa la posibilidad de asesoramiento prevista en el art. 242.2 i) del Reglamento penitenciario vigente, de conformidad con el cual el interno puede asesorarse por Letrado, funcionario o cualquier otra persona que designe durante la tramitación del expediente, siempre que en este último caso la solicitud de asesoramiento, en cuanto suponga la comunicación con una tercera persona, sea compatible con las exigencias de seguridad, tratamiento y buen orden del establecimiento que legítimamente deben adoptar los responsables del centro penitenciario (SSTC 104/2003, de 2 de junio, FJ 5; 91/2004, de 19 de mayo, FJ 3). Así pues, el derecho a la asistencia letrada en el procedimiento disciplinario penitenciario tiene sus peculiaridades y limitaciones. Aunque comprende el derecho del interno a asesorarse por Letrado de su elección, pese a que no sea preceptiva su intervención, sin embargo, tanto en la fase administrativa como en la fase del posterior recurso ante el Juzgado de Vigilancia Penitenciaria no forma parte de su contenido el derecho a la designación de letrado del turno de oficio (STC 9/1997, de 14 de enero, FJ 3; AATC 145/1999, de 7 de junio; 92/2003, de 24 de marzo).</w:t>
      </w:r>
    </w:p>
    <w:p w:rsidR="0052098F" w:rsidRDefault="0052098F" w:rsidP="0052098F">
      <w:pPr>
        <w:pStyle w:val="TextoNormal"/>
      </w:pPr>
    </w:p>
    <w:p w:rsidR="0052098F" w:rsidRDefault="0052098F" w:rsidP="0052098F">
      <w:pPr>
        <w:pStyle w:val="TextoNormal"/>
      </w:pPr>
      <w:r w:rsidRPr="0052098F">
        <w:rPr>
          <w:rStyle w:val="NumeroAFNegritaCaracter"/>
        </w:rPr>
        <w:t>5</w:t>
      </w:r>
      <w:r>
        <w:t>. Al margen de que ningún reproche puede hacerse en este caso a la Administración penitenciaria, ante la que el recurrente no formuló ninguna petición de asesoramiento, y de lo anormal de la solicitud dirigida al Juez de Vigilancia Penitenciaria interesando la designación de Abogado del turno de oficio para contestar al pliego de cargos, pues aún no había concluido la fase administrativa del procedimiento, la doctrina constitucional que se acaba de reseñar es por sí misma suficiente para desestimar la queja del recurrente en amparo.</w:t>
      </w:r>
    </w:p>
    <w:p w:rsidR="0052098F" w:rsidRDefault="0052098F" w:rsidP="0052098F">
      <w:pPr>
        <w:pStyle w:val="TextoNormal"/>
      </w:pPr>
      <w:r>
        <w:t>Como el Abogado del Estado pone de manifiesto en su escrito de alegaciones, no puede estimarse vulnerado su derecho a la asistencia letrada por no haber contado con asistencia letrada gratuita durante la tramitación del expediente disciplinario, ya que este derecho en los procedimientos de imposición de sanciones a los internos, tanto en su fase ante la Administración penitenciaria como ante el Juzgado de Vigilancia Penitenciaria, no implica la designación de Abogado del turno de oficio.</w:t>
      </w:r>
    </w:p>
    <w:p w:rsidR="0052098F" w:rsidRDefault="0052098F" w:rsidP="0052098F">
      <w:pPr>
        <w:pStyle w:val="TextoNormal"/>
      </w:pPr>
    </w:p>
    <w:p w:rsidR="0052098F" w:rsidRDefault="0052098F" w:rsidP="0052098F">
      <w:pPr>
        <w:pStyle w:val="TextoNormal"/>
      </w:pPr>
      <w:r w:rsidRPr="0052098F">
        <w:rPr>
          <w:rStyle w:val="NumeroAFNegritaCaracter"/>
        </w:rPr>
        <w:t>6</w:t>
      </w:r>
      <w:r>
        <w:t>. Es cierto que el Juzgado de Vigilancia Penitenciaria no ha contestado a la petición inicial del recurrente de que se le designase Abogado de oficio para contestar al pliego de cargos, así como a la petición de suspender el cómputo del plazo para recurrir en reforma el Auto de 14 de marzo de 2005 hasta que por el Colegio de Abogados de Alicante se le designase Letrado de oficio. Sin embargo, habiéndose descartado la lesión del derecho a la asistencia letrada por no haber contado el recurrente en amparo con Abogado de oficio en el expediente disciplinario penitenciario, y dados los términos a que ha quedado limitado el actual recurso en el fundamento jurídico 2, el silencio respecto de la petición del recurrente en este punto carece de transcendencia constitucional.</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1º Desestimar el recurso de amparo interpuesto por don Ramón Cremades Navarro.</w:t>
      </w:r>
    </w:p>
    <w:p w:rsidR="0052098F" w:rsidRDefault="0052098F" w:rsidP="0052098F">
      <w:pPr>
        <w:pStyle w:val="TextoNormal"/>
      </w:pPr>
      <w:r>
        <w:lastRenderedPageBreak/>
        <w:t>2º Levantar la suspensión de la ejecución del Acuerdo de la Comisión Disciplinaria del Centro Penitenciario de Cumplimiento de Alicante, de 8 de febrero de 2005, por el que se le impuso al recurrente en amparo en el expediente disciplinario núm.  118-2005 la sanción de diez días de privación de paseos y actos recreativos.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diez de marzo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6" w:name="SENTENCIA_2008_43"/>
      <w:r>
        <w:lastRenderedPageBreak/>
        <w:t>SENTENCIA 43/2008, de 10 de marzo de 2008</w:t>
      </w:r>
    </w:p>
    <w:bookmarkEnd w:id="46"/>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ECLI:ES:TC:2008:43</w:t>
      </w:r>
    </w:p>
    <w:p w:rsidR="0052098F" w:rsidRDefault="0052098F" w:rsidP="0052098F">
      <w:pPr>
        <w:pStyle w:val="SntesisDescriptiva"/>
      </w:pPr>
    </w:p>
    <w:p w:rsidR="0052098F" w:rsidRDefault="0052098F" w:rsidP="0052098F">
      <w:pPr>
        <w:pStyle w:val="SntesisDescriptiva"/>
      </w:pPr>
      <w:r>
        <w:t>Recurso de amparo 3908-2005. Promovido por doña Josefina Ernaga Esnoz frente a los Autos de la Sala de lo Penal de la Audiencia Nacional y del Juzgado Central de Vigilancia Penitenciaria que denegaron su solicitud de redención ordinaria de pena por el trabajo desde octubre de 1990 a julio de 1993.</w:t>
      </w:r>
    </w:p>
    <w:p w:rsidR="0052098F" w:rsidRDefault="0052098F" w:rsidP="0052098F">
      <w:pPr>
        <w:pStyle w:val="SntesisDescriptiva"/>
      </w:pPr>
    </w:p>
    <w:p w:rsidR="0052098F" w:rsidRDefault="0052098F" w:rsidP="0052098F">
      <w:pPr>
        <w:pStyle w:val="SntesisAnaltica"/>
      </w:pPr>
      <w:r>
        <w:t>Vulneración del derecho a la tutela judicial efectiva: apreciación de prescripción del beneficio de redención de penas por el trabajo que no ofrece una tutela reforzada de la libertad personal del preso al interpretar la legislación penal y administrativa. Voto particular.</w:t>
      </w:r>
    </w:p>
    <w:p w:rsidR="0052098F" w:rsidRDefault="0052098F" w:rsidP="0052098F">
      <w:pPr>
        <w:pStyle w:val="SntesisAnaltica"/>
      </w:pPr>
    </w:p>
    <w:p w:rsidR="0052098F" w:rsidRDefault="0052098F" w:rsidP="0052098F">
      <w:pPr>
        <w:pStyle w:val="Extracto"/>
      </w:pPr>
      <w:r>
        <w:t>1.</w:t>
      </w:r>
      <w:r>
        <w:tab/>
        <w:t>La interpretación y aplicación del derecho llevada a cabo por los órganos judiciales en cuanto a la prescripción del derecho a la redención de penas por el trabajo no puede considerarse respetuosa con el canon de razonabilidad que impone a las resoluciones judiciales el derecho a la tutela judicial efectiva, máxime cuando se encuentra afectado por su conexión con el derecho a la libertad personal [FJ 4].</w:t>
      </w:r>
    </w:p>
    <w:p w:rsidR="0052098F" w:rsidRDefault="0052098F" w:rsidP="0052098F">
      <w:pPr>
        <w:pStyle w:val="Extracto"/>
      </w:pPr>
    </w:p>
    <w:p w:rsidR="0052098F" w:rsidRDefault="0052098F" w:rsidP="0052098F">
      <w:pPr>
        <w:pStyle w:val="Extracto"/>
      </w:pPr>
      <w:r>
        <w:t>2.</w:t>
      </w:r>
      <w:r>
        <w:tab/>
        <w:t>Si bien es cierto que la relación entre la Administración penitenciaria y los internos es una relación administrativa, no lo es menos que en dicha relación existe un ámbito que está directamente judicializado y es el relativo a la ejecución de las penas, en el que se enmarcan las cuestiones referentes a la aplicación del beneficio de redención de penas, por lo que resulta irrazonable calificar como acción de naturaleza administrativa su solicitud [FJ 4].</w:t>
      </w:r>
    </w:p>
    <w:p w:rsidR="0052098F" w:rsidRDefault="0052098F" w:rsidP="0052098F">
      <w:pPr>
        <w:pStyle w:val="Extracto"/>
      </w:pPr>
    </w:p>
    <w:p w:rsidR="0052098F" w:rsidRDefault="0052098F" w:rsidP="0052098F">
      <w:pPr>
        <w:pStyle w:val="Extracto"/>
      </w:pPr>
      <w:r>
        <w:t>3.</w:t>
      </w:r>
      <w:r>
        <w:tab/>
        <w:t>Las resoluciones judiciales impugnadas consideran prescrita la solicitud de la recurrente en aplicación de lo dispuesto en una Ley derogada, lo que vulnera el derecho a la tutela judicial efectiva, en tanto que se aplica una norma derogada que resulta decisiva para el fallo (STC 203/1994, 308/2006) [FJ 4].</w:t>
      </w:r>
    </w:p>
    <w:p w:rsidR="0052098F" w:rsidRDefault="0052098F" w:rsidP="0052098F">
      <w:pPr>
        <w:pStyle w:val="Extracto"/>
      </w:pPr>
    </w:p>
    <w:p w:rsidR="0052098F" w:rsidRDefault="0052098F" w:rsidP="0052098F">
      <w:pPr>
        <w:pStyle w:val="Extracto"/>
      </w:pPr>
      <w:r>
        <w:t>4.</w:t>
      </w:r>
      <w:r>
        <w:tab/>
        <w:t>Aunque en el Auto impugnado se afirme que la demandante de amparo no tiene derecho a redenciones ordinarias por haberse negado a trabajar en el centro penitenciario, no consta en las actuaciones que la demandante se hubiese negado a trabajar ni que se hallase en situación de baja por redención como consecuencia de un expediente sancionador o por renuncia voluntaria, por lo que no se satisfacen las exigencias de motivación y razonabilidad [FJ 5].</w:t>
      </w:r>
    </w:p>
    <w:p w:rsidR="0052098F" w:rsidRDefault="0052098F" w:rsidP="0052098F">
      <w:pPr>
        <w:pStyle w:val="Extracto"/>
      </w:pPr>
    </w:p>
    <w:p w:rsidR="0052098F" w:rsidRDefault="0052098F" w:rsidP="0052098F">
      <w:pPr>
        <w:pStyle w:val="Extracto"/>
      </w:pPr>
      <w:r>
        <w:t>5.</w:t>
      </w:r>
      <w:r>
        <w:tab/>
        <w:t>Al analizar una posible vulneración del derecho a la tutela judicial efectiva en relación con el derecho a la libertad personal, las exigencias de motivación son aún más rigurosas, debiendo por consiguiente entenderse reforzado el canon normalmente exigible en relación con el derecho contenido en el art. 24.1 CE (SSTC 62/1996, 147/1999, 186/2003) [FJ 4].</w:t>
      </w:r>
    </w:p>
    <w:p w:rsidR="0052098F" w:rsidRDefault="0052098F" w:rsidP="0052098F">
      <w:pPr>
        <w:pStyle w:val="Extracto"/>
      </w:pPr>
    </w:p>
    <w:p w:rsidR="0052098F" w:rsidRDefault="0052098F" w:rsidP="0052098F">
      <w:pPr>
        <w:pStyle w:val="Extracto"/>
      </w:pPr>
      <w:r>
        <w:lastRenderedPageBreak/>
        <w:t>6.</w:t>
      </w:r>
      <w:r>
        <w:tab/>
        <w:t>Sobre la pretendida lesión del derecho a la igualdad ante la ley, que en realidad ha de entenderse referida a la igualdad en la aplicación de la ley, ha de observarse que no concurre el necesario requisito de que se haya aportado por la recurrente un término de comparación idóneo del que quepa derivar un tratamiento desigual [FJ 3].</w:t>
      </w:r>
    </w:p>
    <w:p w:rsidR="0052098F" w:rsidRDefault="0052098F" w:rsidP="0052098F">
      <w:pPr>
        <w:pStyle w:val="Extracto"/>
      </w:pPr>
    </w:p>
    <w:p w:rsidR="0052098F" w:rsidRDefault="0052098F" w:rsidP="0052098F">
      <w:pPr>
        <w:pStyle w:val="Extracto"/>
      </w:pPr>
      <w:r>
        <w:t>7.</w:t>
      </w:r>
      <w:r>
        <w:tab/>
        <w:t>Existiendo dudas razonables respecto de la procedencia y viabilidad del recurso de casación en el presente caso, no puede reputarse que la exigencia de agotar todos los recursos utilizables dentro de la vía judicial haya resultado incumplida por no interponer el referido recurso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3908-2005, promovido por doña Josefina Ernaga Esnoz, representada por la Procuradora de los Tribunales doña María Jesús Rivero Ratón y asistida por el Abogado don Iñaki Goyoaga Llano, contra el Auto de la Sección Primera de la Sala de lo Penal de la Audiencia Nacional de 26 de abril de 2005, dictado en el recurso de apelación núm. 318-2005, interpuesto contra el Auto de 12 de abril de 2004 del Juzgado Central de Vigilancia Penitenciaria, confirmado en reforma por Auto de 1 de julio de 2004, denegatorio de solicitud de redención ordinaria, en expediente núm. 1495-2003. Han intervenido el Ministerio Fiscal y el Abogado del Estado. Ha sido Ponente el Magistrado don Manuel Aragón Reyes,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Mediante escrito registrado en este Tribunal el 27 de mayo de 2005 doña Josefina Ernaga Esnoz manifestó su intención de interponer recurso de amparo contra las resoluciones judiciales mencionadas en el encabezamiento de esta Sentencia, indicando que designaba para su defensa al Abogado don Iñaki Goyoaga Llano y solicitando que le fuese nombrado Procurador del turno de oficio. </w:t>
      </w:r>
    </w:p>
    <w:p w:rsidR="0052098F" w:rsidRDefault="0052098F" w:rsidP="0052098F">
      <w:pPr>
        <w:pStyle w:val="TextoNormal"/>
      </w:pPr>
      <w:r>
        <w:t xml:space="preserve">Mediante diligencia de ordenación del Secretario de Justicia de la Sala Primera de 8 de junio de 2005, se libró despacho al Colegio de Procuradores de Madrid para que designase Procurador de oficio a la recurrente, y se requirió al Abogado don Iñaki Goyoaga Llano para que aportase copia de escrito de renuncia al cobro de honorarios. Aportado dicho escrito por </w:t>
      </w:r>
      <w:r>
        <w:lastRenderedPageBreak/>
        <w:t>el Abogado y efectuada la designación de Procurador de oficio, que recayó en la Procuradora de los Tribunales doña María Jesús Rivero Ratón, por diligencia de ordenación de 6 de julio de 2005 se procedió a conceder plazo de veinte días a la citada Procuradora, para que, bajo la dirección del referido Letrado, formulase la correspondiente demanda de amparo, que efectivamente fue presentada dentro del plazo conferido.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que se fundamenta la demanda de amparo, relevantes para la resolución del asunto, son los siguientes: </w:t>
      </w:r>
    </w:p>
    <w:p w:rsidR="0052098F" w:rsidRDefault="0052098F" w:rsidP="0052098F">
      <w:pPr>
        <w:pStyle w:val="TextoNormal"/>
      </w:pPr>
      <w:r>
        <w:t xml:space="preserve">a) La recurrente se encuentra cumpliendo una condena por delito de terrorismo que, tras diversas refundiciones, alcanza el total de treinta años de prisión, habiendo comenzado su cumplimiento el 5 de septiembre de 1987. En junio de 2003 dirigió escrito al Juzgado de Vigilancia Penitenciaria de Murcia para que se incluyeran en la propuesta de liquidación de condena realizada por el centro penitenciario de Jaén, en el que se encontraba a la sazón interna, las redenciones ordinarias que le pudieran corresponder conforme al art. 100 del Código penal de 1973 por el periodo de tiempo comprendido entre el 11 de octubre de 1990 y el 11 de julio de 1993, en el que permaneció internada en el centro penitenciario de Murcia. El Juzgado de Vigilancia Penitenciaria de Murcia se inhibió a favor del Juzgado Central de Vigilancia Penitenciaria, que denegó por Auto de 12 de abril de 2004 (confirmado en reforma por Auto de 1 de julio de 2004 por los mismos fundamentos) la aprobación de la redención ordinaria solicitada por la recurrente en amparo, por considerar prescrito el derecho a las redenciones reclamadas, toda vez que el Juzgado considera supletoriamente aplicable, en defecto de previsión expresa en la legislación penitenciaria, y por entender que se trata de una relación de sujeción especial sujeta al Derecho administrativo, el plazo general de prescripción de cinco años establecido en el art. 46 de la Ley general presupuestaria de 4 de enero de 1977, plazo excedido con creces a la fecha en que se produce la reclamación de la recurrente (junio de 2003), referida a redenciones correspondientes a los años 1990, 1991, 1992 y 1993. </w:t>
      </w:r>
    </w:p>
    <w:p w:rsidR="0052098F" w:rsidRDefault="0052098F" w:rsidP="0052098F">
      <w:pPr>
        <w:pStyle w:val="TextoNormal"/>
      </w:pPr>
      <w:r>
        <w:t xml:space="preserve">b) Contra este Auto interpuso la demandante de amparo recurso de apelación, que fue desestimado por Auto de la Sección Primera de la Sala de lo Penal de la Audiencia Nacional de 26 de abril de 2005. </w:t>
      </w:r>
    </w:p>
    <w:p w:rsidR="0052098F" w:rsidRDefault="0052098F" w:rsidP="0052098F">
      <w:pPr>
        <w:pStyle w:val="TextoNormal"/>
      </w:pPr>
      <w:r>
        <w:t>La Audiencia Nacional, confirmando íntegramente el Auto impugnado, razona que la solicitud de redención ordinaria es una acción de naturaleza administrativa, sujeta en su ejercicio al “plazo de caducidad general de 5 años de conformidad con la normativa aplicable y que se cita en la resolución recurrida, por lo que, habiendo transcurrido en exceso el plazo citado, tal acción debe ser considerada como prescrita”. Además, la Audiencia Nacional (en respuesta a la alegación de la recurrente en la que señalaba que su situación es la de “alta en redención” porque en ningún momento se le ha notificado por el centro penitenciario ni por el Juzgado de Vigilancia Penitenciaria que haya sido dada de “baja en redención”) razona que debe distinguirse entre la “baja en redención” y el derecho a redimir, pues no existe un pretendido derecho del recluso a la redención ordinaria (denominada “de patio”) con independencia de que trabaje o no, sino que, por el contrario, el referido beneficio exige que el recluso, además de figurar en situación de “alta en redención”, no se niegue a trabajar, de suerte que a quienes se niegan a trabajar, “como sucede en el presente caso”, no les corresponde aplicación de redención alguna, ordinaria o extraordinaria.</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la demanda de amparo se alega que los Autos del Juzgado Central de Vigilancia Penitenciaria de 12 de abril de 2004 y 1 de julio de 2004, así como el Auto de la Sección Primera de de la Sala de lo Penal de la Audiencia Nacional de 26 de abril de 2005, dictado </w:t>
      </w:r>
      <w:r>
        <w:lastRenderedPageBreak/>
        <w:t xml:space="preserve">en apelación, han lesionado los derechos de la recurrente a la tutela judicial efectiva sin indefensión (art. 24.1 CE), a la libertad (art. 17.1 CE) y a la igualdad ante la ley (art. 14 CE). </w:t>
      </w:r>
    </w:p>
    <w:p w:rsidR="0052098F" w:rsidRDefault="0052098F" w:rsidP="0052098F">
      <w:pPr>
        <w:pStyle w:val="TextoNormal"/>
      </w:pPr>
      <w:r>
        <w:t xml:space="preserve">Se aduce que las resoluciones judiciales impugnadas vulneran los derechos de la recurrente a la libertad y a la tutela judicial efectiva sin indefensión, porque la denegación del beneficio de redención ordinaria en razón de la pretendida prescripción de su reclamación resulta arbitraria e irrazonable, dado que no puede admitirse que el derecho a redimir prescriba o caduque, y menos aún aplicando una ley derogada, como es la Ley general presupuestaria de 4 de enero de 1977, pues no cabe entender que estemos ante una acción de naturaleza administrativa por el hecho de que la Administración penitenciaria tenga encargada la custodia y reeducación de los presos, toda vez que la ejecución de las penas privativas de libertad corresponde a la jurisdicción penal. La aplicación del sistema de redenciones ordinarias viene determinado por lo dispuesto en el anterior Código penal y en la legislación penitenciaria, que no establecen plazos de prescripción al respecto, por lo que no procede la aplicación analógica ni supletoria del Derecho administrativo a una cuestión que afecta a un derecho fundamental como es el derecho a la libertad, restringido por una sentencia penal condenatoria. Además, debe tenerse en cuenta que la situación de la demandante es la de alta en redención, porque en ningún momento se le ha notificado por la Administración penitenciaria ni por el Juzgado de Vigilancia Penitenciaria que haya sido dada de baja en redención, tras la tramitación del oportuno procedimiento, por lo que no cabe presumir que la demandante conociese su hipotética baja en redención, sin que, por otra parte, conste negativa de la demandante a trabajar. </w:t>
      </w:r>
    </w:p>
    <w:p w:rsidR="0052098F" w:rsidRDefault="0052098F" w:rsidP="0052098F">
      <w:pPr>
        <w:pStyle w:val="TextoNormal"/>
      </w:pPr>
      <w:r>
        <w:t xml:space="preserve">Asimismo se alega que los Autos impugnados vulneran el derecho a la igualdad ante la ley, porque en supuestos semejantes al presente los órganos judiciales de vigilancia penitenciaria, incluidos el Juzgado Central de Vigilancia Penitenciaria (cita un Auto de 14 de julio de 2004) y la Sección Segunda de la Sala de lo Penal de la Audiencia Nacional (cita un Auto de 25 de julio de 2005), vienen resolviendo las solicitudes de redención de penas sin aplicar nunca el criterio de la prescripción del derecho a la redención. </w:t>
      </w:r>
    </w:p>
    <w:p w:rsidR="0052098F" w:rsidRDefault="0052098F" w:rsidP="0052098F">
      <w:pPr>
        <w:pStyle w:val="TextoNormal"/>
      </w:pPr>
      <w:r>
        <w:t>En consecuencia, solicita la recurrente que le otorguemos el amparo, reconociendo sus derecho a la tutela judicial efectiva sin indefensión (art. 24.1 CE), a la libertad y seguridad (art. 17.1 CE) y a la igualdad ante la ley (art. 14 CE), y declarando sin efecto las resoluciones judiciales impugnadas.</w:t>
      </w:r>
    </w:p>
    <w:p w:rsidR="0052098F" w:rsidRDefault="0052098F" w:rsidP="0052098F">
      <w:pPr>
        <w:pStyle w:val="TextoNormal"/>
      </w:pPr>
    </w:p>
    <w:p w:rsidR="0052098F" w:rsidRDefault="0052098F" w:rsidP="0052098F">
      <w:pPr>
        <w:pStyle w:val="TextoNormal"/>
      </w:pPr>
      <w:r w:rsidRPr="0052098F">
        <w:rPr>
          <w:rStyle w:val="NumeroAFNegritaCaracter"/>
        </w:rPr>
        <w:t>4</w:t>
      </w:r>
      <w:r>
        <w:t>. Mediante diligencia de ordenación del Secretario de Justicia de la Sala Primera de 7 de febrero de 2007, de conformidad con lo dispuesto en el art. 88 LOTC, se requirió a la Sección Primera de la Sala de lo Penal de la Audiencia Nacional y al Juzgado Central de Vigilancia Penitenciaria para que en el plazo máximo de diez días remitieran testimonio del rollo de apelación núm. 318-2005 y del expediente núm. 1495-2003.</w:t>
      </w:r>
    </w:p>
    <w:p w:rsidR="0052098F" w:rsidRDefault="0052098F" w:rsidP="0052098F">
      <w:pPr>
        <w:pStyle w:val="TextoNormal"/>
      </w:pPr>
    </w:p>
    <w:p w:rsidR="0052098F" w:rsidRDefault="0052098F" w:rsidP="0052098F">
      <w:pPr>
        <w:pStyle w:val="TextoNormal"/>
      </w:pPr>
      <w:r w:rsidRPr="0052098F">
        <w:rPr>
          <w:rStyle w:val="NumeroAFNegritaCaracter"/>
        </w:rPr>
        <w:t>5</w:t>
      </w:r>
      <w:r>
        <w:t>. Recibidos los testimonios de actuaciones solicitados, por providencia de 23 de mayo de 2007 la Sección Primera de este Tribunal acordó la admisión a trámite del presente recurso de amparo, así como, de conformidad con lo dispuesto en el art. 52 LOTC, dar vista de las actuaciones por un plazo común de veinte días a la Procuradora de la demandante de amparo y al Ministerio Fiscal para que formularan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La representación procesal de la recurrente en amparo presentó su escrito de alegaciones con fecha 22 de junio de 2007, en el que se remitía a las formuladas en la demanda de </w:t>
      </w:r>
      <w:r>
        <w:lastRenderedPageBreak/>
        <w:t>amparo, insistiendo en el argumento de que los órganos judiciales han venido y vienen manteniendo un criterio contrario al aplicado en el presente supuesto, aportando al efecto un Auto de la Sección Primera de la Sala de lo Penal de la Audiencia Nacional de 20 de diciembre de 2006.</w:t>
      </w:r>
    </w:p>
    <w:p w:rsidR="0052098F" w:rsidRDefault="0052098F" w:rsidP="0052098F">
      <w:pPr>
        <w:pStyle w:val="TextoNormal"/>
      </w:pPr>
    </w:p>
    <w:p w:rsidR="0052098F" w:rsidRDefault="0052098F" w:rsidP="0052098F">
      <w:pPr>
        <w:pStyle w:val="TextoNormal"/>
      </w:pPr>
      <w:r w:rsidRPr="0052098F">
        <w:rPr>
          <w:rStyle w:val="NumeroAFNegritaCaracter"/>
        </w:rPr>
        <w:t>7</w:t>
      </w:r>
      <w:r>
        <w:t>. El Ministerio Fiscal, mediante escrito registrado el 4 de julio de 2007, interesó que, con suspensión del plazo de veinte días para formular alegaciones, se requiriese al centro penitenciario de Jaén, donde se encuentra cumpliendo su condena la recurrente, para que remita testimonio íntegro del expediente personal de aquélla, al objeto de conocer la fecha de las liquidaciones de condena o de las negativas de la Administración penitenciaria, en su caso, a la concesión del beneficio de redención de penas por el trabajo.</w:t>
      </w:r>
    </w:p>
    <w:p w:rsidR="0052098F" w:rsidRDefault="0052098F" w:rsidP="0052098F">
      <w:pPr>
        <w:pStyle w:val="TextoNormal"/>
      </w:pPr>
    </w:p>
    <w:p w:rsidR="0052098F" w:rsidRDefault="0052098F" w:rsidP="0052098F">
      <w:pPr>
        <w:pStyle w:val="TextoNormal"/>
      </w:pPr>
      <w:r w:rsidRPr="0052098F">
        <w:rPr>
          <w:rStyle w:val="NumeroAFNegritaCaracter"/>
        </w:rPr>
        <w:t>8</w:t>
      </w:r>
      <w:r>
        <w:t>. Por diligencia de ordenación del Secretario de Justicia de la Sala Primera de 17 de julio de 2007 se acordó, de conformidad con lo solicitado por el Ministerio Fiscal, requerir al centro penitenciario de Jaén para que en el plazo de diez días remitiese testimonio íntegro del expediente personal de la recurrente, al objeto indicado.</w:t>
      </w:r>
    </w:p>
    <w:p w:rsidR="0052098F" w:rsidRDefault="0052098F" w:rsidP="0052098F">
      <w:pPr>
        <w:pStyle w:val="TextoNormal"/>
      </w:pPr>
    </w:p>
    <w:p w:rsidR="0052098F" w:rsidRDefault="0052098F" w:rsidP="0052098F">
      <w:pPr>
        <w:pStyle w:val="TextoNormal"/>
      </w:pPr>
      <w:r w:rsidRPr="0052098F">
        <w:rPr>
          <w:rStyle w:val="NumeroAFNegritaCaracter"/>
        </w:rPr>
        <w:t>9</w:t>
      </w:r>
      <w:r>
        <w:t>. Recibido el testimonio de actuaciones remitido por el centro penitenciario de Jaén, por diligencia de ordenación del Secretario de Justicia de la Sala Primera de 31 de julio de 2007 se acordó, de conformidad con lo dispuesto en el art. 52 LOTC, dar vista de dichas actuaciones por un nuevo plazo común de veinte días a la Procuradora de la demandante de amparo y al Ministerio Fiscal para que dentro de dicho plazo pudieran formular las alegaciones que tuvieran por convenientes o ampliar las ya presentadas. Asimismo, por diligencia de ordenación de 17 de octubre de 2007 se acordó conceder plazo de veinte días al Abogado del Estado para que pudiera personarse en el presente recurso de amparo y formular las alegaciones que estimase oportunas.</w:t>
      </w:r>
    </w:p>
    <w:p w:rsidR="0052098F" w:rsidRDefault="0052098F" w:rsidP="0052098F">
      <w:pPr>
        <w:pStyle w:val="TextoNormal"/>
      </w:pPr>
    </w:p>
    <w:p w:rsidR="0052098F" w:rsidRDefault="0052098F" w:rsidP="0052098F">
      <w:pPr>
        <w:pStyle w:val="TextoNormal"/>
      </w:pPr>
      <w:r w:rsidRPr="0052098F">
        <w:rPr>
          <w:rStyle w:val="NumeroAFNegritaCaracter"/>
        </w:rPr>
        <w:t>10</w:t>
      </w:r>
      <w:r>
        <w:t>. La representación procesal de la recurrente en amparo presentó su escrito de alegaciones con fecha 28 de septiembre de 2007, ratificándose en los argumentos esgrimidos en la demanda de amparo.</w:t>
      </w:r>
    </w:p>
    <w:p w:rsidR="0052098F" w:rsidRDefault="0052098F" w:rsidP="0052098F">
      <w:pPr>
        <w:pStyle w:val="TextoNormal"/>
      </w:pPr>
    </w:p>
    <w:p w:rsidR="0052098F" w:rsidRDefault="0052098F" w:rsidP="0052098F">
      <w:pPr>
        <w:pStyle w:val="TextoNormal"/>
      </w:pPr>
      <w:r w:rsidRPr="0052098F">
        <w:rPr>
          <w:rStyle w:val="NumeroAFNegritaCaracter"/>
        </w:rPr>
        <w:t>11</w:t>
      </w:r>
      <w:r>
        <w:t xml:space="preserve">. El Ministerio Fiscal presentó su escrito de alegaciones con fecha 4 de octubre de 2007, interesando que se dicte Sentencia otorgando el amparo a la recurrente, por vulneración de su derecho a la tutela judicial efectiva (art. 24.1 CE), con anulación del Auto dictado en apelación, para que la Sección Primera de la Sala de lo Penal de la Audiencia Nacional dicte nueva resolución dando cumplida respuesta a las pretensiones formuladas por la recurrente. </w:t>
      </w:r>
    </w:p>
    <w:p w:rsidR="0052098F" w:rsidRDefault="0052098F" w:rsidP="0052098F">
      <w:pPr>
        <w:pStyle w:val="TextoNormal"/>
      </w:pPr>
      <w:r>
        <w:t xml:space="preserve">Tras examinar la doctrina sentada por este Tribunal en SSTC 174/1989, de 30 de octubre, 129/1995, de 11 de septiembre, 31/1999, de 8 de mayo, y 76/2004, de 26 de abril, concluye el Ministerio Fiscal que de la misma se desprende que si bien es cierto que la relación entre la Administración penitenciaria y los internos es una relación administrativa de sujeción especial, pues la Administración penitenciaria tiene competencias en materias de clasificación, traslados, sanciones, etc., todas ellas bajo control judicial, no lo es menos que en dicha relación existe un ámbito que está directamente judicializado y es el relativo a la ejecución de las penas, en el que se enmarcan las cuestiones referentes a la aplicación del beneficio de redención de penas, cuya competencia se reserva por la Ley Orgánica general penitenciaria y la Ley Orgánica del Poder Judicial al Juez de Vigilancia Penitenciaria. Con arreglo a esta </w:t>
      </w:r>
      <w:r>
        <w:lastRenderedPageBreak/>
        <w:t xml:space="preserve">doctrina —continúa el Fiscal— carece de la mínima lógica hablar, como se hace en los Autos impugnados en amparo, de prescripción o caducidad del derecho a instar la aplicación del beneficio penitenciario de redención de penas, pues mientras perdure la ejecución de la pena cualquier incidencia que pudiera afectar a su duración, hasta que se determinara el momento del licenciamiento definitivo, podría ser planteada por el interno, con el solo límite de que se hubiera ya producido un pronunciamiento judicial firme sobre la cuestión, lo que no consta en absoluto que haya ocurrido en el caso que nos ocupa. </w:t>
      </w:r>
    </w:p>
    <w:p w:rsidR="0052098F" w:rsidRDefault="0052098F" w:rsidP="0052098F">
      <w:pPr>
        <w:pStyle w:val="TextoNormal"/>
      </w:pPr>
      <w:r>
        <w:t xml:space="preserve">Rechaza asimismo el Ministerio Fiscal el argumento adicional que se contiene en el Auto de apelación para denegar a la recurrente el beneficio de redención ordinaria por el periodo solicitado, en el sentido de que la redención de penas por el trabajo es un beneficio penitenciario del art. 100 del anterior Código penal que no se produce de forma automática, no siendo aplicable al interno que se niega a trabajar, y distinguiendo los supuestos de “baja en la redención”, en los que ha de existir un expediente sancionador, de aquellos en los que la causa de la no aplicación de redención es la simple negativa del penado a que se le aplique dicho beneficio, negativa que conlleva per se la consecuencia de excluir la redención. Observa el Fiscal al respecto que la supuesta negativa de la recurrente a trabajar no consta en el expediente. Lo que sí aparece es la solicitud voluntaria de la interna de darse de baja en redención, que sólo surtió efectos cuando fue judicialmente aprobada por Auto de 3 de agosto de 1994 del Juzgado de Vigilancia Penitenciaria del Puerto de Santa María, siendo evidente que este Auto no puede tener efectos retroactivos, ya que el periodo cuyo cómputo se solicita a efectos del beneficio de redención ordinaria en el presente caso es el que transcurre desde el 11 de octubre de 1990 hasta el 11 de julio de 1993. Por otra parte, del expediente de la recurrente resulta que tiene reconocidos en liquidación de condena provisional periodos de redención ordinaria inmediatamente anteriores a que se la declarara en situación de baja voluntaria en redención por el referido Auto, lo que hace más inexplicable aún que no se le conceda la redención en el periodo reclamado y que sí le haya sido aplicado dicho beneficio desde el 11 de julio de 1993 al 4 de julio de 1994. </w:t>
      </w:r>
    </w:p>
    <w:p w:rsidR="0052098F" w:rsidRDefault="0052098F" w:rsidP="0052098F">
      <w:pPr>
        <w:pStyle w:val="TextoNormal"/>
      </w:pPr>
      <w:r>
        <w:t xml:space="preserve">Por todo ello el Fiscal considera que en los Autos impugnados en amparo se ha dado una respuesta a la solicitud formulada por la recurrente que no cumple el canon reforzado de motivación exigible cuando, como aquí sucede, se ve afectado el derecho a la libertad, toda vez que dichas resoluciones parten de una interpretación errónea tanto de los hechos como de la valoración jurídica de los mismos, lo que determina que deba ser otorgado el amparo por lesión del derecho a la tutela judicial efectiva de la recurrente. </w:t>
      </w:r>
    </w:p>
    <w:p w:rsidR="0052098F" w:rsidRDefault="0052098F" w:rsidP="0052098F">
      <w:pPr>
        <w:pStyle w:val="TextoNormal"/>
      </w:pPr>
      <w:r>
        <w:t>Por el contrario, sostiene el Fiscal que la queja referida a la lesión del derecho a la igualdad (art. 14 CE) ha de ser rechazada, pues no se menciona en la demanda de amparo ninguna resolución judicial que sirva de término comparación para poder determinar si ha existido o no la violación denunciada.</w:t>
      </w:r>
    </w:p>
    <w:p w:rsidR="0052098F" w:rsidRDefault="0052098F" w:rsidP="0052098F">
      <w:pPr>
        <w:pStyle w:val="TextoNormal"/>
      </w:pPr>
    </w:p>
    <w:p w:rsidR="0052098F" w:rsidRDefault="0052098F" w:rsidP="0052098F">
      <w:pPr>
        <w:pStyle w:val="TextoNormal"/>
      </w:pPr>
      <w:r w:rsidRPr="0052098F">
        <w:rPr>
          <w:rStyle w:val="NumeroAFNegritaCaracter"/>
        </w:rPr>
        <w:t>12</w:t>
      </w:r>
      <w:r>
        <w:t xml:space="preserve">. El Abogado del Estado presentó su escrito de alegaciones con fecha 25 de octubre de 2007, interesando la inadmisión o, alternativamente, la desestimación del recurso de amparo. </w:t>
      </w:r>
    </w:p>
    <w:p w:rsidR="0052098F" w:rsidRDefault="0052098F" w:rsidP="0052098F">
      <w:pPr>
        <w:pStyle w:val="TextoNormal"/>
      </w:pPr>
      <w:r>
        <w:t xml:space="preserve">Con carácter preliminar alega el Abogado del Estado que el presente recurso de amparo debe ser inadmitido por falta de agotamiento de la vía judicial previa, de conformidad con lo dispuesto en el art. 44.1 a) LOTC, toda vez que, conforme a lo establecido en la disposición adicional quinta, 6 LOPJ, en la redacción resultante de la Ley Orgánica 5/2003, de 27 de mayo, contra los Autos que determinen el máximo de cumplimiento de las penas (siendo la redención un elemento determinante de dicho máximo), cabe recurso de casación, recurso que la demandante de amparo no ha interpuesto. </w:t>
      </w:r>
    </w:p>
    <w:p w:rsidR="0052098F" w:rsidRDefault="0052098F" w:rsidP="0052098F">
      <w:pPr>
        <w:pStyle w:val="TextoNormal"/>
      </w:pPr>
      <w:r>
        <w:lastRenderedPageBreak/>
        <w:t xml:space="preserve">En cuanto al fondo del asunto, sostiene el Abogado del Estado que las resoluciones judiciales impugnadas no han incurrido en las vulneraciones que denuncia la recurrente. Si bien es cierto que la cuestión controvertida ha de situarse en el campo propio del Derecho penitenciario y no en el del Derecho administrativo, de tal premisa no se infiere necesariamente la descalificación del argumento analógico empleado en las resoluciones judiciales impugnadas, recurriendo a otro sector del ordenamiento para apreciar la existencia de un derecho que, al no ejercitarse, puede incurrir en prescripción extintiva. Precisamente, la analogía toma por presupuesto de su aplicación la unidad del ordenamiento jurídico, permitiendo la extensión de una norma a un supuesto no previsto en ella, cuando encuentre una identidad de razón en esa extensión. En cualquier caso, la determinación de si un derecho es o no prescriptible y su régimen de prescripción son cuestiones de legalidad ordinaria, cuya aplicación corresponde a los Jueces y Tribunales de Justicia. </w:t>
      </w:r>
    </w:p>
    <w:p w:rsidR="0052098F" w:rsidRDefault="0052098F" w:rsidP="0052098F">
      <w:pPr>
        <w:pStyle w:val="TextoNormal"/>
      </w:pPr>
      <w:r>
        <w:t xml:space="preserve">Aunque la demandante alega también la lesión del derecho a la igualdad (art. 14 CE) por supuesta aplicación por el mismo Juzgado de un criterio distinto al de la prescripción del derecho a redimir, no aporta término válido de comparación. Por otro lado, se cita una resolución de la Audiencia Nacional que sienta la exigencia de notificar la baja en redención. Sin embargo la baja en redención y la apreciación de sus requisitos o presupuestos constitutivos son cosas distintas. La baja en la redención supone la pérdida de un derecho que se disfruta por un trabajo efectivamente realizado, mientras que de lo que aquí se trata es de la concurrencia o no de los presupuestos de ese mismo derecho. </w:t>
      </w:r>
    </w:p>
    <w:p w:rsidR="0052098F" w:rsidRDefault="0052098F" w:rsidP="0052098F">
      <w:pPr>
        <w:pStyle w:val="TextoNormal"/>
      </w:pPr>
      <w:r>
        <w:t>Según el Abogado del Estado, la razón fundamental de la denegación a la recurrente del beneficio de la redención ordinaria no parece estar tanto en la prescripción del derecho cuanto en la ausencia de los presupuestos legales de la redención de penas. En efecto, en el fundamento jurídico cuarto del Auto de apelación se da una respuesta certeramente motivada a la pretendida equiparación o correspondencia entre la llamada situación de alta en redención y la procedencia del beneficio. La tesis de la recurrente es de sencilla formulación: todo interno por el mero hecho de serlo genera una especie de derecho automático a la redención, que sólo se extingue con la baja en redención, baja que únicamente puede acordarse en virtud de alguna de las causas tasadas en los arts. 65 y 73 del Reglamento de servicios de prisiones de 1956. Frente a esta argumentación la Sala recuerda que la redención de penas por el trabajo es un beneficio para cuya concesión es necesario el trabajo efectivo, lo que no ha ocurrido en el caso de la recurrente. De otro modo, si el beneficio hubiera de otorgarse tanto si el penado trabaja como si no lo hace, no estaría justificada su propia regulación como beneficio y equivaldría prácticamente a una especie de rebaja automática de la pena sin justificación alguna, tanto en su nombre como en su propia regulación. Correlativamente, la baja en redención sería —de seguir la tesis de la recurrente— una especie de penalidad complementaria añadida a la impuesta en la sentencia, causada por la conduzca penitenciaria del interno y apreciada al margen de las garantías propias del proceso penal.</w:t>
      </w:r>
    </w:p>
    <w:p w:rsidR="0052098F" w:rsidRDefault="0052098F" w:rsidP="0052098F">
      <w:pPr>
        <w:pStyle w:val="TextoNormal"/>
      </w:pPr>
    </w:p>
    <w:p w:rsidR="0052098F" w:rsidRDefault="0052098F" w:rsidP="0052098F">
      <w:pPr>
        <w:pStyle w:val="TextoNormal"/>
      </w:pPr>
      <w:r w:rsidRPr="0052098F">
        <w:rPr>
          <w:rStyle w:val="NumeroAFNegritaCaracter"/>
        </w:rPr>
        <w:t>13</w:t>
      </w:r>
      <w:r>
        <w:t>. Por providencia de 6 de marzo de 2008 se señaló para deliberación y votación de la presente Sentencia el día 10 de dicho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La recurrente considera que tanto el Auto de 12 de abril de 2004 del Juzgado Central de Vigilancia Penitenciaria, denegatorio de solicitud de redención ordinaria (expediente </w:t>
      </w:r>
      <w:r>
        <w:lastRenderedPageBreak/>
        <w:t>núm. 1495-2003), y confirmado en reforma por Auto de 1 de julio de 2004, como el Auto de la Sección Primera de la Sala de lo Penal de la Audiencia Nacional de 26 de abril de 2005, dictado en el recurso de apelación núm. 318-2005, confirmatorio del anterior, han vulnerado sus derechos a la tutela judicial efectiva sin indefensión (art. 24.1 CE), a la libertad (art. 17.1 CE) y a la igualdad ante la ley (art. 14 CE), por las razones que han quedado anteriormente expuestas en el relato de antecedentes.</w:t>
      </w:r>
    </w:p>
    <w:p w:rsidR="0052098F" w:rsidRDefault="0052098F" w:rsidP="0052098F">
      <w:pPr>
        <w:pStyle w:val="TextoNormal"/>
      </w:pPr>
      <w:r>
        <w:t>El Ministerio Fiscal descarta la pretendida vulneración del derecho a la igualdad ante la ley, pero interesa el otorgamiento del amparo por lesión del derecho a la tutela judicial efectiva, toda vez los Autos impugnados han denegado a la recurrente el beneficio de redención ordinaria mediante una fundamentación que no cumple el canon reforzado de motivación exigible por la doctrina constitucional cuando, como aquí sucede, se ve afectado el derecho a la libertad personal.</w:t>
      </w:r>
    </w:p>
    <w:p w:rsidR="0052098F" w:rsidRDefault="0052098F" w:rsidP="0052098F">
      <w:pPr>
        <w:pStyle w:val="TextoNormal"/>
      </w:pPr>
      <w:r>
        <w:t>Por su parte, el Abogado del Estado interesa la inadmisión del presente recurso de amparo por falta de agotamiento de la vía judicial previa, al no haber interpuesto la demandante recurso de casación, o subsidiariamente que se deniegue el amparo solicitado, porque las resoluciones judiciales impugnadas no han incurrido en las vulneraciones de derechos fundamentales que denuncia la recurrente.</w:t>
      </w:r>
    </w:p>
    <w:p w:rsidR="0052098F" w:rsidRDefault="0052098F" w:rsidP="0052098F">
      <w:pPr>
        <w:pStyle w:val="TextoNormal"/>
      </w:pPr>
    </w:p>
    <w:p w:rsidR="0052098F" w:rsidRDefault="0052098F" w:rsidP="0052098F">
      <w:pPr>
        <w:pStyle w:val="TextoNormal"/>
      </w:pPr>
      <w:r w:rsidRPr="0052098F">
        <w:rPr>
          <w:rStyle w:val="NumeroAFNegritaCaracter"/>
        </w:rPr>
        <w:t>2</w:t>
      </w:r>
      <w:r>
        <w:t>. Antes de entrar en el fondo de las quejas planteadas por la recurrente es necesario examinar la eventual causa de inadmisibilidad del recurso alegada por el Abogado del Estado, ya que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pudiendo dar lugar a un pronunciamiento de inadmisión por falta de tales presupuestos, sin que a ello sea obstáculo el carácter tasado de los pronunciamientos previstos en el art. 53 LOTC (SSTC 53/1983, de 20 de junio, FJ 2; 90/1987, de 3 de junio, FJ 1; 50/1991, de 11 de marzo, FJ 3; 107/1995, de 3 de julio, FJ 2; 77/1999, de 26 de abril, FJ 2; 208/2001, de 22 de octubre, FJ 2; 133/2002, de 3 de junio, FJ 2; 69/2003, de 9 de abril, FJ 2; 29/2004, de 4 de marzo, FJ 2; 204/2005, de 18 de julio, FJ 5; y 230/2006, de 17 de julio, FJ 2, entre otras muchas).</w:t>
      </w:r>
    </w:p>
    <w:p w:rsidR="0052098F" w:rsidRDefault="0052098F" w:rsidP="0052098F">
      <w:pPr>
        <w:pStyle w:val="TextoNormal"/>
      </w:pPr>
      <w:r>
        <w:t>En su escrito de alegaciones el Abogado del Estado interesa con carácter principal, como ya se ha indicado, que el recurso de amparo sea inadmitido por falta de agotamiento de la vía judicial previa, de conformidad con lo dispuesto en el art.  44.1 a) LOTC, toda vez que, conforme a lo establecido en la disposición adicional quinta, apartado 6 de la Ley Orgánica del Poder Judicial (LOPJ), contra los Autos que determinen el máximo de cumplimiento de las penas (siendo la redención un elemento determinante de dicho máximo, según el Abogado del Estado) cabe recurso de casación por infracción de ley, recurso que la demandante de amparo no ha interpuesto.</w:t>
      </w:r>
    </w:p>
    <w:p w:rsidR="0052098F" w:rsidRDefault="0052098F" w:rsidP="0052098F">
      <w:pPr>
        <w:pStyle w:val="TextoNormal"/>
      </w:pPr>
      <w:r>
        <w:t xml:space="preserve">La citada disposición adicional quinta, 6 LOPJ (cita que en realidad ha de entenderse efectuada a la actual disposición adicional quinta, 7 LOPJ, en virtud de la renumeración resultante de la reforma introducida por la Ley Orgánica 7/2003, de 30 de junio), en relación con las resoluciones dictadas por los órganos judiciales de vigilancia penitenciaria, establece que cabe recurso de casación por infracción de ley “contra el Auto por el que se determine el máximo de cumplimiento o se deniegue su fijación”, previsión que se ha venido entendiendo referida sin dificultad a los supuestos de Autos que resuelven sobre revisión de condenas anteriores al vigente Código penal de 1995, por aplicación de sus disposiciones transitorias primera y segunda (así, STC 86/2001, de 2 de abril, FFJJ 1 a 3), así como a aquellos supuestos relativos a refundición de condenas (como lo acredita la jurisprudencia de la Sala </w:t>
      </w:r>
      <w:r>
        <w:lastRenderedPageBreak/>
        <w:t>de lo Penal del Tribunal Supremo citada por el propio Abogado del Estado en su escrito de alegaciones). Sin embargo, resulta dudoso que la previsión pueda entenderse también aplicable a aquellos supuestos en los que, como aquí sucede, lo que se discute es la aplicación de los beneficios penitenciarios de redención de penas por el trabajo consolidados por el penado hasta la entrada en vigor del vigente Código penal, a lo que se añade que del examen de las actuaciones resulta que el Auto de la Sección Primera de la Sala de lo Penal de la Audiencia Nacional de 26 de abril de 2005 no contiene indicación alguna de que el mismo sea susceptible de recurso.</w:t>
      </w:r>
    </w:p>
    <w:p w:rsidR="0052098F" w:rsidRDefault="0052098F" w:rsidP="0052098F">
      <w:pPr>
        <w:pStyle w:val="TextoNormal"/>
      </w:pPr>
      <w:r>
        <w:t>Y en este sentido hemos de recordar la reiterada jurisprudencia que viene poniendo de relieve que la exigencia de agotar la vía judicial procedente [art. 44.1 a) LOTC] no obliga a utilizar en cada caso todos los medios de impugnación posibles, sino tan solo aquéllos normales que, de manera clara, se manifiestan como practicables, de forma que no quepa duda respecto de la procedencia y la posibilidad real y efectiva de interponer el recurso, sin necesidad de efectuar complejos análisis jurídicos, así como de su adecuación para reparar la lesión de los derechos fundamentales invocados en la demanda de amparo (SSTC 188/1990, de 26 de noviembre, FJ 3; 211/1999, de 29 de noviembre, FJ 3; 5/2001, de 15 de enero, FJ 2, 190/2001, de 1 de octubre, FJ 2; 5/2003, de 20 de enero, FJ 2; 167/2004, de 4 de octubre, FJ 3; 146/2005, de 8 de julio, FJ 3; y STC 137/2006, de 8 de mayo, FJ 2, entre otras muchas).</w:t>
      </w:r>
    </w:p>
    <w:p w:rsidR="0052098F" w:rsidRDefault="0052098F" w:rsidP="0052098F">
      <w:pPr>
        <w:pStyle w:val="TextoNormal"/>
      </w:pPr>
      <w:r>
        <w:t>En aplicación de esta doctrina ha de rechazarse el óbice de admisibilidad opuesto por el Abogado del Estado, pues, aunque la omisión de la Sección Primera de la Sala de lo Penal de la Audiencia Nacional sobre la procedencia, en su caso, de recurso contra su Auto dictado en apelación pudiera entenderse salvable por los profesionales que le prestaron asistencia técnica a la recurrente, que compareció representada por Procurador y asistida de Letrado (SSTC 70/1984, de 11 de junio, FJ 4; 38/1989, de de 14 de febrero, FJ 3; 267/1994, de 3 de octubre, FJ 3; 70/1996, de 24 de abril, FJ 2; 10/2006, de 16 de enero, FJ 3; y 241/2006, de 20 de julio, FJ 3), el tenor de lo dispuesto en la disposición adicional quinta, 7 LOPJ suscita dudas sobre la procedencia de interponer recurso de casación por infracción de ley contra un Auto que confirma en apelación un Auto del Juzgado Central de Vigilancia Penitenciaria por el que se acuerda denegar a la recurrente el beneficio de redención ordinaria por el periodo solicitado. En consecuencia, existiendo dudas razonables respecto de la procedencia y viabilidad del recurso de casación en el presente caso, no puede reputarse que la exigencia de agotar todos los recursos utilizables dentro de la vía judicial [art. 44.1 a) LOTC] haya resultado incumplida por no interponer el referido recurso.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Descartado el óbice procesal aducido por el Abogado del Estado, debemos asimismo rechazar la queja de la recurrente sobre la pretendida lesión del derecho a la igualdad ante la ley (art. 14 CE), que en realidad ha de entenderse referida a la igualdad en la aplicación de la ley, pues lo cierto es que las resoluciones judiciales que se invocan como contraste no reúnen las exigencias establecidas para servir de término de comparación válido en el que sustentar el juicio de igualdad, conforme a la reiterada doctrina de este Tribunal (por todas, SSTC 13/1987, de 5 de febrero, FJ 2; 134/1991, de 17 de junio, FJ 4; 207/1992, de 30 de noviembre, FJ 2; 266/1994, de 3 de octubre, FJ 3; 102/1999, de 31 de mayo, FJ 2; 152/2002, de 15 de julio, FJ 2; y 126/2003, de 30 de junio, FJ 2). En efecto, no se han aportado por la recurrente, como exige nuestra doctrina, resoluciones de los mismos órganos judiciales precedentes a las impugnadas en amparo que acrediten el pretendido cambio de criterio, debiendo señalarse que en la única resolución que sí se aporta por la demandante (el Auto dictado el 20 de diciembre de 2006 por la Sección Primera de la Sala de lo Penal de la Audiencia Nacional) no se aprecia que exista identidad de supuesto legal de hecho y de </w:t>
      </w:r>
      <w:r>
        <w:lastRenderedPageBreak/>
        <w:t>fundamentación jurídica, de suerte que no cabe constatar que el mismo órgano judicial se haya separado arbitraria o inadvertidamente de una línea doctrinal previa y consolidada o de un precedente inmediato en el tiempo y exactamente igual desde la perspectiva jurídica con el que se enjuició.</w:t>
      </w:r>
    </w:p>
    <w:p w:rsidR="0052098F" w:rsidRDefault="0052098F" w:rsidP="0052098F">
      <w:pPr>
        <w:pStyle w:val="TextoNormal"/>
      </w:pPr>
    </w:p>
    <w:p w:rsidR="0052098F" w:rsidRDefault="0052098F" w:rsidP="0052098F">
      <w:pPr>
        <w:pStyle w:val="TextoNormal"/>
      </w:pPr>
      <w:r w:rsidRPr="0052098F">
        <w:rPr>
          <w:rStyle w:val="NumeroAFNegritaCaracter"/>
        </w:rPr>
        <w:t>4</w:t>
      </w:r>
      <w:r>
        <w:t>. Debemos seguidamente abordar la queja principal de la recurrente, referida a la vulneración de los derechos a la libertad personal (art. 17.1 CE) y a la tutela judicial efectiva sin indefensión (art. 24.1 CE), basada en que la denegación del beneficio de redención ordinaria de pena por el trabajo por el periodo solicitado (11 de octubre de 1990 a 11 de julio de 1993), por entender prescrita su solicitud, formulada en junio de 2003, constituye una decisión judicial arbitraria e irrazonable.</w:t>
      </w:r>
    </w:p>
    <w:p w:rsidR="0052098F" w:rsidRDefault="0052098F" w:rsidP="0052098F">
      <w:pPr>
        <w:pStyle w:val="TextoNormal"/>
      </w:pPr>
      <w:r>
        <w:t>La recurrente sostiene, como ha quedado expuesto, que no puede admitirse que el derecho a redimir prescriba o caduque —y menos aún aplicando una ley derogada, como es la Ley general presupuestaria de 4 de enero de 1977—, pues la ejecución de las penas privativas de libertad, y por tanto la aplicación de los beneficios de redención de penas, corresponde a la jurisdicción penal, conforme a lo dispuesto en el anterior Código penal y en la legislación penitenciaria, que no establecen plazos de prescripción al respecto, por lo que no procede la aplicación analógica ni supletoria del Derecho administrativo, por el hecho de que la Administración penitenciaria tenga encargada la custodia y reeducación de los presos, a una cuestión que afecta a un derecho fundamental como es el derecho a la libertad, restringido por una sentencia penal condenatoria. Además, la situación de la demandante es la de alta en redención, porque en ningún momento se le ha notificado por la Administración penitenciaria ni por el Juzgado de Vigilancia Penitenciaria que haya sido dada de baja en redención, tras la tramitación del oportuno procedimiento, sin que, por otra parte, conste negativa de la demandante a trabajar, por lo que tampoco desde esta perspectiva tiene fundamento la denegación del beneficio de redención ordinaria de pena por el periodo solicitado.</w:t>
      </w:r>
    </w:p>
    <w:p w:rsidR="0052098F" w:rsidRDefault="0052098F" w:rsidP="0052098F">
      <w:pPr>
        <w:pStyle w:val="TextoNormal"/>
      </w:pPr>
      <w:r>
        <w:t>En relación con el problema planteado por la recurrente debe tenerse en cuenta que la jurisprudencia constitucional ha puesto de relieve que la cuestión relativa a la procedencia de la redención de penas por el trabajo, sobre la que corresponde decidir, en el actual sistema implantado por la Ley Orgánica general penitenciaria, al Juez de Vigilancia Penitenciaria (STC 174/1989, de 30 de octubre, FJ 3), afecta al derecho fundamental a la libertad personal consagrado en el art. 17.1 CE, ya que el periodo de privación de libertad depende, entre otros factores, de su aplicación conforme a lo establecido en el art. 100 del Código penal de 1973 (SSTC 31/1999, de 8 de marzo, FJ 3, 186/2003, de 27 de octubre, FJ 5, y 76/2004, de 26 de abril, FJ 5), en relación con lo dispuesto en el art. 25.2 CE, por cuanto se conecta con la orientación reeducadora de la pena privativa de libertad. Por tanto, como recuerda la STC 186/2003, de 27 de octubre, FJ 5, “las exigencias de motivación fundada en Derecho se tornan aún más rigurosas (por todas, STC 112/1996, de 24 de junio, FFJJ 2 y 3); de manera que, en tales casos, se hace necesario que en la propia resolución se evidencie de modo incuestionable que su razón de ser es una aplicación razonada de las normas que se consideran adecuadas al caso (por todas, STC 147/1999, de 4 de agosto, FJ 3), debiendo por consiguiente entenderse reforzado el canon normalmente exigible en relación con el derecho contenido en el art. 24.1 CE (en este sentido, entre otras muchas: SSTC 62/1996, de 15 de abril , FJ 2; 175/1997, de 27 de octubre, FJ 4; 200/1997, de 24 de noviembre, FJ 4; 116/1998, de 2 de junio, FJ 4; 2/1999, de 25 de enero, FJ 2; 147/1999, de 4 de agosto, FJ 3)”.</w:t>
      </w:r>
    </w:p>
    <w:p w:rsidR="0052098F" w:rsidRDefault="0052098F" w:rsidP="0052098F">
      <w:pPr>
        <w:pStyle w:val="TextoNormal"/>
      </w:pPr>
      <w:r>
        <w:t xml:space="preserve">Pues bien, a la luz de esta doctrina puede concluirse que la interpretación y aplicación del Derecho llevada a cabo por los órganos judiciales en las resoluciones impugnadas en </w:t>
      </w:r>
      <w:r>
        <w:lastRenderedPageBreak/>
        <w:t>amparo no resulta razonable ni atiende a las dimensiones constitucionales en juego, entre las que se encuentra el derecho a la libertad personal.</w:t>
      </w:r>
    </w:p>
    <w:p w:rsidR="0052098F" w:rsidRDefault="0052098F" w:rsidP="0052098F">
      <w:pPr>
        <w:pStyle w:val="TextoNormal"/>
      </w:pPr>
      <w:r>
        <w:t>En efecto, como ha quedado expuesto, el Juzgado Central de Vigilancia Penitenciaria deniega a la demandante el beneficio de redención ordinaria durante el periodo solicitado (octubre de 1990 a julio de 1993) por considerar prescrito el derecho, toda vez que el Juzgado considera supletoriamente aplicable, en defecto de previsión expresa en la legislación penitenciaria (arts. 65 a 73 del Reglamento del servicio de prisiones de 1956), y por entender que se trata de una relación de sujeción especial sujeta al Derecho administrativo, el plazo general de prescripción de cinco años establecido en el art. 46 de la Ley general presupuestaria de 4 de enero de 1977, plazo excedido con creces a la fecha en que se produce la reclamación de la recurrente (junio de 2003). Este fundamento para la denegación se ratifica en apelación por la Sección Primera de la Sala de lo Penal de la Audiencia Nacional, que razona en su Auto que la solicitud de redención ordinaria es una “acción de naturaleza administrativa”, sujeta en su ejercicio al “plazo de caducidad general de 5 años de conformidad con la normativa aplicable y que se cita en la resolución recurrida, por lo que, habiendo transcurrido en exceso el plazo citado, tal acción debe ser considerada como prescrita”.</w:t>
      </w:r>
    </w:p>
    <w:p w:rsidR="0052098F" w:rsidRDefault="0052098F" w:rsidP="0052098F">
      <w:pPr>
        <w:pStyle w:val="TextoNormal"/>
      </w:pPr>
      <w:r>
        <w:t>Como se ha adelantado, la respuesta judicial que ha recibido la recurrente en cuanto a la prescripción de su derecho a la redención de penas por el trabajo no puede considerarse respetuosa con el canon de razonabilidad que impone a las resoluciones judiciales el derecho a la tutela judicial efectiva (art. 24.1 CE), máxime cuando, como aquí sucede, se encuentra afectado por su conexión con el derecho a la libertad personal (art. 17.1 CE). Si bien es cierto que la relación entre la Administración penitenciaria y los internos es una relación administrativa, no lo es menos, como acertadamente ponen de relieve la demandante y el Ministerio Fiscal, que en dicha relación existe un ámbito que está directamente judicializado (art. 117.3 CE) y es el relativo a la ejecución de las penas, en el que se enmarcan las cuestiones referentes a la aplicación del beneficio de redención de penas, cuya competencia se reserva por la Ley Orgánica general penitenciaria y la Ley Orgánica del Poder Judicial al Juez de Vigilancia Penitenciaria, por lo que resulta irrazonable calificar como acción de naturaleza administrativa la solicitud del beneficio penitenciario de redención de penas, calificación en la que descansa la decisión de las resoluciones judiciales impugnadas de aplicar al caso el plazo general de prescripción del Derecho administrativo, que queda así privada de fundamento.</w:t>
      </w:r>
    </w:p>
    <w:p w:rsidR="0052098F" w:rsidRDefault="0052098F" w:rsidP="0052098F">
      <w:pPr>
        <w:pStyle w:val="TextoNormal"/>
      </w:pPr>
      <w:r>
        <w:t xml:space="preserve">A lo anterior se añade que las resoluciones judiciales impugnadas consideran prescrita la solicitud de la recurrente en aplicación de lo dispuesto en el art. 46 de la Ley general presupuestaria de 4 de enero de 1977, cuando es lo cierto que esta Ley fue derogada por el Real Decreto Legislativo 1091/1988, de 23 de septiembre, por el que se aprueba el texto refundido de la Ley general presupuestaria, derogado a su vez por la vigente Ley 47/2003, de 26 de noviembre, general presupuestaria (que rebaja, por cierto, a cuatro años el plazo de prescripción para reclamar derechos frente a la hacienda pública). En tal sentido este Tribunal tiene declarado que se vulnera el derecho a la tutela judicial efectiva cuando se aplica una norma derogada que resulta decisiva para el fallo, lo que “convierte en irrazonable la elección de la norma aplicable, de tal manera que no puede afirmarse que estemos ante una decisión fundada capaz de satisfacer el derecho a la tutela judicial efectiva consagrado en el art. 24.1 CE” (STC 203/1994, de 11 de julio, FJ 3). Y es que, como recuerda la STC 99/2000, de 10 de abril, FJ 6, “el derecho de tutela judicial efectiva exige que las resoluciones judiciales al decidir los litigios sean fundadas en Derecho, y ese fundamento desaparece cuando con total evidencia se omite la consideración de la norma aplicable, y se decide mediante la </w:t>
      </w:r>
      <w:r>
        <w:lastRenderedPageBreak/>
        <w:t>aplicación de normas que han perdido su vigencia”. Doctrina que se reitera por la STC 144/2003, de 14 de julio, FJ 2, y por la STC 308/2006, de 23 de octubre, FJ 7.</w:t>
      </w:r>
    </w:p>
    <w:p w:rsidR="0052098F" w:rsidRDefault="0052098F" w:rsidP="0052098F">
      <w:pPr>
        <w:pStyle w:val="TextoNormal"/>
      </w:pPr>
    </w:p>
    <w:p w:rsidR="0052098F" w:rsidRDefault="0052098F" w:rsidP="0052098F">
      <w:pPr>
        <w:pStyle w:val="TextoNormal"/>
      </w:pPr>
      <w:r w:rsidRPr="0052098F">
        <w:rPr>
          <w:rStyle w:val="NumeroAFNegritaCaracter"/>
        </w:rPr>
        <w:t>5</w:t>
      </w:r>
      <w:r>
        <w:t>. El Auto recaído en apelación añade un nuevo argumento para justificar la denegación a la recurrente del beneficio de redención de pena por el trabajo en el periodo solicitado, razonando que no existe un pretendido derecho automático del recluso a la redención ordinaria (“de patio”), con independencia de que trabaje o no, sino que, por el contrario, el referido beneficio exige que el recluso, además de figurar en situación de “alta en redención”, no se niegue a trabajar, de suerte que a quienes se niegan a trabajar, “como sucede en el presente caso”, no les corresponde aplicación de redención alguna, ordinaria o extraordinaria. En suma, se afirma en el Auto impugnado que la demandante de amparo no tiene derecho a redenciones ordinarias durante el periodo solicitado porque se había negado a trabajar en el centro penitenciario.</w:t>
      </w:r>
    </w:p>
    <w:p w:rsidR="0052098F" w:rsidRDefault="0052098F" w:rsidP="0052098F">
      <w:pPr>
        <w:pStyle w:val="TextoNormal"/>
      </w:pPr>
      <w:r>
        <w:t>Sin embargo, es lo cierto, como acertadamente pone de relieve el Ministerio Fiscal, que no consta en las actuaciones remitidas a este Tribunal que la demandante se hubiese negado a trabajar ni que se hallase en situación de “baja en redención”, como consecuencia de un expediente sancionador, o por haber formulado renuncia voluntaria a la aplicación del beneficio de redención de penas durante el periodo reclamado, por lo que tampoco esta fundamentación añadida por el Auto de apelación puede considerarse como una respuesta judicial que satisfaga las exigencias de motivación y razonabilidad. Lo único que consta es una “baja en redención” a petición expresa de la recurrente, aprobada, con efectos desde el 4 de julio de 1994, por Auto de 3 de agosto de 1994 del Juzgado de Vigilancia Penitenciaria del Puerto de Santa María, siendo notorio que este Auto no afecta al periodo cuyo cómputo se solicita por la recurrente a efectos del beneficio de redención ordinaria en el presente caso (el que transcurre desde el 11 de octubre de 1990 hasta el 11 de julio de 1993), como lo evidencia el dato, igualmente reflejado en el expediente penitenciario remitido a este Tribunal, de que la recurrente tenga aprobados periodos de redención ordinaria inmediatamente anteriores a que se la declarara en situación de “baja en redención” voluntaria por el referido Auto (concretamente desde el 11 de julio de 1993 al 4 de julio de 1994).</w:t>
      </w:r>
    </w:p>
    <w:p w:rsidR="0052098F" w:rsidRDefault="0052098F" w:rsidP="0052098F">
      <w:pPr>
        <w:pStyle w:val="TextoNormal"/>
      </w:pPr>
      <w:r>
        <w:t>En consecuencia, es forzoso concluir que la argumentación contenida en el Auto de apelación en cuanto a que no corresponde aplicar a la demandante de amparo redenciones ordinarias por haberse negado a trabajar, sin que exista constancia en las actuaciones de esta pretendida negativa, tampoco satisface las exigencias de motivación y razonabilidad que impone a las resoluciones judiciales el derecho a la tutela judicial efectiva, reforzadas en este caso por la conexión de ese derecho con el de libertad personal.</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doña Josefina Ernaga Esnoz y, en su virtud:</w:t>
      </w:r>
    </w:p>
    <w:p w:rsidR="0052098F" w:rsidRDefault="0052098F" w:rsidP="0052098F">
      <w:pPr>
        <w:pStyle w:val="TextoNormal"/>
      </w:pPr>
      <w:r>
        <w:t>1º Reconocer su derecho a la tutela judicial efectiva (art. 24.1 CE), en relación con el derecho a la libertad (art. 17.1 CE).</w:t>
      </w:r>
    </w:p>
    <w:p w:rsidR="0052098F" w:rsidRDefault="0052098F" w:rsidP="0052098F">
      <w:pPr>
        <w:pStyle w:val="TextoNormal"/>
      </w:pPr>
      <w:r>
        <w:lastRenderedPageBreak/>
        <w:t>2º Declarar la nulidad del Auto de la Sección Primera de la Sala de lo Penal de la Audiencia Nacional de 26 de abril de 2005, recaído en el recurso de apelación núm. 318-2005, así como de los Autos de 12 de abril de 2004 y 1 de julio de 2004 del Juzgado Central de Vigilancia Penitenciaria, dictados en expediente núm. 1495-2003.</w:t>
      </w:r>
    </w:p>
    <w:p w:rsidR="0052098F" w:rsidRDefault="0052098F" w:rsidP="0052098F">
      <w:pPr>
        <w:pStyle w:val="TextoNormal"/>
      </w:pPr>
      <w:r>
        <w:t>3º Retrotraer las actuaciones al momento inmediatamente anterior a dictarse el Auto de la Sección Primera de la Sala de lo Penal de la Audiencia Nacional de 26 de abril de 2005, para que se dicte nueva resolución judicial con respeto a los derechos fundamentales reconocidos.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diez de marzo de dos mil ocho.</w:t>
      </w:r>
    </w:p>
    <w:p w:rsidR="0052098F" w:rsidRDefault="0052098F" w:rsidP="0052098F">
      <w:pPr>
        <w:pStyle w:val="ParrafoNormal"/>
      </w:pPr>
    </w:p>
    <w:p w:rsidR="0052098F" w:rsidRDefault="0052098F" w:rsidP="0052098F">
      <w:pPr>
        <w:pStyle w:val="TextoNormalNegritaCentrado"/>
        <w:keepNext/>
      </w:pPr>
      <w:r>
        <w:t>Voto particular que formula el Magistrado don Jorge Rodríguez-Zapata Pérez en el recurso de amparo 3908-2005, de 10 de marzo de 2008.</w:t>
      </w:r>
    </w:p>
    <w:p w:rsidR="0052098F" w:rsidRDefault="0052098F" w:rsidP="0052098F">
      <w:pPr>
        <w:pStyle w:val="TextoNormalNegritaCentrado"/>
        <w:keepNext/>
      </w:pPr>
    </w:p>
    <w:p w:rsidR="0052098F" w:rsidRDefault="0052098F" w:rsidP="0052098F">
      <w:pPr>
        <w:pStyle w:val="TextoNormal"/>
      </w:pPr>
      <w:r>
        <w:t>1. La Sentencia de la que discrepo se excede de los límites de nuestra jurisdicción de amparo al imponer a los Jueces y Tribunales de la jurisdicción penal ordinaria, como única interpretación posible, la de que la solicitud del beneficio penitenciario de redención de penas por el trabajo (del art. 100 del antiguo CP de 1973) no puede estar sometida a plazo alguno de prescripción.</w:t>
      </w:r>
    </w:p>
    <w:p w:rsidR="0052098F" w:rsidRDefault="0052098F" w:rsidP="0052098F">
      <w:pPr>
        <w:pStyle w:val="TextoNormal"/>
      </w:pPr>
      <w:r>
        <w:t>2. Lo que se refiere a la prescripción ha sido siempre, según nuestra doctrina, “una cuestión de legalidad ordinaria que, por lo general, no alcanza relieve constitucional, dado que es a los Jueces y Tribunales ordinarios a quienes corresponde interpretar el modo de computar los plazos establecidos en las Leyes” (así, por todas, STC 125/2004, de 19 de julio, FJ 3, en la que hice cita, no exhaustiva, de las SSTC 89/1992, de 8 de junio, FJ 3; 201/1992, de 19 de noviembre, FJ 2; 101/1993, de 26 de marzo, FJ 3; 164/1993, de 18 de mayo, FJ 2; 245/1993, de 19 de julio, FJ 5, y 322/1993, de 8 de noviembre, FJ 3).</w:t>
      </w:r>
    </w:p>
    <w:p w:rsidR="0052098F" w:rsidRDefault="0052098F" w:rsidP="0052098F">
      <w:pPr>
        <w:pStyle w:val="TextoNormal"/>
      </w:pPr>
      <w:r>
        <w:t>Y es que el recurso de amparo no es cauce idóneo para dirimir discrepancias relativas a la selección, interpretación y aplicación de la legalidad a los casos concretos. La impugnación de una decisión judicial en esta materia sólo alcanza relieve constitucional si su contenido está incursa en arbitrariedad, irrazonabilidad o en error patente, ya que no somos una tercera instancia revisora ni tampoco un grado de casación, y no nos corresponde comprobar el grado de error o de acierto de una determinada resolución judicial, ni indicar la interpretación que haya de darse a la legalidad ordinaria función esta última que corresponde en exclusiva a los Tribunales del orden judicial correspondiente (así lo dijo, por todas, la STC 114/2003, de 16 de junio, FJ 5, también con abundante cita de otras Sentencias anteriores).</w:t>
      </w:r>
    </w:p>
    <w:p w:rsidR="0052098F" w:rsidRDefault="0052098F" w:rsidP="0052098F">
      <w:pPr>
        <w:pStyle w:val="TextoNormal"/>
      </w:pPr>
      <w:r>
        <w:t>En el ATC 179/2005, de 9 de mayo, de la Sala Primera, ratificamos estas ideas concluyendo en la carencia de contenido constitucional de una pretensión en la que se nos pedía que rectificásemos el criterio de los Jueces ordinarios respecto del momento en que debe comenzar el cómputo del plazo de prescripción de la responsabilidad civil dimanante de delito y respecto de si había habido o no la prescripción misma. Si allí se concluyó que la respuesta expresa y motivada de la Sala de lo Penal del Tribunal Supremo excluía nuestras posibilidades de control constitucional no veo ahora razonado en la Sentencia de la que discrepo por qué hemos de mutar nuestra doctrina y decir —en contra de dos respuestas judiciales explícitas, exhaustivas y pormenorizadas, incluso en exceso, respecto de todas las alegaciones de la solicitante de amparo— que una solicitud de redención de penas que la Justicia ordinaria declara prescrita es imprescriptible en sede de amparo constitucional.</w:t>
      </w:r>
    </w:p>
    <w:p w:rsidR="0052098F" w:rsidRDefault="0052098F" w:rsidP="0052098F">
      <w:pPr>
        <w:pStyle w:val="TextoNormal"/>
      </w:pPr>
      <w:r>
        <w:lastRenderedPageBreak/>
        <w:t>3. La Sentencia de la que disiento considera, en efecto, que las resoluciones de la Audiencia Nacional impugnadas en amparo han efectuado una interpretación que “no resulta razonable ni atiende a las dimensiones constitucionales en juego, entre las que se encuentra el derecho a la libertad personal” (FJ 4, párrafo 4).</w:t>
      </w:r>
    </w:p>
    <w:p w:rsidR="0052098F" w:rsidRDefault="0052098F" w:rsidP="0052098F">
      <w:pPr>
        <w:pStyle w:val="TextoNormal"/>
      </w:pPr>
      <w:r>
        <w:t>Acepto que es aplicable aquí, en efecto, el canon reforzado de la tutela judicial efectiva, porque el antiguo beneficio de redención de penas por el trabajo afecta al derecho fundamental de la solicitante de amparo —interna en un centro penitenciario— a la libertad personal (art. 17.1 CE). Pero, a pesar de ello, los Autos de la Audiencia Nacional recurridos en este caso tienen un razonamiento adecuado que supera, en forma ostensible, nuestro estándar de control, por lo me parece inviable llegar a las conclusiones que alcanza la decisión de la mayoría.</w:t>
      </w:r>
    </w:p>
    <w:p w:rsidR="0052098F" w:rsidRDefault="0052098F" w:rsidP="0052098F">
      <w:pPr>
        <w:pStyle w:val="TextoNormal"/>
      </w:pPr>
      <w:r>
        <w:t>4. La Sentencia de la que disiento opone a los Autos de la Audiencia Nacional dos tachas de falta de razonabilidad, que se exponen en los dos últimos párrafos de su fundamento jurídico 4. A mi juicio carecen de consistencia, por las razones siguientes:</w:t>
      </w:r>
    </w:p>
    <w:p w:rsidR="0052098F" w:rsidRDefault="0052098F" w:rsidP="0052098F">
      <w:pPr>
        <w:pStyle w:val="TextoNormal"/>
      </w:pPr>
      <w:r>
        <w:t>a) Los Autos impugnados no se fundan —como sostiene en forma inexacta la Sentencia— en la naturaleza administrativa de la solicitud del beneficio penitenciario de redención de penas (cuestión de simple legalidad cuyo acierto o desacierto tampoco nos competería corregir en amparo) sino en la aplicación por analogía al ordenamiento penitenciario de las reglas generales de prescripción que rigen en el ordenamiento administrativo, siendo así que el mismo guarda con el anterior en este punto la suficiente identidad de razón. Se trata de una analogía iuris entre distintos sectores del ordenamiento jurídico, como ha comprendido y explicado correctamente, el Abogado del Estado (cfr. antecedentes de hecho 12).</w:t>
      </w:r>
    </w:p>
    <w:p w:rsidR="0052098F" w:rsidRDefault="0052098F" w:rsidP="0052098F">
      <w:pPr>
        <w:pStyle w:val="TextoNormal"/>
      </w:pPr>
      <w:r>
        <w:t>Por estricto que sea el canon de control que arbitremos, no parece irrazonable afirmar —como dice literalmente el Juzgado Central de Vigilancia Penitenciaria— que “todos los derechos prescriben, salvo que la Ley expresamente declare su imprescriptibilidad”; que “en materia de redenciones de penas por el trabajo no existe en la legislación penal (ni penitenciaria) precepto alguno que la regule, sin que el derecho a su reconocimiento o la acción para exigirlo hayan sido declaradas imprescriptibles” y que “a falta de regulación específica hay que acudir al plazo general de prescripción en Derecho administrativo”.</w:t>
      </w:r>
    </w:p>
    <w:p w:rsidR="0052098F" w:rsidRDefault="0052098F" w:rsidP="0052098F">
      <w:pPr>
        <w:pStyle w:val="TextoNormal"/>
      </w:pPr>
      <w:r>
        <w:t>Por todo ello, como razona el Auto de la Sección Primera de la Sala de lo Penal de la Audiencia Nacional también impugnado, la acción está prescrita en este caso ya que “la petición de la reclusa tiene lugar en el mes de Junio de 2003” y solicita “la aplicación de un beneficio de redención ordinaria presuntamente correspondiente al periodo de Octubre de 1990 a Julio de 1993, habiendo transcurrido por tanto un periodo superior a 10 años en la mayoría del mismo”.</w:t>
      </w:r>
    </w:p>
    <w:p w:rsidR="0052098F" w:rsidRDefault="0052098F" w:rsidP="0052098F">
      <w:pPr>
        <w:pStyle w:val="TextoNormal"/>
      </w:pPr>
      <w:r>
        <w:t>b) Tampoco es irrazonable la simple cita en uno de los Autos del art. 46 de la Ley general presupuestaria de 4 de enero de 1977, invocación que la Sentencia descalifica, aplicándole nuestra jurisprudencia sobre normas derogadas.</w:t>
      </w:r>
    </w:p>
    <w:p w:rsidR="0052098F" w:rsidRDefault="0052098F" w:rsidP="0052098F">
      <w:pPr>
        <w:pStyle w:val="TextoNormal"/>
      </w:pPr>
      <w:r>
        <w:t>La censura pierde relieve, sin embargo, si se repara en que el texto refundido de la propia Ley general presupuestaria (Real Decreto Legislativo 1091/1988, de 23 de septiembre) mantuvo la norma del año 1977, con idéntica regulación y tenor literal, hasta la entrada en vigor de la reforma del año 2003. Por ello el Auto del Juzgado Central de Vigilancia sólo incurre, tal vez, en una imprecisión de cita que carece de relieve, por la sencilla razón de que la norma de este texto refundido era la aplicable al caso (por la regla del tempus regit actum) y es incontestable que el repetido texto refundido de la Ley siguió manteniendo, en idénticos términos a los del texto de 1977, la norma invocada y el tradicional plazo quinquenal de prescripción aplicable, y aplicado por quien tenía que aplicarlo, al periodo controvertido (que corría, recuérdese, de 1990 a 1993).</w:t>
      </w:r>
    </w:p>
    <w:p w:rsidR="0052098F" w:rsidRDefault="0052098F" w:rsidP="0052098F">
      <w:pPr>
        <w:pStyle w:val="TextoNormal"/>
      </w:pPr>
      <w:r>
        <w:lastRenderedPageBreak/>
        <w:t>Las simples imprecisiones carecen de relieve en amparo, porque no nos compete corregirlas. Y, por ejemplo, también incurre en imprecisión la Sentencia de la que disiento al citar la reforma de la Ley general presupuestaria operada por la Ley 47/2003 sin precisar que la misma era inaplicable al caso y carente de todo relieve, por lo que tampoco me parece eficaz para tachar de irrazonables las resoluciones judiciales recurridas. Si los Autos recurridos invocan Derecho derogado, lo hacen respecto de Derecho derogado por refundido en Derecho que lo mantiene vigente en términos idénticos (cfr. disposición derogatoria del Real Decreto Legislativo 1091/1988). La cita no produce, en fin, lesión alguna a los derechos de la solicitante de amparo.</w:t>
      </w:r>
    </w:p>
    <w:p w:rsidR="0052098F" w:rsidRDefault="0052098F" w:rsidP="0052098F">
      <w:pPr>
        <w:pStyle w:val="TextoNormal"/>
      </w:pPr>
      <w:r>
        <w:t>5. En la medida en que es razonable considerar que la solicitud de redención de penas es prescriptible y que, en el caso, la acción había prescrito, sobra o es redundante cualquier otro razonamiento para denegar el amparo. Es irrelevante también, por ello, el razonamiento que, entrando en el examen de los hechos, se expone —como si esta Sala de amparo ejerciese una jurisdicción de vigilancia penitenciaria— en el fundamento jurídico 5 de la Sentencia de la que disiento.</w:t>
      </w:r>
    </w:p>
    <w:p w:rsidR="0052098F" w:rsidRDefault="0052098F" w:rsidP="0052098F">
      <w:pPr>
        <w:pStyle w:val="TextoNormal"/>
      </w:pPr>
      <w:r>
        <w:t>Procedía, en definitiva, denegar el amparo.</w:t>
      </w:r>
    </w:p>
    <w:p w:rsidR="0052098F" w:rsidRDefault="0052098F" w:rsidP="0052098F">
      <w:pPr>
        <w:pStyle w:val="TextoNormal"/>
      </w:pPr>
      <w:r>
        <w:t>6. Garantizar la aplicación y máxima eficacia de los derechos fundamentales en nuestro ordenamiento, como derechos subjetivos y como valores objetivos del sistema constitucional, es una función que la Constitución atribuye, en paralelo, tanto a los Tribunales ordinarios como a este Tribunal Constitucional. El deslinde del campo es, como se sabe, polémico. Nos encontramos ante una aplicación concreta del principio de división de poderes (entre el Poder Judicial y el Tribunal Constitucional como órgano constitucional) en el sistema de equilibrios que establece la Constitución de 1978. Al prever ésta la participación conjunta de los Tribunales ordinarios y del Tribunal Constitucional en varios terrenos (como la cuestión de inconstitucionalidad o el recurso de amparo que ahora nos ocupa) hace inevitable la existencia de zonas compartidas, en las que el deslinde de competencias no es siempre fácil y corresponde no sólo a nuestra práctica sino también a los teóricos del Derecho constitucional.</w:t>
      </w:r>
    </w:p>
    <w:p w:rsidR="0052098F" w:rsidRDefault="0052098F" w:rsidP="0052098F">
      <w:pPr>
        <w:pStyle w:val="TextoNormal"/>
      </w:pPr>
      <w:r>
        <w:t>Cualquier esfuerzo es pequeño para fijar con claridad esos límites. A poner de relieve las visiones contrapuestas en el debate se dirigen las razones de disentimiento expuestas en este Voto particular.</w:t>
      </w:r>
    </w:p>
    <w:p w:rsidR="0052098F" w:rsidRDefault="0052098F" w:rsidP="0052098F">
      <w:pPr>
        <w:pStyle w:val="TextoNormal"/>
      </w:pPr>
      <w:r>
        <w:t>En Madrid, en la fecha de la Sentencia.</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7" w:name="SENTENCIA_2008_44"/>
      <w:r>
        <w:lastRenderedPageBreak/>
        <w:t>SENTENCIA 44/2008, de 10 de marzo de 2008</w:t>
      </w:r>
    </w:p>
    <w:bookmarkEnd w:id="47"/>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ECLI:ES:TC:2008:44</w:t>
      </w:r>
    </w:p>
    <w:p w:rsidR="0052098F" w:rsidRDefault="0052098F" w:rsidP="0052098F">
      <w:pPr>
        <w:pStyle w:val="SntesisDescriptiva"/>
      </w:pPr>
    </w:p>
    <w:p w:rsidR="0052098F" w:rsidRDefault="0052098F" w:rsidP="0052098F">
      <w:pPr>
        <w:pStyle w:val="SntesisDescriptiva"/>
      </w:pPr>
      <w:r>
        <w:t>Recurso de amparo 4423-2005. Promovido por el Ayuntamiento de Martos respecto a la Sentencia y el Auto de nulidad de un Juzgado de lo Contencioso-Administrativo de Jaén que estimaron la demanda del Banco Vitalicio de España sobre responsabilidad patrimonial de la Administración por daños.</w:t>
      </w:r>
    </w:p>
    <w:p w:rsidR="0052098F" w:rsidRDefault="0052098F" w:rsidP="0052098F">
      <w:pPr>
        <w:pStyle w:val="SntesisDescriptiva"/>
      </w:pPr>
    </w:p>
    <w:p w:rsidR="0052098F" w:rsidRDefault="0052098F" w:rsidP="0052098F">
      <w:pPr>
        <w:pStyle w:val="SntesisAnaltica"/>
      </w:pPr>
      <w:r>
        <w:t>Vulneración del derecho a la tutela judicial efectiva (incongruencia): sentencia que deja sin respuesta la alegación de la Administración pública demandada acerca de la caducidad de la acción de responsabilidad.</w:t>
      </w:r>
    </w:p>
    <w:p w:rsidR="0052098F" w:rsidRDefault="0052098F" w:rsidP="0052098F">
      <w:pPr>
        <w:pStyle w:val="SntesisAnaltica"/>
      </w:pPr>
    </w:p>
    <w:p w:rsidR="0052098F" w:rsidRDefault="0052098F" w:rsidP="0052098F">
      <w:pPr>
        <w:pStyle w:val="Extracto"/>
      </w:pPr>
      <w:r>
        <w:t>1.</w:t>
      </w:r>
      <w:r>
        <w:tab/>
        <w:t>Al dejar sin resolver la cuestión principal y autónoma de la extemporaneidad del recurso contencioso-administrativo por el transcurso de dos meses sin interponerlo desde la notificación de la resolución de archivo de la reclamación, el Juez de lo contencioso-administrativo ha incurrido en incongruencia por omisión, lo que vulnera el derecho a la tutela judicial efectiva [FJ 3].</w:t>
      </w:r>
    </w:p>
    <w:p w:rsidR="0052098F" w:rsidRDefault="0052098F" w:rsidP="0052098F">
      <w:pPr>
        <w:pStyle w:val="Extracto"/>
      </w:pPr>
    </w:p>
    <w:p w:rsidR="0052098F" w:rsidRDefault="0052098F" w:rsidP="0052098F">
      <w:pPr>
        <w:pStyle w:val="Extracto"/>
      </w:pPr>
      <w:r>
        <w:t>2.</w:t>
      </w:r>
      <w:r>
        <w:tab/>
        <w:t>En una resolución posterior, se reconoce la incongruencia omisiva y a continuación se da respuesta a una objeción no planteada por la corporación demandante de amparo, al confundir el órgano judicial la prescripción de la acción de responsabilidad y el transcurso del plazo de interposición del recurso contencioso-administrativo como causa de oposición al mismo [FJ 3].</w:t>
      </w:r>
    </w:p>
    <w:p w:rsidR="0052098F" w:rsidRDefault="0052098F" w:rsidP="0052098F">
      <w:pPr>
        <w:pStyle w:val="Extracto"/>
      </w:pPr>
    </w:p>
    <w:p w:rsidR="0052098F" w:rsidRDefault="0052098F" w:rsidP="0052098F">
      <w:pPr>
        <w:pStyle w:val="Extracto"/>
      </w:pPr>
      <w:r>
        <w:t>3.</w:t>
      </w:r>
      <w:r>
        <w:tab/>
        <w:t>Las resoluciones judiciales dejaron sin respuesta una pretensión autónoma de capital importancia, que en ningún caso cabe entender tácitamente resuelta y cuya irresolución generó la indefensión de la corporación municipal [FJ 3].</w:t>
      </w:r>
    </w:p>
    <w:p w:rsidR="0052098F" w:rsidRDefault="0052098F" w:rsidP="0052098F">
      <w:pPr>
        <w:pStyle w:val="Extracto"/>
      </w:pPr>
    </w:p>
    <w:p w:rsidR="0052098F" w:rsidRDefault="0052098F" w:rsidP="0052098F">
      <w:pPr>
        <w:pStyle w:val="Extracto"/>
      </w:pPr>
      <w:r>
        <w:t>4.</w:t>
      </w:r>
      <w:r>
        <w:tab/>
        <w:t>Doctrina constitucional sobre incongruencia (SSTC 20/1982, 40/2006) [FJ 2].</w:t>
      </w:r>
    </w:p>
    <w:p w:rsidR="0052098F" w:rsidRDefault="0052098F" w:rsidP="0052098F">
      <w:pPr>
        <w:pStyle w:val="Extracto"/>
      </w:pPr>
    </w:p>
    <w:p w:rsidR="0052098F" w:rsidRDefault="0052098F" w:rsidP="0052098F">
      <w:pPr>
        <w:pStyle w:val="Extracto"/>
      </w:pPr>
      <w:r>
        <w:t>5.</w:t>
      </w:r>
      <w:r>
        <w:tab/>
        <w:t>Procede declarar que ha sido vulnerado el derecho a la tutela judicial efectiva de la corporación municipal recurrente y anular las resoluciones impugnadas, retrotrayendo las actuaciones al momento anterior al dictado de la Sentencia para que se pronuncie otra con respeto al derecho fundamental vulnerado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4423-2005, promovido por el Excmo. Ayuntamiento de Martos, representado por el Procurador de los Tribunales don Alejandro González Salinas y asistido por el Abogado don Ricardo Varón Cobos, contra la Sentencia de 21 de abril de 2005 y el Auto de 27 de mayo de 2005, ambos dictados por el Juez de lo Contencioso-Administrativo núm. 1 de Jaén en el procedimiento abreviado núm. 61-2005, Sentencia por la cual se estimó el recurso contencioso-administrativo deducido contra la desestimación presunta de la reclamación de responsabilidad patrimonial deducida contra el Excmo. Ayuntamiento de Martos. Ha intervenido el Banco Vitalicio de España, compañía anónima de seguros y reaseguros, representado por Procurador de los Tribunales don José Manuel de Dorremochea Aramburu y asistido por la Letrada doña Ana María Castro Calleja, así como el Ministerio Fiscal. Ha sido Ponente el Magistrado don Guillermo Jiménez Sánchez,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Por escrito presentado en el Registro General de este Tribunal el día 15 de junio de 2005 el Procurador de los Tribunales don Alejandro González Salinas, en representación del Excmo. Ayuntamiento de Martos, dedujo demanda de amparo contra las resoluciones judiciales de las que se deja hecho mérito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de los que la presente demanda de amparo trae causa son, sucintamente expuestos, los siguientes: </w:t>
      </w:r>
    </w:p>
    <w:p w:rsidR="0052098F" w:rsidRDefault="0052098F" w:rsidP="0052098F">
      <w:pPr>
        <w:pStyle w:val="TextoNormal"/>
      </w:pPr>
      <w:r>
        <w:t xml:space="preserve">a) La compañía anónima de seguros y reaseguros Banco Vitalicio de España, que había satisfecho a su asegurado los daños causados en un vehículo de la propiedad de éste al golpearse en un badén sin señalizar existente en la calle Teniente General Chamorro de la localidad de Martos, promovió mediante escrito presentado el 5 de diciembre de 2003 la apertura de un expediente de responsabilidad patrimonial contra el Ayuntamiento demandante de amparo para resarcirse de lo satisfecho al asegurado. El Ayuntamiento inició el expediente y requirió de la aseguradora que aportara datos sobre los hechos en razón de los cuales se solicitaba la indemnización de los daños causados, con apercibimiento de que, de no aportarse la documentación interesada en diez días, se la tendría por desistida con archivo del expediente. Transcurrido el indicado plazo el Ayuntamiento de Martos dictó acuerdo de archivo del expediente el 17 de febrero de 2004, notificándose tal acuerdo por correo certificado con acuse de recibo el 24 de febrero de 2004, con expresa mención en el texto del acuerdo de que contra él podía interponerse recurso potestativo de reposición en el plazo de un mes o recurso contencioso-administrativo en el término de dos meses. </w:t>
      </w:r>
    </w:p>
    <w:p w:rsidR="0052098F" w:rsidRDefault="0052098F" w:rsidP="0052098F">
      <w:pPr>
        <w:pStyle w:val="TextoNormal"/>
      </w:pPr>
      <w:r>
        <w:t xml:space="preserve">Con fecha 9 de febrero de 2005 la aseguradora Banco Vitalicio de España interpuso recurso contencioso-administrativo contra la desestimación presunta de la reclamación de responsabilidad patrimonial a la que estamos haciendo referencia. Señalada la vista para el día </w:t>
      </w:r>
      <w:r>
        <w:lastRenderedPageBreak/>
        <w:t xml:space="preserve">que por su turno le correspondía se celebró el juicio, en el cual la corporación municipal demandada opuso “la prescripción por caducidad de la acción”, recogiéndose en el acta del juicio que la alegación se realizó los siguientes términos: “alega la prescripción por caducidad de la acción. ... habiendo transcurrido más de dos meses desde la notificación de la resolución administrativa hasta que interpone el recurso”. Tal alegación fue respondida por la compañía de seguros aduciendo que “el documento 8 de la demanda de 22 de noviembre de 2004, es un telegrama interrumpiendo la prescripción, estando dentro del plazo de un año, que no está prescrita su acción”. </w:t>
      </w:r>
    </w:p>
    <w:p w:rsidR="0052098F" w:rsidRDefault="0052098F" w:rsidP="0052098F">
      <w:pPr>
        <w:pStyle w:val="TextoNormal"/>
      </w:pPr>
      <w:r>
        <w:t xml:space="preserve">Seguidamente se dictó Sentencia estimatoria del recurso, el 21 de abril de 2005 sin que en esta resolución se hiciera referencia alguna a la excepción opuesta por la parte demandada, razón por la cual ésta dedujo incidente de nulidad de actuaciones, alegando a tal efecto que en el acto del juicio o vista oral se había alegado la prescripción por caducidad de la acción al entender que, habiendo existido una reclamación que dio lugar a un expediente administrativo, es la fecha de la notificación de la resolución de archivo del mismo la que marca el inicio del cómputo del plazo de dos meses para ejercitar la acción de responsabilidad a través del recurso contencioso-administrativo. </w:t>
      </w:r>
    </w:p>
    <w:p w:rsidR="0052098F" w:rsidRDefault="0052098F" w:rsidP="0052098F">
      <w:pPr>
        <w:pStyle w:val="TextoNormal"/>
      </w:pPr>
      <w:r>
        <w:t>El Juez desestimó el incidente mediante Auto de 27 de mayo de 2005, en el cual, admitiendo que la cuestión no había sido resuelta en la Sentencia, se recogió la doctrina jurisprudencial según la cual el ejercicio de la acción de responsabilidad se interrumpe por cualquier reclamación efectuada, de modo que, en el presente caso, al haberse ejercitado una reclamación administrativa de responsabilidad patrimonial que interrumpía el plazo de prescripción, la acción judicial se había ejercitado dentro del plazo de un año.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El Ayuntamiento demandante de amparo aduce vulneración de su derecho a la tutela judicial efectiva (art. 24.1 CE), pues, en su opinión, la Sentencia habría incurrido en el vicio de incongruencia omisiva, toda vez que no dio respuesta a la excepción de caducidad legalmente contemplada en relación con la interposición del recurso contencioso-administrativo, sino que resolvió en sentido desestimatorio una excepción de prescripción de la acción de responsabilidad por el transcurso del plazo de un año que en ningún caso había sido hecha valer por el demandante de amparo. A tal efecto recuerda que en el acto del juicio oral, único momento en el que podía hacerlo, invocó como cuestión previa la caducidad de la acción por el transcurso del plazo para ejercitarla, exponiendo que, si bien el plazo para exigir ese tipo de responsabilidad es de un año, sin embargo, cuando se ha entablado una reclamación administrativa que concluye por una resolución de archivo debidamente notificada, el plazo para interponer el recurso contencioso-administrativo es de dos meses contados desde la fecha en que haya sido notificada dicha resolución, pues ya no cuenta el plazo de un año para entablar la reclamación administrativa. Sin embargo en la Sentencia del Juez de lo Contencioso-Administrativo ninguna respuesta se da a tal alegación y se entra a resolver sobre el fondo de la responsabilidad patrimonial. A lo anterior añade la corporación municipal que en el Auto desestimatorio del incidente de nulidad de actuaciones, obviando la existencia de reclamación administrativa previa de responsabilidad patrimonial que había concluido con una resolución de archivo del expediente, se insiste en la referencia al plazo de un año para el ejercicio de la acción de responsabilidad, aludiendo al carácter interruptivo del ejercicio de la acción penal pese a que en el supuesto contemplado no se haya tramitado causa penal alguna. </w:t>
      </w:r>
    </w:p>
    <w:p w:rsidR="0052098F" w:rsidRDefault="0052098F" w:rsidP="0052098F">
      <w:pPr>
        <w:pStyle w:val="TextoNormal"/>
      </w:pPr>
      <w:r>
        <w:t xml:space="preserve">Continúa el Ayuntamiento demandante de amparo examinando el régimen jurídico del plazo de interposición del recurso contencioso-administrativo y la aplicación al caso de tal régimen jurídico, concluyendo finalmente con la exposición de los criterios determinantes </w:t>
      </w:r>
      <w:r>
        <w:lastRenderedPageBreak/>
        <w:t>del vicio de incongruencia en que, como ha quedado expuesto, entiende ha incurrido la Sentencia de 21 de abril de 2005 del Juez de lo Contencioso-Administrativo núm. 1 de Jaén.</w:t>
      </w:r>
    </w:p>
    <w:p w:rsidR="0052098F" w:rsidRDefault="0052098F" w:rsidP="0052098F">
      <w:pPr>
        <w:pStyle w:val="TextoNormal"/>
      </w:pPr>
    </w:p>
    <w:p w:rsidR="0052098F" w:rsidRDefault="0052098F" w:rsidP="0052098F">
      <w:pPr>
        <w:pStyle w:val="TextoNormal"/>
      </w:pPr>
      <w:r w:rsidRPr="0052098F">
        <w:rPr>
          <w:rStyle w:val="NumeroAFNegritaCaracter"/>
        </w:rPr>
        <w:t>4</w:t>
      </w:r>
      <w:r>
        <w:t>. En virtud de providencia de 24 de julio de 2007, la Sala Segunda de este Tribunal, de conformidad con lo dispuesto en el art. 11.2 LOTC admitió a trámite la demanda de amparo y, obrando ya en este Tribunal certificación de las actuaciones judiciales y del expediente administrativo de los que este recurso de amparo trae causa, acordó, en aplicación de lo dispuesto en el art. 51 de la indicada Ley Orgánica, dirigir atenta comunicación al Juzgado de lo Contencioso-Administrativo núm. 1 de Jaén a fin de que, en plazo no superior a diez días, emplazase a quienes hubieran sido parte en el proceso judicial, salvo a la corporación demandante de amparo, para que, si lo desearan, pudiesen comparecer en este recurso de amparo.</w:t>
      </w:r>
    </w:p>
    <w:p w:rsidR="0052098F" w:rsidRDefault="0052098F" w:rsidP="0052098F">
      <w:pPr>
        <w:pStyle w:val="TextoNormal"/>
      </w:pPr>
    </w:p>
    <w:p w:rsidR="0052098F" w:rsidRDefault="0052098F" w:rsidP="0052098F">
      <w:pPr>
        <w:pStyle w:val="TextoNormal"/>
      </w:pPr>
      <w:r w:rsidRPr="0052098F">
        <w:rPr>
          <w:rStyle w:val="NumeroAFNegritaCaracter"/>
        </w:rPr>
        <w:t>5</w:t>
      </w:r>
      <w:r>
        <w:t>. Mediante diligencia de ordenación de 11 de enero de 2008, se tuvo por personado y parte en este proceso constitucional al Procurador don José Manuel Dorremochea Aramburu en representación de Banco Vitalicio de España, compañía anónima de seguros y reaseguros, así como dar vista de las actuaciones recibidas a las partes personadas y al Ministerio Fiscal por término común de veinte días, dentro de los cuales podrían presentar las alegaciones que estimasen pertinentes, conforme a lo dispuesto en el art. 52.1 de la Ley Orgánica de este Tribunal.</w:t>
      </w:r>
    </w:p>
    <w:p w:rsidR="0052098F" w:rsidRDefault="0052098F" w:rsidP="0052098F">
      <w:pPr>
        <w:pStyle w:val="TextoNormal"/>
      </w:pPr>
    </w:p>
    <w:p w:rsidR="0052098F" w:rsidRDefault="0052098F" w:rsidP="0052098F">
      <w:pPr>
        <w:pStyle w:val="TextoNormal"/>
      </w:pPr>
      <w:r w:rsidRPr="0052098F">
        <w:rPr>
          <w:rStyle w:val="NumeroAFNegritaCaracter"/>
        </w:rPr>
        <w:t>6</w:t>
      </w:r>
      <w:r>
        <w:t>. A través de escrito presentado el 31 de enero de 2008 la representación procesal del Ayuntamiento demandante de amparo formuló alegaciones, insistiendo en la argumentación vertida en su escrito de demanda.</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Ministerio público, en escrito presentado el 1 de febrero de 2008, interesó el otorgamiento del amparo solicitado por vulneración del derecho a la tutela judicial efectiva y, como consecuencia de ello, la retroacción de las actuaciones al momento anterior al dictado de la Sentencia impugnada. </w:t>
      </w:r>
    </w:p>
    <w:p w:rsidR="0052098F" w:rsidRDefault="0052098F" w:rsidP="0052098F">
      <w:pPr>
        <w:pStyle w:val="TextoNormal"/>
      </w:pPr>
      <w:r>
        <w:t xml:space="preserve">Tras recodar el iter procesal que condujo al dictado de la Sentencia y el Auto en relación con los cuales se demanda amparo, destaca que la lectura del acta del juicio oral pone de relieve que la corporación municipal basó su estrategia defensiva, no sólo en rebatir la procedencia de la indemnización que se pretendía frente a ella, sino también en la alegación de la extemporaneidad del recurso contencioso-administrativo deducido frente a la resolución que archivaba el expediente iniciado para su reclamación. Pese a que en ocasiones la representación procesal del Ayuntamiento haga uso de una terminología algo confusa, ello puede asegurarse a partir de la alegación de que la interposición del recurso se había producido una vez que habían transcurrido dos meses desde la notificación de la resolución administrativa que acordó el archivo del expediente, lo cual debía conducir a la inadmisión del recurso de conformidad con lo dispuesto en el art. 46.1 de la Ley 29/1998, de 13 de julio, reguladora de la jurisdicción contencioso-administrativa. </w:t>
      </w:r>
    </w:p>
    <w:p w:rsidR="0052098F" w:rsidRDefault="0052098F" w:rsidP="0052098F">
      <w:pPr>
        <w:pStyle w:val="TextoNormal"/>
      </w:pPr>
      <w:r>
        <w:t xml:space="preserve">A partir de este dato, esto es, de la efectiva invocación de la extemporaneidad de la interposición del recurso, constata el Fiscal que tal causa de oposición, pese a tener entidad propia y constituir una defensa autónoma que exigía un pronunciamiento expreso, previo e independiente del que pudiera merecer el fondo de la cuestión suscitada, no obtuvo respuesta alguna en la Sentencia del Juez de lo Contencioso-Administrativo, incidiendo así ésta en incongruencia omisiva y, por tanto, en vulneración del derecho a la tutela judicial </w:t>
      </w:r>
      <w:r>
        <w:lastRenderedPageBreak/>
        <w:t xml:space="preserve">efectiva reconocido en el art. 24.1 CE, cuyo contenido pone de relieve el Fiscal a través de la cita de algunas de las numerosas resoluciones de este Tribunal en las que tal cuestión ha sido abordada. </w:t>
      </w:r>
    </w:p>
    <w:p w:rsidR="0052098F" w:rsidRDefault="0052098F" w:rsidP="0052098F">
      <w:pPr>
        <w:pStyle w:val="TextoNormal"/>
      </w:pPr>
      <w:r>
        <w:t>Seguidamente aborda el Ministerio público la cuestión de si el Auto desestimatorio del incidente de nulidad de actuaciones promovido por la corporación demandante de amparo, que también es objeto de impugnación en el presente recurso de amparo, sirvió o no para reparar la lesión del derecho a la tutela judicial efectiva ocasionado por la Sentencia. A este propósito pone de relieve que el Auto impugnado, tras reconocer que nada se resolvió en cuanto a lo aducido por el Ayuntamiento, desarrolla después un razonamiento totalmente ajeno a la alegación formulada, pues, mediante la cita de jurisprudencia del Tribunal Supremo, alude a la teoría de la actio nata, que ninguna parte había cuestionado, así como al efecto interruptivo que la tramitación de una causa penal tiene respecto del plazo de prescripción de un año establecido legalmente para plantear ante la Administración la reclamación de responsabilidad patrimonial, proceso penal que en el supuesto enjuiciado no se había tramitado y cuya regulación, consecuentemente, ninguna relevancia tenía para resolver la causa de oposición planteada por la corporación municipal. De ahí que el Fiscal considere que el Auto del Juez de lo Contencioso-Administrativo ha incurrido en incongruencia por error, pues deja sin resolver la cuestión planteada (la extemporaneidad del recurso contencioso-administrativo por el transcurso de dos meses sin interponerlo desde la notificación de la resolución de archivo de la reclamación) resolviendo en cambio como si la cuestión suscitada fuera la relativa al plazo de prescripción establecido para el ejercicio de la acción de responsabilidad patrimonial de la Administración.</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La representación procesal de Banco Vitalicio de España, compañía anónima de seguros y reaseguros, formuló alegaciones, mediante escrito presentado el 14 de febrero de 2008 en el Registro General de este Tribunal, en las cuales solicita la desestimación de la demanda de amparo. A tal efecto razona que ninguna indefensión se ha producido al Ayuntamiento demandante de amparo, pues el plazo de prescripción de un año a efectos del ejercicio de la acción de responsabilidad patrimonial quedó interrumpido por la publicación el 7 de febrero de 2005 de un edicto del Ayuntamiento a través del cual se requería al perjudicado, que obraba en el expediente administrativo en representación de la compañía de seguros, para que mejorase la solicitud formulada ante el Ayuntamiento en demanda de responsabilidad patrimonial. De ahí que el recurso contencioso-administrativo interpuesto el 9 de febrero siguiente estuviera dentro de plazo al haberse interrumpido la prescripción por la publicación del referido edicto. </w:t>
      </w:r>
    </w:p>
    <w:p w:rsidR="0052098F" w:rsidRDefault="0052098F" w:rsidP="0052098F">
      <w:pPr>
        <w:pStyle w:val="TextoNormal"/>
      </w:pPr>
      <w:r>
        <w:t>A lo anterior añade la compañía aseguradora que el plazo de prescripción de un año habría de computarse desde el “último acto”, esto es, desde el 1 de marzo de 2004, fecha en la que, según afirma la corporación municipal, se habría notificado la resolución de archivo del expediente de responsabilidad patrimonial; y que la caducidad del plazo de interposición del recurso contencioso-administrativo se habría visto interrumpida por la publicación en el BOP del edicto del que se ha hecho mención. Y por lo demás considera que la excepción de prescripción sí fue resuelta en la Sentencia del Juez de lo Contencioso-Administrativo, desde el momento en que entró a conocer del fondo del asunto debatido.</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6 de marzo de 2008 se señaló para la deliberación y votación de la presente Sentencia el día 10 de dicho mes y año.</w:t>
      </w:r>
    </w:p>
    <w:p w:rsidR="0052098F" w:rsidRDefault="0052098F" w:rsidP="0052098F">
      <w:pPr>
        <w:pStyle w:val="TextoNormal"/>
      </w:pPr>
    </w:p>
    <w:p w:rsidR="0052098F" w:rsidRDefault="0052098F" w:rsidP="0052098F">
      <w:pPr>
        <w:pStyle w:val="TextoNormalNegritaCentrado"/>
        <w:keepNext/>
      </w:pPr>
      <w:r>
        <w:lastRenderedPageBreak/>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cuestión a resolver en el presente recurso es la de si la Sentencia de 21 de abril de 2005 y el Auto de 27 de mayo de 2005, ambos dictados por el Juez de lo Contencioso-Administrativo núm. 1 de Jaén en el procedimiento abreviado núm.  61-2005, vulneraron o no el derecho de la corporación municipal demandante de amparo a la tutela judicial efectiva, reconocido en el art. 24.1 CE.</w:t>
      </w:r>
    </w:p>
    <w:p w:rsidR="0052098F" w:rsidRDefault="0052098F" w:rsidP="0052098F">
      <w:pPr>
        <w:pStyle w:val="TextoNormal"/>
      </w:pPr>
      <w:r>
        <w:t>Según la demanda la Sentencia impugnada no dio respuesta, ni expresa ni tácita, a la alegación formulada en el acto del juicio oral según la cual se habría producido “la prescripción por caducidad de la acción” al haber transcurrido más de dos meses desde la notificación de la resolución administrativa de archivo del expediente de responsabilidad patrimonial hasta la interposición del recurso contencioso-administrativo iniciado por Banco Vitalicio de España, compañía anónima de seguros y reaseguros. La incongruencia omisiva que tal omisión comporta no habría sido reparada por el Auto también impugnado en amparo, pues tampoco en él se ofrece una respuesta a la causa de oposición planteada, sino que se desestima una supuesta excepción de prescripción por trascurso del plazo de un año establecido para reclamar la responsabilidad patrimonial a la Administración, excepción que en ningún caso había sido ejercitada por el Ayuntamiento demandante de amparo.</w:t>
      </w:r>
    </w:p>
    <w:p w:rsidR="0052098F" w:rsidRDefault="0052098F" w:rsidP="0052098F">
      <w:pPr>
        <w:pStyle w:val="TextoNormal"/>
      </w:pPr>
      <w:r>
        <w:t>Mientras el Ministerio Fiscal postula la estimación de la demanda de amparo en unas precisas alegaciones, coincidentes en lo sustancial con la queja esgrimida por la corporación demandante, la representación procesal de Banco Vitalicio de España, compañía anónima de seguros y reaseguros, interesa la desestimación de la demanda de amparo al considerar que en el caso no había transcurrido el plazo de un año establecido para el ejercicio de la acción de responsabilidad patrimonial de la Administración.</w:t>
      </w:r>
    </w:p>
    <w:p w:rsidR="0052098F" w:rsidRDefault="0052098F" w:rsidP="0052098F">
      <w:pPr>
        <w:pStyle w:val="TextoNormal"/>
      </w:pPr>
    </w:p>
    <w:p w:rsidR="0052098F" w:rsidRDefault="0052098F" w:rsidP="0052098F">
      <w:pPr>
        <w:pStyle w:val="TextoNormal"/>
      </w:pPr>
      <w:r w:rsidRPr="0052098F">
        <w:rPr>
          <w:rStyle w:val="NumeroAFNegritaCaracter"/>
        </w:rPr>
        <w:t>2</w:t>
      </w:r>
      <w:r>
        <w:t>. La doctrina de este Tribunal en relación con la vulneración del derecho a la tutela judicial efectiva que supone el dictado de una resolución judicial incongruente es tan prolija como lineal en su significación. Para evitar una exposición exhaustiva de la misma baste reproducir la síntesis efectuada en la STC 40/2006, de 13 de febrero, en la cual afirmábamos que:</w:t>
      </w:r>
    </w:p>
    <w:p w:rsidR="0052098F" w:rsidRDefault="0052098F" w:rsidP="0052098F">
      <w:pPr>
        <w:pStyle w:val="TextoNormal"/>
      </w:pPr>
      <w:r>
        <w:t xml:space="preserve">“La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174/2004, de 18 de octubre, FJ 3; entre muchas otras). 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w:t>
      </w:r>
      <w:r>
        <w:lastRenderedPageBreak/>
        <w:t>reconocido en el art. 24.1 CE.  Se ha elaborado así un cuerpo de doctrina consolidado que puede sistematizarse, a los efectos que a este amparo interesan, en los siguientes puntos:</w:t>
      </w:r>
    </w:p>
    <w:p w:rsidR="0052098F" w:rsidRDefault="0052098F" w:rsidP="0052098F">
      <w:pPr>
        <w:pStyle w:val="TextoNormal"/>
      </w:pPr>
      <w:r>
        <w:t>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52098F" w:rsidRDefault="0052098F" w:rsidP="0052098F">
      <w:pPr>
        <w:pStyle w:val="TextoNormal"/>
      </w:pPr>
      <w:r>
        <w:t xml:space="preserve">b)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w:t>
      </w:r>
      <w:r>
        <w:lastRenderedPageBreak/>
        <w:t>o exponiendo las alegaciones que tuvieran por conveniente en apoyo de sus respectivas posiciones procesales.</w:t>
      </w:r>
    </w:p>
    <w:p w:rsidR="0052098F" w:rsidRDefault="0052098F" w:rsidP="0052098F">
      <w:pPr>
        <w:pStyle w:val="TextoNormal"/>
      </w:pPr>
      <w:r>
        <w:t>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0052098F" w:rsidRDefault="0052098F" w:rsidP="0052098F">
      <w:pPr>
        <w:pStyle w:val="TextoNormal"/>
      </w:pPr>
      <w:r>
        <w:t>Por lo demás, en la misma Sentencia, con cita de la STC 100/2004, de 2 de junio, recordábamos que:</w:t>
      </w:r>
    </w:p>
    <w:p w:rsidR="0052098F" w:rsidRDefault="0052098F" w:rsidP="0052098F">
      <w:pPr>
        <w:pStyle w:val="TextoNormal"/>
      </w:pPr>
      <w:r>
        <w:t>“[L]a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de la que puede ser exponente la STC 141/2002, de 17 de junio, cobra especial relevancia en el ámbito de la jurisdicción contencioso-administrativa, en la cual es su propia norma reguladora (art. 43 LJCA de 1956) la que ordena a los Tribunales de esta jurisdicción que fallen ‘dentro del límite de las pretensiones formuladas por las partes y de las alegaciones deducidas para fundamentar el recurso y la oposición’, mandato este redactado en términos semejantes en el art. 33 LJCA de 1998, al ordenar que el enjuiciamiento se produzca ‘dentro del límite de las pretensiones formuladas por las partes y de los motivos que fundamenten el recurso y la oposición”.</w:t>
      </w:r>
    </w:p>
    <w:p w:rsidR="0052098F" w:rsidRDefault="0052098F" w:rsidP="0052098F">
      <w:pPr>
        <w:pStyle w:val="TextoNormal"/>
      </w:pPr>
    </w:p>
    <w:p w:rsidR="0052098F" w:rsidRDefault="0052098F" w:rsidP="0052098F">
      <w:pPr>
        <w:pStyle w:val="TextoNormal"/>
      </w:pPr>
      <w:r w:rsidRPr="0052098F">
        <w:rPr>
          <w:rStyle w:val="NumeroAFNegritaCaracter"/>
        </w:rPr>
        <w:t>3</w:t>
      </w:r>
      <w:r>
        <w:t>. La aplicación al caso de la doctrina expuesta ha de partir de que, aun cuando las alegaciones formuladas por Banco Vitalicio de España, compañía anónima de seguros y reaseguros, aborden las cuestiones de si se interrumpió o no el término de la prescripción del plazo de un año previsto para instar ante la Administración la declaración de responsabilidad patrimonial y la de si había transcurrido o no el plazo previsto para la interposición del recurso contencioso-administrativo iniciado por la compañía aseguradora, no nos corresponde pronunciarnos al respecto, pues se trata de consideraciones atinentes a la interpretación y aplicación de la legalidad ordinaria que se encuentran fuera del ámbito de conocimiento de este Tribunal en el marco del recurso de amparo y que, además, no son las planteadas por la corporación municipal demandante de amparo como fundamento de su queja. Lo que este Tribunal ha de enjuiciar es si el órgano judicial dio o no respuesta a la totalidad de las pretensiones hechas valer en el caso por el Ayuntamiento, ya sea de modo explícito, ya de manera implícita.</w:t>
      </w:r>
    </w:p>
    <w:p w:rsidR="0052098F" w:rsidRDefault="0052098F" w:rsidP="0052098F">
      <w:pPr>
        <w:pStyle w:val="TextoNormal"/>
      </w:pPr>
      <w:r>
        <w:t xml:space="preserve">Pues bien, aun cuando es cierto que, como apunta el Fiscal, la alegación de la extemporaneidad del recurso contencioso-administrativo pudiera haber revestido una mayor precisión dogmática (o al menos la pudiera haber tenido el reflejo en el acta de tal alegación), es lo cierto que en el acto del juicio oral el Ayuntamiento demandante de amparo adujo que habían transcurrido dos meses desde que se había notificado la resolución de archivo que </w:t>
      </w:r>
      <w:r>
        <w:lastRenderedPageBreak/>
        <w:t>puso fin al expediente de reclamación de responsabilidad patrimonial iniciado por Banco Vitalicio de España, compañía anónima de seguros y reaseguros, calificando la consecuencia de tal circunstancia (al menos, insistimos, así se reflejó en el acta del juicio) de prescripción por caducidad de la acción. Pues bien, la lectura de la Sentencia del Juez de lo Contencioso-Administrativo ninguna respuesta dio a tal alegación, que, sin esfuerzo alguno, cabe calificar de principal y autónoma, y que por ello requería una respuesta específica y además previa a que el órgano judicial entrara a conocer si resultaba procedente o no declarar la responsabilidad administrativa.</w:t>
      </w:r>
    </w:p>
    <w:p w:rsidR="0052098F" w:rsidRDefault="0052098F" w:rsidP="0052098F">
      <w:pPr>
        <w:pStyle w:val="TextoNormal"/>
      </w:pPr>
      <w:r>
        <w:t>A lo anterior ha de añadirse que tal omisión, pese a que es reconocida en el propio Auto de 27 de mayo de 2005, no fue reparada por éste, sino que en él se da respuesta a la cuestión de si había transcurrido o no el término de un año previsto legalmente para solicitar de la Administración la declaración de responsabilidad patrimonial. En suma, se reconoce la incongruencia omisiva y a continuación se da respuesta a una objeción no planteada por la corporación demandante de amparo. El error en que incurre el órgano judicial al confundir la prescripción de la acción de responsabilidad y el transcurso del plazo de interposición del recurso contencioso-administrativo como causa de oposición al mismo utilizada por el Ayuntamiento demandado en el proceso judicial pudo haber sido propiciado porque en el acta del juicio oral consta que la compañía aseguradora se opuso a la alegación de extemporaneidad del recurso contencioso-administrativo, como si por la Administración demandada en el proceso judicial se hubiera pretendido hacer valer la prescripción del derecho a reclamar los daños patrimoniales sufridos como consecuencia del funcionamiento de los servicios públicos. Ahora bien, tal circunstancia no enerva el hecho cierto de que las resoluciones judiciales dejaron sin respuesta una pretensión autónoma de capital importancia, que en ningún caso cabe entender tácitamente resuelta y cuya irresolución generó la indefensión de la corporación municipal.</w:t>
      </w:r>
    </w:p>
    <w:p w:rsidR="0052098F" w:rsidRDefault="0052098F" w:rsidP="0052098F">
      <w:pPr>
        <w:pStyle w:val="TextoNormal"/>
      </w:pPr>
    </w:p>
    <w:p w:rsidR="0052098F" w:rsidRDefault="0052098F" w:rsidP="0052098F">
      <w:pPr>
        <w:pStyle w:val="TextoNormal"/>
      </w:pPr>
      <w:r w:rsidRPr="0052098F">
        <w:rPr>
          <w:rStyle w:val="NumeroAFNegritaCaracter"/>
        </w:rPr>
        <w:t>4</w:t>
      </w:r>
      <w:r>
        <w:t>. La estimación de la demanda de amparo ha de conducir, como forma de restablecimiento del derecho fundamental invocado, a la anulación tanto de la Sentencia como del Auto impugnados, con retroacción de las actuaciones judiciales al momento de dictar Sentencia para que se pronuncie otra con respeto al derecho fundamental vulnerado.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el Excmo. Ayuntamiento de Martos, y, en consecuencia:</w:t>
      </w:r>
    </w:p>
    <w:p w:rsidR="0052098F" w:rsidRDefault="0052098F" w:rsidP="0052098F">
      <w:pPr>
        <w:pStyle w:val="TextoNormal"/>
      </w:pPr>
      <w:r>
        <w:t>1º Declarar que ha sido vulnerado el derecho a la tutela judicial efectiva (art. 24.1 CE) de la corporación municipal recurrente.</w:t>
      </w:r>
    </w:p>
    <w:p w:rsidR="0052098F" w:rsidRDefault="0052098F" w:rsidP="0052098F">
      <w:pPr>
        <w:pStyle w:val="TextoNormal"/>
      </w:pPr>
      <w:r>
        <w:t>2º Restablecerla en la integridad de su derecho y, a tal fin, anular la Sentencia de 21 de abril de 2005 y el Auto de 27 de mayo de 2005, ambos dictados por el Juez de lo Contencioso-Administrativo núm. 1 de Jaén en el procedimiento abreviado núm. 61-2005, retrotrayendo las actuaciones al momento anterior al dictado de la Sentencia indicada para que se concluya el proceso con pleno respeto al derecho fundamental vulnerado.</w:t>
      </w:r>
    </w:p>
    <w:p w:rsidR="0052098F" w:rsidRDefault="0052098F" w:rsidP="0052098F">
      <w:pPr>
        <w:pStyle w:val="TextoNormal"/>
      </w:pPr>
    </w:p>
    <w:p w:rsidR="0052098F" w:rsidRDefault="0052098F" w:rsidP="0052098F">
      <w:pPr>
        <w:pStyle w:val="TextoNormal"/>
      </w:pPr>
      <w:r>
        <w:lastRenderedPageBreak/>
        <w:t>Publíquese esta Sentencia en el “Boletín Oficial del Estado”.</w:t>
      </w:r>
    </w:p>
    <w:p w:rsidR="0052098F" w:rsidRDefault="0052098F" w:rsidP="0052098F">
      <w:pPr>
        <w:pStyle w:val="TextoNormal"/>
      </w:pPr>
      <w:r>
        <w:t>Dada en Madrid, a diez de marzo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8" w:name="SENTENCIA_2008_45"/>
      <w:r>
        <w:lastRenderedPageBreak/>
        <w:t>SENTENCIA 45/2008, de 10 de marzo de 2008</w:t>
      </w:r>
    </w:p>
    <w:bookmarkEnd w:id="48"/>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ECLI:ES:TC:2008:45</w:t>
      </w:r>
    </w:p>
    <w:p w:rsidR="0052098F" w:rsidRDefault="0052098F" w:rsidP="0052098F">
      <w:pPr>
        <w:pStyle w:val="SntesisDescriptiva"/>
      </w:pPr>
    </w:p>
    <w:p w:rsidR="0052098F" w:rsidRDefault="0052098F" w:rsidP="0052098F">
      <w:pPr>
        <w:pStyle w:val="SntesisDescriptiva"/>
      </w:pPr>
      <w:r>
        <w:t>Recurso de amparo 1464-2006. Promovido por la Fundación César Manrique respecto a los Autos del Tribunal Superior de Justicia de Canarias y de un Juzgado de lo Contencioso-Administrativo de Las Palmas de Gran Canaria que declinaron su competencia para conocer del recurso contra el Cabildo Insular de Lanzarote por un video difundido en televisión.</w:t>
      </w:r>
    </w:p>
    <w:p w:rsidR="0052098F" w:rsidRDefault="0052098F" w:rsidP="0052098F">
      <w:pPr>
        <w:pStyle w:val="SntesisDescriptiva"/>
      </w:pPr>
    </w:p>
    <w:p w:rsidR="0052098F" w:rsidRDefault="0052098F" w:rsidP="0052098F">
      <w:pPr>
        <w:pStyle w:val="SntesisAnaltica"/>
      </w:pPr>
      <w:r>
        <w:t>Vulneración del derecho a la tutela judicial (acceso a la justicia): inadmisión de demanda contencioso-administrativa por considerarla una acción de protección del derecho al honor competencia del orden jurisdiccional civil. Voto particular.</w:t>
      </w:r>
    </w:p>
    <w:p w:rsidR="0052098F" w:rsidRDefault="0052098F" w:rsidP="0052098F">
      <w:pPr>
        <w:pStyle w:val="SntesisAnaltica"/>
      </w:pPr>
    </w:p>
    <w:p w:rsidR="0052098F" w:rsidRDefault="0052098F" w:rsidP="0052098F">
      <w:pPr>
        <w:pStyle w:val="Extracto"/>
      </w:pPr>
      <w:r>
        <w:t>1.</w:t>
      </w:r>
      <w:r>
        <w:tab/>
        <w:t>Los Autos impugnados, al declinar la competencia del orden jurisdiccional contencioso-administrativo para conocer del recurso formulado por la Fundación recurrente, vulneraron su derecho a la tutela judicial al negarle de forma irrazonable su derecho a obtener un primer pronunciamiento sobre el fondo de su pretensión, no siendo razonable que las resoluciones judiciales impugnadas subrayasen la naturaleza exclusivamente civil de la pretensión formulada en el proceso judicial, cuando la propia Fundación actora negó de modo tajante que pretendiera la tutela civil de su derecho al honor [FJ 3].</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1464-2006, promovido por la Fundación César Manrique, representada por la Procuradora de los Tribunales doña María Granizo Palomeque y asistida por el Abogado don Nicolás González-Cuellar Serrano, contra el Auto dictado por la Sección Segunda de la Sala de lo Contencioso-Administrativo, con sede en Las Palmas de Gran Canaria, del Tribunal Superior de Justicia de Canarias, de 2 de septiembre de 2005, que desestimó el recurso de apelación interpuesto contra el Auto, de fecha 2 marzo de 2005, dictado por el Juzgado de lo Contencioso-Administrativo núm. 2 de Las Palmas de Gran Canaria, que declinó su competencia para conocer del recurso contencioso formulado. Ha </w:t>
      </w:r>
      <w:r>
        <w:lastRenderedPageBreak/>
        <w:t>intervenido el Ministerio Fiscal. Ha sido Ponente el Magistrado don Pascual Sala Sánchez,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Constitucional el 14 de febrero de 2006 la Procuradora de los Tribunales doña María Granizo Palomeque interpuso, en nombre y representación de la Fundación César Manrique, recurso de amparo contra las resoluciones judiciales citadas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que fundamentan la demanda de amparo son resumidamente los siguientes: </w:t>
      </w:r>
    </w:p>
    <w:p w:rsidR="0052098F" w:rsidRDefault="0052098F" w:rsidP="0052098F">
      <w:pPr>
        <w:pStyle w:val="TextoNormal"/>
      </w:pPr>
      <w:r>
        <w:t xml:space="preserve">a) Como consecuencia de la difusión por televisión de un video en el que se vertían descalificaciones contra la Fundación César Manrique y la memoria de su fundador, la citada Fundación, de conformidad con lo previsto en el art. 30 LJCA, requirió, con fecha de 28 de diciembre de 2004, al Cabildo Insular de Lanzarote, responsable de su elaboración y difusión, para que le diera traslado del acto administrativo que sirvió de base para la elaboración y difusión del video controvertido o, en su defecto, caso de no existir, acordara la inmediata cesación de su emisión. Ante el silencio de la Administración insular, la Fundación interpuso recurso contencioso-administrativo contra esa actuación material del Cabildo Insular de Lanzarote, que consideraba constitutiva de vía de hecho. </w:t>
      </w:r>
    </w:p>
    <w:p w:rsidR="0052098F" w:rsidRDefault="0052098F" w:rsidP="0052098F">
      <w:pPr>
        <w:pStyle w:val="TextoNormal"/>
      </w:pPr>
      <w:r>
        <w:t xml:space="preserve">b) Por providencia de fecha 1 de febrero de 2005 el Juzgado de lo Contencioso-Administrativo núm. 2 de Las Palmas de Gran Canaria acordó conceder a las partes y al Ministerio Fiscal plazo común de diez días para que alegaran lo que estimaran conveniente sobre la posible incompetencia del Juzgado para conocer del asunto. Evacuado el citado trámite de alegaciones, el Juzgado, por Auto de 2 de marzo de 2005, acordó declinar la competencia para el conocimiento del asunto en favor de la jurisdicción civil, por considerar que la demanda planteada refería una cuestión relativa a la protección del derecho al honor, la intimidad y la propia imagen y, por tanto, con arreglo al art. 249.1 LEC, de naturaleza estrictamente civil. </w:t>
      </w:r>
    </w:p>
    <w:p w:rsidR="0052098F" w:rsidRDefault="0052098F" w:rsidP="0052098F">
      <w:pPr>
        <w:pStyle w:val="TextoNormal"/>
      </w:pPr>
      <w:r>
        <w:t>c) Contra este Auto la Fundación recurrente interpuso recurso de apelación, que fue desestimado por Auto, de fecha 2 de septiembre de 2005, de la Sección Segunda de la Sala de lo Contencioso-Administrativo, con sede en Las Palmas de Gran Canaria, del Tribunal Superior de Justicia de Canarias.</w:t>
      </w:r>
    </w:p>
    <w:p w:rsidR="0052098F" w:rsidRDefault="0052098F" w:rsidP="0052098F">
      <w:pPr>
        <w:pStyle w:val="TextoNormal"/>
      </w:pPr>
    </w:p>
    <w:p w:rsidR="0052098F" w:rsidRDefault="0052098F" w:rsidP="0052098F">
      <w:pPr>
        <w:pStyle w:val="TextoNormal"/>
      </w:pPr>
      <w:r w:rsidRPr="0052098F">
        <w:rPr>
          <w:rStyle w:val="NumeroAFNegritaCaracter"/>
        </w:rPr>
        <w:t>3</w:t>
      </w:r>
      <w:r>
        <w:t>. En su demanda de amparo la Fundación César Manrique insiste, como ya hiciera antes en la vía judicial, en que el recurso contencioso que interpuso tenía únicamente por objeto comprobar la legalidad de la actuación administrativa cuestionada y, en particular, decidir si una Administración puede válidamente dictar actos administrativos o realizar una actuación para criticar a los ciudadanos o a entidades privadas, con entera independencia de que esa crítica sea o no, además, lesiva del derecho al honor de las personas o entidades afectadas. Al no apreciarlo así y declinar la competencia para conocer de su recurso la Fundación recurrente considera que los Autos impugnados son unas resoluciones absolutamente equivocadas, que carecen totalmente de razonabilidad y, en consecuencia, contrarias a su derecho a la tutela judicial efectiva (art. 24.1 CE).</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4</w:t>
      </w:r>
      <w:r>
        <w:t>. Antes de resolver sobre la admisibilidad del recurso, por diligencia de ordenación de 4 de abril de 2006, la Sala Segunda de este Tribunal acordó dirigir comunicación a la Sección Segunda de la Sala de lo Contencioso-Administrativo, con sede en Las Palmas de Gran Canaria, del Tribunal Superior de Justicia de Canarias y al Juzgado de lo Contencioso-Administrativo núm. 2 de Las Palmas de Gran Canaria para que, respectivamente, remitieran certificación o copia adverada de las actuaciones correspondientes al recurso de apelación núm. 272-2005 y al procedimiento ordinario núm. 34-2005.</w:t>
      </w:r>
    </w:p>
    <w:p w:rsidR="0052098F" w:rsidRDefault="0052098F" w:rsidP="0052098F">
      <w:pPr>
        <w:pStyle w:val="TextoNormal"/>
      </w:pPr>
    </w:p>
    <w:p w:rsidR="0052098F" w:rsidRDefault="0052098F" w:rsidP="0052098F">
      <w:pPr>
        <w:pStyle w:val="TextoNormal"/>
      </w:pPr>
      <w:r w:rsidRPr="0052098F">
        <w:rPr>
          <w:rStyle w:val="NumeroAFNegritaCaracter"/>
        </w:rPr>
        <w:t>5</w:t>
      </w:r>
      <w:r>
        <w:t>. Por providencia de 12 de diciembre de 2006 la Sección Tercera de este Tribunal acordó, de conformidad con lo que disponía por entonces el art. 50.3 LOTC, antes de la modificación introducida por la Ley Orgánica 6/2007, de 24 de mayo, conceder a la Fundación demandante de amparo y al Ministerio Fiscal plazo común de diez días para que alegaran lo que estimasen pertinente en relación con la posible existencia de la causa de inadmisión que en su redacción anterior contemplaba el art. 50.1.c) LOTC, consistente en carecer la demanda manifiestamente de contenido constitucional que justifique una decisión sobre el fondo.</w:t>
      </w:r>
    </w:p>
    <w:p w:rsidR="0052098F" w:rsidRDefault="0052098F" w:rsidP="0052098F">
      <w:pPr>
        <w:pStyle w:val="TextoNormal"/>
      </w:pPr>
    </w:p>
    <w:p w:rsidR="0052098F" w:rsidRDefault="0052098F" w:rsidP="0052098F">
      <w:pPr>
        <w:pStyle w:val="TextoNormal"/>
      </w:pPr>
      <w:r w:rsidRPr="0052098F">
        <w:rPr>
          <w:rStyle w:val="NumeroAFNegritaCaracter"/>
        </w:rPr>
        <w:t>6</w:t>
      </w:r>
      <w:r>
        <w:t>. Evacuado el citado trámite de alegaciones, la Sala Segunda, por providencia de 20 de marzo de 2007, acordó admitir a trámite la demanda de amparo y, constando ya las actuaciones en el presente recurso, dirigir atenta comunicación al Juzgado de lo Contencioso-Administrativo núm. 2 de Las Palmas para que emplazase a quienes hubieran sido parte en el procedimiento ordinario núm. 34-2005, con excepción de la parte recurrente en amparo, para que en el plazo de diez días pudieran comparecen en este proceso constitucional de amparo. Por nueva diligencia de ordenación, de 19 de julio de 2007, la Sala acordó conceder a la parte recurrente y al Ministerio Fiscal plazo común por veinte días para que, con vista de las actuaciones recibidas, formulasen alegaciones.</w:t>
      </w:r>
    </w:p>
    <w:p w:rsidR="0052098F" w:rsidRDefault="0052098F" w:rsidP="0052098F">
      <w:pPr>
        <w:pStyle w:val="TextoNormal"/>
      </w:pPr>
    </w:p>
    <w:p w:rsidR="0052098F" w:rsidRDefault="0052098F" w:rsidP="0052098F">
      <w:pPr>
        <w:pStyle w:val="TextoNormal"/>
      </w:pPr>
      <w:r w:rsidRPr="0052098F">
        <w:rPr>
          <w:rStyle w:val="NumeroAFNegritaCaracter"/>
        </w:rPr>
        <w:t>7</w:t>
      </w:r>
      <w:r>
        <w:t>. Con fecha de 24 de septiembre de 2007 la Fundación recurrente presentó escrito de alegaciones insistiendo en las ya formuladas en su escrito de demanda de amparo constitucional.</w:t>
      </w:r>
    </w:p>
    <w:p w:rsidR="0052098F" w:rsidRDefault="0052098F" w:rsidP="0052098F">
      <w:pPr>
        <w:pStyle w:val="TextoNormal"/>
      </w:pPr>
    </w:p>
    <w:p w:rsidR="0052098F" w:rsidRDefault="0052098F" w:rsidP="0052098F">
      <w:pPr>
        <w:pStyle w:val="TextoNormal"/>
      </w:pPr>
      <w:r w:rsidRPr="0052098F">
        <w:rPr>
          <w:rStyle w:val="NumeroAFNegritaCaracter"/>
        </w:rPr>
        <w:t>8</w:t>
      </w:r>
      <w:r>
        <w:t>. Mediante escrito registrado en este Tribunal el 8 de octubre de 2007 el Ministerio Fiscal presentó sus alegaciones interesando el otorgamiento del amparo solicitado. Tras apuntar la posible existencia de la causa de inadmisibilidad del art. 44.1 a) LOTC y de valorar los antecedentes relevantes del caso, haciendo especial hincapié en el hecho, repetidamente subrayado por la Fundación recurrente en todos sus escritos forenses, de que la pretensión hecha valer en su recurso contencioso fue únicamente ab initio la de someter al control jurisdiccional la legalidad de la actuación administrativa impugnada y no, por tanto, la de instar la tutela jurisdiccional de su honor, y de recordar la plenitud del control jurisdiccional de la actividad administrativa sujeta a Derecho administrativo, el Fiscal concluye que la decisión judicial impugnada incurrió en error patente al considerar, pese a las expresas indicaciones en contrario de la Fundación recurrente, que la acción ejercitada tenía por objeto la tutela civil de su honor.</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6 de marzo de 2008, se señaló para deliberación y votación de la presente Sentencia el día 10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Fundación César Manrique impugna el Auto de la Sección Segunda de la Sala de lo Contencioso-Administrativo, con sede en Las Palmas de Gran Canaria, del Tribunal Superior de Justicia de Canarias, de 2 de septiembre de 2005, que confirma el dictado, con fecha 2 marzo de 2005, por el Juzgado de lo Contencioso-Administrativo núm. 2 de Las Palmas de Gran Canaria, que declinó su competencia para conocer del recurso contencioso formulado al considerar que la acción interpuesta por la actora se enderezaba a la protección de su honor, que es una cuestión estrictamente civil y, por tanto, de competencia de los órganos de este orden jurisdiccional. La Fundación recurrente denuncia que las citadas resoluciones judiciales son manifiestamente equivocadas e irrazonables y, en consecuencia, contrarias por este motivo al derecho a la tutela judicial efectiva (art. 24.1 CE), por cuanto yerran al considerar, no obstante sus explícitos desmentidos, que el recurso contencioso formulado pretendía la protección de su honor y no, en cambio, como siempre defendió en la vía judicial, el control de la legalidad de la actividad administrativa impugnada, consistente en la elaboración y difusión de un video descalificador de la citada Fundación.</w:t>
      </w:r>
    </w:p>
    <w:p w:rsidR="0052098F" w:rsidRDefault="0052098F" w:rsidP="0052098F">
      <w:pPr>
        <w:pStyle w:val="TextoNormal"/>
      </w:pPr>
      <w:r>
        <w:t>Por su parte el Ministerio Fiscal se pronuncia a favor del otorgamiento del amparo solicitado, al considerar que las resoluciones impugnadas son fruto de un patente error de hecho.</w:t>
      </w:r>
    </w:p>
    <w:p w:rsidR="0052098F" w:rsidRDefault="0052098F" w:rsidP="0052098F">
      <w:pPr>
        <w:pStyle w:val="TextoNormal"/>
      </w:pPr>
    </w:p>
    <w:p w:rsidR="0052098F" w:rsidRDefault="0052098F" w:rsidP="0052098F">
      <w:pPr>
        <w:pStyle w:val="TextoNormal"/>
      </w:pPr>
      <w:r w:rsidRPr="0052098F">
        <w:rPr>
          <w:rStyle w:val="NumeroAFNegritaCaracter"/>
        </w:rPr>
        <w:t>2</w:t>
      </w:r>
      <w:r>
        <w:t>. Para resolver si los Autos impugnados efectivamente vulneraron, como denuncia la Fundación demandante de amparo y opina también el Ministerio Fiscal, su derecho fundamental a la tutela judicial efectiva (art. 24.1 CE) importa recordar las concretas circunstancias del presente caso.</w:t>
      </w:r>
    </w:p>
    <w:p w:rsidR="0052098F" w:rsidRDefault="0052098F" w:rsidP="0052098F">
      <w:pPr>
        <w:pStyle w:val="TextoNormal"/>
      </w:pPr>
      <w:r>
        <w:t>Según se desprende de las actuaciones judiciales aportadas a este proceso constitucional la Fundación recurrente formuló recurso contencioso-administrativo impugnando, como reza literalmente el escrito de interposición, la “actuación en vía de hecho del Cabildo Insular de Lanzarote consistente en la elaboración y difusión en televisión de un video sobre la carretera de La Geria en el que se descalifica a la Fundación y la memoria de César Manrique”. El Juzgado de lo Contencioso-Administrativo núm. 2 de Las Palmas de Gran Canaria, por providencia de 1 de febrero de 2005, acordó oír a las partes sobre la competencia objetiva del Juzgado para conocer sobre el recurso. La actora, por escrito de 16 de febrero de 2005, advirtió expresamente, frente a las dudas anunciadas por el órgano judicial sobre su competencia, que con el recurso interpuesto no pretendía “propiamente salvaguardar su honor”, sino simplemente someter al control jurisdiccional la legalidad de la decisión administrativa de elaborar y difundir el video controvertido y decidir en consecuencia si la Administración puede “utilizar su[s] potestad[es] para encargar y ejecutar campañas de prensa contra los administrados”. No obstante el Juzgado consideró que el recurso interpuesto refería estrictamente una cuestión relativa a los derechos honoríficos de las personas y, como tal, con arreglo al art. 249.1 de la Ley de enjuiciamiento civil (LEC), de competencia de los órganos civiles.</w:t>
      </w:r>
    </w:p>
    <w:p w:rsidR="0052098F" w:rsidRDefault="0052098F" w:rsidP="0052098F">
      <w:pPr>
        <w:pStyle w:val="TextoNormal"/>
      </w:pPr>
      <w:r>
        <w:t xml:space="preserve">Y lo mismo, incluso ahora con mayor vigor, subrayaría más tarde la Fundación recurrente en su recurso de apelación, al poner de manifiesto que con su recurso contencioso no pretendía ejercer “una acción de protección del derecho fundamental al honor, ni de la Fundación ni de don César Manrique”. Para negar igualmente que su interés fuera, en efecto, el de enjuiciar si “las manifestaciones del video suponen un ataque al honor de los interesados, </w:t>
      </w:r>
      <w:r>
        <w:lastRenderedPageBreak/>
        <w:t>sino si es legal o no, si es conforme a Derecho o no que una Administración pública reaccione ente las opiniones críticas de ciudadanos, grupos u organizaciones civiles mediante campañas publicitarias institucionales en las que se pone en tela de juicio el comportamiento de dichos ciudadanos, grupos u organizaciones, y ello con independencia del carácter lesivo del derecho al honor o no de tales campañas”.</w:t>
      </w:r>
    </w:p>
    <w:p w:rsidR="0052098F" w:rsidRDefault="0052098F" w:rsidP="0052098F">
      <w:pPr>
        <w:pStyle w:val="TextoNormal"/>
      </w:pPr>
      <w:r>
        <w:t>Nada de todo esto influiría sin embargo en el criterio de la Sala del Tribunal Superior de Justicia de Canarias, que, por Auto de 2 de septiembre de 2005, desestimó el recurso de apelación promovido por considerar, en síntesis, que “todo pasa por la infracción al honor”, de modo que sin su lesión “no existiría la impugnación”, por lo que “se impone la confirmación del Auto [recurrido] por su propios argumentos”.</w:t>
      </w:r>
    </w:p>
    <w:p w:rsidR="0052098F" w:rsidRDefault="0052098F" w:rsidP="0052098F">
      <w:pPr>
        <w:pStyle w:val="TextoNormal"/>
      </w:pPr>
    </w:p>
    <w:p w:rsidR="0052098F" w:rsidRDefault="0052098F" w:rsidP="0052098F">
      <w:pPr>
        <w:pStyle w:val="TextoNormal"/>
      </w:pPr>
      <w:r w:rsidRPr="0052098F">
        <w:rPr>
          <w:rStyle w:val="NumeroAFNegritaCaracter"/>
        </w:rPr>
        <w:t>3</w:t>
      </w:r>
      <w:r>
        <w:t>. Teniendo en cuenta las circunstancias expuestas debemos concluir, formalmente, que en el presente caso no es posible apreciar el óbice procesal apuntado por el Ministerio Fiscal al insinuar que la Fundación recurrente, para agotar correctamente la vía judicial previa a que obliga el art. 44.1 a) LOTC, acaso debiera haber instado antes de acudir en amparo la vía procesal civil indicada en las resoluciones judiciales impugnadas. Patentemente porque la tacha constitucional que la entidad recurrente les reprocha no es, en rigor, la incompetencia de jurisdicción que declaran, sino el que lo hagan confundiendo la naturaleza de la pretensión de fondo realmente formulada, obligándola a instar ante otra jurisdicción la defensa de otra pretensión también distinta y, por tanto, privándola injustificadamente del derecho a obtener un pronunciamiento sobre sus derechos e intereses.</w:t>
      </w:r>
    </w:p>
    <w:p w:rsidR="0052098F" w:rsidRDefault="0052098F" w:rsidP="0052098F">
      <w:pPr>
        <w:pStyle w:val="TextoNormal"/>
      </w:pPr>
      <w:r>
        <w:t>Y materialmente, que los Autos impugnados, al declinar la competencia del orden jurisdiccional contencioso-administrativo para conocer del recurso formulado por la Fundación recurrente, vulneraron su derecho a la tutela judicial efectiva (art.  24.1 CE) al negarle de forma irrazonable su derecho a obtener un primer pronunciamiento sobre el fondo de su pretensión. Pues, ciertamente, no es razonable que las resoluciones judiciales impugnadas porfíen en subrayar la naturaleza exclusivamente civil de la pretensión formulada en el proceso judicial, cuando la propia Fundación actora negó de modo tajante que pretendiera la tutela civil de su derecho al honor. En el presente asunto atender al honor podía ser acaso relevante para comprobar la legitimación activa de la Fundación, es decir, para determinar si cabía reconocer a la entidad actora interés legítimo en la impugnación de la actividad material consistente en la elaboración y difusión del video controvertido o, desde otra perspectiva, para integrar el canon de control de legalidad de dicha actuación administrativa. Pero no sirve, desde luego, para declinar justificadamente la competencia de los órganos del orden jurisdiccional contencioso-administrativo para enjuiciar la pretensión de someter a control la legalidad de la actuación administrativa discutida (en contra, por otra parte, del criterio que luce en numerosas decisiones del Tribunal Supremo; entre otras, STS de 23 de febrero de 2004 y, últimamente, SSTS de 7 de febrero y de 24 de abril de 2007).</w:t>
      </w:r>
    </w:p>
    <w:p w:rsidR="0052098F" w:rsidRDefault="0052098F" w:rsidP="0052098F">
      <w:pPr>
        <w:pStyle w:val="TextoNormal"/>
      </w:pPr>
      <w:r>
        <w:t>En consecuencia no hay duda de que tanto el Juzgado, primero, como la Sala, después, realizaron una interpretación manifiestamente irrazonable del orden material de competencias entre los distintos órdenes jurisdiccionales, lesionando de este modo el derecho fundamental a la tutela judicial efectiva de la Fundación recurrente.</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la Fundación César Manrique y, en su virtud:</w:t>
      </w:r>
    </w:p>
    <w:p w:rsidR="0052098F" w:rsidRDefault="0052098F" w:rsidP="0052098F">
      <w:pPr>
        <w:pStyle w:val="TextoNormal"/>
      </w:pPr>
      <w:r>
        <w:t>1º Declarar que ha sido vulnerado el derecho de la entidad recurrente a la tutela judicial efectiva (art. 24.1 CE).</w:t>
      </w:r>
    </w:p>
    <w:p w:rsidR="0052098F" w:rsidRDefault="0052098F" w:rsidP="0052098F">
      <w:pPr>
        <w:pStyle w:val="TextoNormal"/>
      </w:pPr>
      <w:r>
        <w:t>2º Restablecerla en su derecho y, a tal fin, anular el Auto de fecha 2 de marzo de 2005, dictado por el Juzgado de lo Contencioso-Administrativo núm. 2 de las Palmas de Gran Canaria en el procedimiento ordinario núm. 34-2005, así como el dictado por la Sección Segunda de la Sala de lo Contencioso-Administrativo, con sede en Las Palmas de Gran Canaria, del Tribunal Superior de Justicia de Canarias, con fecha 2 de septiembre de 2005, en el recurso de apelación núm. 272-2005, retrotrayendo las actuaciones judiciales al momento anterior al de dictarse el primero de los Autos anulados para que el órgano judicial dicte la resolución que corresponda con respeto al derecho fundamental vulnerado.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diez de marzo de dos mil ocho.</w:t>
      </w:r>
    </w:p>
    <w:p w:rsidR="0052098F" w:rsidRDefault="0052098F" w:rsidP="0052098F">
      <w:pPr>
        <w:pStyle w:val="ParrafoNormal"/>
      </w:pPr>
    </w:p>
    <w:p w:rsidR="0052098F" w:rsidRDefault="0052098F" w:rsidP="0052098F">
      <w:pPr>
        <w:pStyle w:val="TextoNormalNegritaCentrado"/>
        <w:keepNext/>
      </w:pPr>
      <w:r>
        <w:t>Voto particular que formula el Magistrado don Vicente Conde Martín de Hijas respecto de la Sentencia de fecha 10 de marzo de 2008 dictada en el recurso de amparo núm. 1464-2006.</w:t>
      </w:r>
    </w:p>
    <w:p w:rsidR="0052098F" w:rsidRDefault="0052098F" w:rsidP="0052098F">
      <w:pPr>
        <w:pStyle w:val="TextoNormalNegritaCentrado"/>
        <w:keepNext/>
      </w:pPr>
    </w:p>
    <w:p w:rsidR="0052098F" w:rsidRDefault="0052098F" w:rsidP="0052098F">
      <w:pPr>
        <w:pStyle w:val="TextoNormal"/>
      </w:pPr>
      <w:r>
        <w:t>Expresando mi respeto a mis compañeros, de cuyo criterio discrepo, considero conveniente hacer uso de la facultad establecida en el art. 90.2 LOTC formulando Voto particular, para sostener mi tesis de que la Sentencia debería haber declarado la inadmisión del recurso de amparo por incumplimiento del requisito del art. 44.1 a) LOTC.</w:t>
      </w:r>
    </w:p>
    <w:p w:rsidR="0052098F" w:rsidRDefault="0052098F" w:rsidP="0052098F">
      <w:pPr>
        <w:pStyle w:val="TextoNormal"/>
      </w:pPr>
      <w:r>
        <w:t>El Auto contra el que se interpone el recurso de amparo no supone el agotamiento de la vía judicial previa. Sin entrar en el análisis de la corrección o incorrección jurídica de la declaración de la incompetencia del orden contencioso-administrativo para conocer de la pretensión formulada, declinando la competencia a favor de la jurisdicción civil, no por ello se cierra el acceso a la jurisdicción, que es lo que, en su caso, supondría la vulneración del derecho fundamental de tutela judicial efectiva. En la medida en que en la resolución recurrida se le indica a la parte una vía diferente de la por ella elegida para el ejercicio de su derecho, vía que, por muy tediosa que pudiera llegar a ser, estaba a su disposición, debiera haberse agotado dicha vía antes de acudir al amparo constitucional, dada la exigencia establecida en el art. 44.1 a) LOTC, en su redacción anterior a la modificación del mismo por la Ley Orgánica 6/2007, según lo dispuesto en la disposición transitoria tercera de ésta.</w:t>
      </w:r>
    </w:p>
    <w:p w:rsidR="0052098F" w:rsidRDefault="0052098F" w:rsidP="0052098F">
      <w:pPr>
        <w:pStyle w:val="TextoNormal"/>
      </w:pPr>
      <w:r>
        <w:t xml:space="preserve">En efecto, aunque la recurrente crea tener fundadas razones para considerar errónea las decisiones del Juzgado y del Tribunal Superior de Justicia, y aunque por ellas considerase que en el orden civil de la jurisdicción no tenía cabida la concreta pretensión ejercitada, antes de acudir a este Tribunal Constitucional podía (y, por tanto debía, para agotar “todos los recursos utilizables dentro de la vía judicial”) acudir a tal orden jurisdiccional, reiterando la pretensión que había formulado previamente en el orden contencioso-administrativo, pese a que presumiese que en la vía civil volvería a obtener una declaración de incompetencia de jurisdicción, en cuyo caso, para remediar tal situación, si es que llegara a darse, le quedaba abierta aún, para cumplir la exigencia de agotamiento de “todos los recursos utilizables dentro de la vía judicial”, el remedio previsto en el art. 50 LOPJ; esto, es el recurso por defecto </w:t>
      </w:r>
      <w:r>
        <w:lastRenderedPageBreak/>
        <w:t>de jurisdicción, por medio del cual se encauzaría definitivamente la concreta pretensión de la recurrente en el orden jurisdiccional al que correspondería resolverla.</w:t>
      </w:r>
    </w:p>
    <w:p w:rsidR="0052098F" w:rsidRDefault="0052098F" w:rsidP="0052098F">
      <w:pPr>
        <w:pStyle w:val="TextoNormal"/>
      </w:pPr>
      <w:r>
        <w:t>Ni las dificultades de ese gravoso itinerario procesal, ni la consistencia de los argumentos de la recurrente para justificar su apreciación de que su pretensión debía haber sido enjuiciada en el orden jurisdiccional al que acudió son, en mi personal apreciación, razones suficientes para que este Tribunal pueda atenuar en ese caso la exigencia del cumplimiento de un requisito tan inequívoco, a mi juicio, como el que considero incumplido por la recurrente.</w:t>
      </w:r>
    </w:p>
    <w:p w:rsidR="0052098F" w:rsidRDefault="0052098F" w:rsidP="0052098F">
      <w:pPr>
        <w:pStyle w:val="TextoNormal"/>
      </w:pPr>
      <w:r>
        <w:t>En tal sentido emito mi Voto.</w:t>
      </w:r>
    </w:p>
    <w:p w:rsidR="0052098F" w:rsidRDefault="0052098F" w:rsidP="0052098F">
      <w:pPr>
        <w:pStyle w:val="TextoNormal"/>
      </w:pPr>
      <w:r>
        <w:t>Madrid, a diez de marzo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49" w:name="SENTENCIA_2008_46"/>
      <w:r>
        <w:lastRenderedPageBreak/>
        <w:t>SENTENCIA 46/2008, de 10 de marzo de 2008</w:t>
      </w:r>
    </w:p>
    <w:bookmarkEnd w:id="49"/>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ECLI:ES:TC:2008:46</w:t>
      </w:r>
    </w:p>
    <w:p w:rsidR="0052098F" w:rsidRDefault="0052098F" w:rsidP="0052098F">
      <w:pPr>
        <w:pStyle w:val="SntesisDescriptiva"/>
      </w:pPr>
    </w:p>
    <w:p w:rsidR="0052098F" w:rsidRDefault="0052098F" w:rsidP="0052098F">
      <w:pPr>
        <w:pStyle w:val="SntesisDescriptiva"/>
      </w:pPr>
      <w:r>
        <w:t>Recurso de amparo 6130-2006. Promovido por Proiliberis, S.L., respecto a la Sentencia de la Sala de lo Contencioso-Administrativo con sede en Granada del Tribunal Superior de Justicia de Andalucía que desestimó su demanda contra la Consejería de Economía y Hacienda de la Junta de Andalucía sobre apremio por descubierto del impuesto sobre transmisiones patrimoniales y actos jurídicos documentados.</w:t>
      </w:r>
    </w:p>
    <w:p w:rsidR="0052098F" w:rsidRDefault="0052098F" w:rsidP="0052098F">
      <w:pPr>
        <w:pStyle w:val="SntesisDescriptiva"/>
      </w:pPr>
    </w:p>
    <w:p w:rsidR="0052098F" w:rsidRDefault="0052098F" w:rsidP="0052098F">
      <w:pPr>
        <w:pStyle w:val="SntesisAnaltica"/>
      </w:pPr>
      <w:r>
        <w:t>Vulneración del derecho a la tutela judicial efectiva (acceso a la justicia): notificación de una liquidación tributaria y un acuerdo de comprobación de valores al presentador de documentos ante la Administración tributaria, en aplicación de una norma anulada por la STC 113/2006.</w:t>
      </w:r>
    </w:p>
    <w:p w:rsidR="0052098F" w:rsidRDefault="0052098F" w:rsidP="0052098F">
      <w:pPr>
        <w:pStyle w:val="SntesisAnaltica"/>
      </w:pPr>
    </w:p>
    <w:p w:rsidR="0052098F" w:rsidRDefault="0052098F" w:rsidP="0052098F">
      <w:pPr>
        <w:pStyle w:val="Extracto"/>
      </w:pPr>
      <w:r>
        <w:t>1.</w:t>
      </w:r>
      <w:r>
        <w:tab/>
        <w:t>Aplica la STC 113/2006, en la que la declaración de inconstitucionalidad del art. 56.3 de la Ley del impuesto sobre transmisiones patrimoniales y actos jurídicos documentados se fundamentó en la vulneración del derecho a la tutela judicial efectiva, ya que en dicha vulneración se sustenta, igualmente, el recurso de amparo que ahora nos ocupa, sin que el hecho de que la STC 113/2006 se publicara después de las actuaciones administrativa y judicial que aquí se impugnan excluya la posibilidad de remitir la resolución del amparo a lo decidido en dicha Sentencia [FJ 2].</w:t>
      </w:r>
    </w:p>
    <w:p w:rsidR="0052098F" w:rsidRDefault="0052098F" w:rsidP="0052098F">
      <w:pPr>
        <w:pStyle w:val="Extracto"/>
      </w:pPr>
    </w:p>
    <w:p w:rsidR="0052098F" w:rsidRDefault="0052098F" w:rsidP="0052098F">
      <w:pPr>
        <w:pStyle w:val="Extracto"/>
      </w:pPr>
      <w:r>
        <w:t>2.</w:t>
      </w:r>
      <w:r>
        <w:tab/>
        <w:t>Para que en un recurso de amparo pueda este Tribunal remitirse a lo decidido en un previo proceso de inconstitucionalidad, no basta con que se encuentre afectado el mismo precepto legal, sino que, además, es preciso que el derecho o el precepto constitucional que hubiese fundamentado la declaración de inconstitucionalidad sea también susceptible de tutela en el proceso de amparo constitucional (STC 159/1997) [FJ 2].</w:t>
      </w:r>
    </w:p>
    <w:p w:rsidR="0052098F" w:rsidRDefault="0052098F" w:rsidP="0052098F">
      <w:pPr>
        <w:pStyle w:val="Extracto"/>
      </w:pPr>
    </w:p>
    <w:p w:rsidR="0052098F" w:rsidRDefault="0052098F" w:rsidP="0052098F">
      <w:pPr>
        <w:pStyle w:val="Extracto"/>
      </w:pPr>
      <w:r>
        <w:t>3.</w:t>
      </w:r>
      <w:r>
        <w:tab/>
        <w:t>Doctrina sobre la impugnación de leyes a través del recurso de amparo (STC 41/1981) [FJ 2].</w:t>
      </w:r>
    </w:p>
    <w:p w:rsidR="0052098F" w:rsidRDefault="0052098F" w:rsidP="0052098F">
      <w:pPr>
        <w:pStyle w:val="Extracto"/>
      </w:pPr>
    </w:p>
    <w:p w:rsidR="0052098F" w:rsidRDefault="0052098F" w:rsidP="0052098F">
      <w:pPr>
        <w:pStyle w:val="Extracto"/>
      </w:pPr>
      <w:r>
        <w:t>4.</w:t>
      </w:r>
      <w:r>
        <w:tab/>
        <w:t>Doctrina sobre los efectos de la declaración de inconstitucionalidad (STC 159/2007) [FJ 2].</w:t>
      </w:r>
    </w:p>
    <w:p w:rsidR="0052098F" w:rsidRDefault="0052098F" w:rsidP="0052098F">
      <w:pPr>
        <w:pStyle w:val="Extracto"/>
      </w:pPr>
    </w:p>
    <w:p w:rsidR="0052098F" w:rsidRDefault="0052098F" w:rsidP="0052098F">
      <w:pPr>
        <w:pStyle w:val="Extracto"/>
      </w:pPr>
      <w:r>
        <w:t>5.</w:t>
      </w:r>
      <w:r>
        <w:tab/>
        <w:t>La apreciación de que la ley aplicada vulneraba algún derecho fundamental o libertad pública susceptibles de amparo nos permitiría elevar la cuestión al Pleno, actuación que no tiene sentido realizar en el presente caso, toda vez que ya existe el previo pronunciamiento del Pleno de este Tribunal declarando la inconstitucionalidad [FJ 2].</w:t>
      </w:r>
    </w:p>
    <w:p w:rsidR="0052098F" w:rsidRDefault="0052098F" w:rsidP="0052098F">
      <w:pPr>
        <w:pStyle w:val="Extracto"/>
      </w:pPr>
    </w:p>
    <w:p w:rsidR="0052098F" w:rsidRDefault="0052098F" w:rsidP="0052098F">
      <w:pPr>
        <w:pStyle w:val="Extracto"/>
      </w:pPr>
    </w:p>
    <w:p w:rsidR="0052098F" w:rsidRDefault="0052098F" w:rsidP="0052098F">
      <w:pPr>
        <w:pStyle w:val="Extracto"/>
      </w:pPr>
      <w:r>
        <w:lastRenderedPageBreak/>
        <w:t>6.</w:t>
      </w:r>
      <w:r>
        <w:tab/>
        <w:t>Procede la anulación tanto de la Sentencia de 8 de mayo de 2006 como de todo lo actuado en el expediente de comprobación de valores desde la notificación de dicha comprobación y de la liquidación, con retroacción al momento inmediatamente anterior a la práctica de dichas notificaciones y, aunque la demandante no dirija expresamente su demanda contra la resolución del Tribunal Económico-Administrativo Regional, nuestro fallo debe alcanzarle también [FJ 3].</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6130-2006, promovido por Proiliberis, S.L., representada por la Procuradora de los Tribunales doña África Martín Rico y asistida por el Letrado don Pablo Serrano Martín, contra el acto de notificación de la liquidación provisional con clave núm. T5-1917 y del acuerdo de comprobación de valores dictado en el expediente núm. 34503-1995 por la Delegación Provincial en Granada de la Consejería de Economía y Hacienda de la Junta de Andalucía, por el concepto de impuesto sobre actos jurídicos documentados, y contra la Sentencia de la Sección Segunda de la Sala de lo Contencioso-Administrativo con sede en Granada del Tribunal Superior de Justicia de Andalucía, de 8 de mayo de 2006, recaída en el recurso núm. 907-1999, que confirma dicha actuación administrativa. Han sido parte el Abogado del Estado y la Letrada de la Junta de Andalucía, y ha intervenido el Ministerio Fiscal. Ha sido Ponente la Magistrada doña Elisa Pérez Vera,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Juzgado de guardia el 5 de junio de 2006, la Procuradora de los Tribunales doña África Martín Rico, en representación de la recurrente, formuló demanda de amparo, impugnando las resoluciones mencionadas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de los que trae causa la demanda de amparo son, en síntesis, los siguientes: </w:t>
      </w:r>
    </w:p>
    <w:p w:rsidR="0052098F" w:rsidRDefault="0052098F" w:rsidP="0052098F">
      <w:pPr>
        <w:pStyle w:val="TextoNormal"/>
      </w:pPr>
      <w:r>
        <w:t xml:space="preserve">a) La demandante de amparo adquirió mediante escritura pública otorgada el 10 de noviembre de 1995 un solar edificable. Por tratarse de una operación sujeta al impuesto sobre actos jurídicos documentados, la gestoría Garrido Ros, que intervino en la operación, presentó la correspondiente autoliquidación del impuesto ante la Delegación Provincial de la Consejería de Economía y Hacienda de la Junta de Andalucía en Granada. </w:t>
      </w:r>
    </w:p>
    <w:p w:rsidR="0052098F" w:rsidRDefault="0052098F" w:rsidP="0052098F">
      <w:pPr>
        <w:pStyle w:val="TextoNormal"/>
      </w:pPr>
      <w:r>
        <w:lastRenderedPageBreak/>
        <w:t xml:space="preserve">b) Posteriormente, la Administración procedió a realizar una comprobación de valores (expediente núm. 31503-1995), así como una liquidación provisional, que fueron notificadas en el domicilio de la gestoría antes reseñada, en su calidad de presentadora del documento, en lugar de en el domicilio de la recurrente en amparo, sujeto pasivo del impuesto. La comprobación de valores no fue recurrida, y el periodo voluntario finalizó el 20 de octubre de 1996 sin que la liquidación del impuesto hubiera sido pagada, iniciándose, en consecuencia, el periodo ejecutivo. </w:t>
      </w:r>
    </w:p>
    <w:p w:rsidR="0052098F" w:rsidRDefault="0052098F" w:rsidP="0052098F">
      <w:pPr>
        <w:pStyle w:val="TextoNormal"/>
      </w:pPr>
      <w:r>
        <w:t xml:space="preserve">c) El Tesorero de la Delegación Provincial en Granada de la Consejería de Economía y Hacienda de la Junta de Andalucía dictó providencia de apremio en la certificación de descubierto núm. 18TR96001790, emitida con fecha 20 de marzo de 1997, relativa a la liquidación núm. T5-1917-1996, correspondiente al impuesto sobre actos jurídicos documentados, con motivo de una compraventa sujeta a IVA, por un importe de 1.189.846 pesetas, de las que 991.539 pesetas correspondían al principal, y 198.307 pesetas al recargo de apremio. La providencia de apremio se notificó a la recurrente en su domicilio en fecha que no consta en el expediente administrativo. </w:t>
      </w:r>
    </w:p>
    <w:p w:rsidR="0052098F" w:rsidRDefault="0052098F" w:rsidP="0052098F">
      <w:pPr>
        <w:pStyle w:val="TextoNormal"/>
      </w:pPr>
      <w:r>
        <w:t xml:space="preserve">d) El 6 de agosto de 1997 se interpone reclamación económico-administrativa contra dicha providencia de apremio, en la que se alega la falta de notificación al sujeto pasivo tanto del acuerdo aprobatorio del expediente de comprobación de valores como de la liquidación complementaria en periodo voluntario, ya que éstos fueron notificados en el domicilio de la presentadora del documento. El Tribunal Económico-Administrativo Regional de Andalucía, Sala de Granada, acordó con fecha 25 de enero de 1999 desestimar la reclamación económico-administrativa núm. 18-3869-1997, y confirmar la providencia de apremio recurrida. La desestimación se fundó en la consideración de que la liquidación había sido notificada válidamente en el domicilio del presentador del documento. </w:t>
      </w:r>
    </w:p>
    <w:p w:rsidR="0052098F" w:rsidRDefault="0052098F" w:rsidP="0052098F">
      <w:pPr>
        <w:pStyle w:val="TextoNormal"/>
      </w:pPr>
      <w:r>
        <w:t>e) Frente a la anterior resolución promovió la demandante de amparo con fecha 31 de mayo de 1999 recurso contencioso-administrativo, que fue desestimado por Sentencia de la Sección Segunda de la Sala de lo Contencioso-Administrativo con sede en Granada del Tribunal Superior de Justicia de Andalucía, de 8 de mayo de 2006. La Sala consideró que la notificación de la providencia de apremio de la comprobación de valores se realizó en el domicilio correspondiente a la presentadora de la autoliquidación, la gestoría Garrido Ros, de conformidad con lo dispuesto en el art. 56.3 del texto refundido de la Ley del impuesto sobre transmisiones patrimoniales y actos jurídicos documentados, aprobado por Real Decreto Legislativo 1/1993, de 24 de septiembre. Además, dicha notificación se realizó antes de que la gestora cesara en su actividad, según la prueba documental propuesta y practicada a instancia de la recurrente.</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La demandante de amparo alega que la aplicación del art. 56.3 del texto refundido de la Ley del impuesto sobre transmisiones patrimoniales y actos jurídicos documentados realizada por la Delegación Provincial de la Consejería de Economía y Hacienda de la Junta de Andalucía en Granada así como por la Sala de lo Contencioso-Administrativo con sede en Granada del Tribunal Superior de Justicia de Andalucía al confirmar dicha actuación administrativa y la posterior resolución dictada en vía económico-administrativa, han infringido de manera manifiesta su derecho fundamental a la tutela judicial efectiva, propiciando una situación de indefensión, ya que la notificación del acto de liquidación y de comprobación de valores a quien, no siendo sujeto pasivo del impuesto, presentó el documento a liquidación, no garantiza su conocimiento efectivo por la interesada para que ésta pudiera acceder a la jurisdicción dentro del plazo legalmente establecido en orden a la defensa de sus derechos e intereses legítimos. Señala que la indefensión originada en vía administrativa tiene </w:t>
      </w:r>
      <w:r>
        <w:lastRenderedPageBreak/>
        <w:t>relevancia constitucional, en tanto que la causa que la provoca impide u obstaculiza al sujeto pasivo la utilización de los medios de impugnación que el ordenamiento tributario dispone. Finalmente, se invoca la Sentencia dictada por este Tribunal en la cuestión de inconstitucionalidad núm. 1438-2000, en la que se declaró la inconstitucionalidad y nulidad de la norma aplicada, alegando que la previsión contenida en la misma incide en el derecho consagrado en el art. 24.1 CE, en la medida en que la notificación de los actos de gestión del impuesto a quien, no siendo sujeto pasivo del mismo presenta el documento, ha constituido un obstáculo insalvable y desproporcionado para el acceso a la jurisdicción de la obligada tributaria. La demanda concluye con la solicitud de que se declare la nulidad de la notificación de la liquidación provisional con clave T5-1917 y del acuerdo de comprobación de valores, así como la de la Sentencia de 8 de mayo de 2006, dictada por la Sala de lo Contencioso-Administrativo con sede en Granada del Tribunal Superior de Justicia de Andalucía, así como el restablecimiento de la actora en la integridad de su derecho, con la consiguiente necesidad de que se le notifiquen personalmente los reseñados actos de liquidación tributaria y de comprobación de valores. Asimismo, se solicita el planteamiento de la cuestión interna de inconstitucionalidad respecto del art. 56.3 LITP.</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Por resolución de 12 de junio de 2007 la Sala Segunda, de conformidad con lo dispuesto en el art. 11.2 LOTC, acordó conocer del recurso de amparo y admitir a trámite la demanda y, a tenor del art. 51 LOTC, librar atenta comunicación a la Sección Segunda de la Sala de lo Contencioso-Administrativo con sede en Granada del Tribunal Superior de Justicia de Andalucía para que en un plazo que no excediera de diez días remitiese certificación o fotocopia adverada de las actuaciones correspondientes al recurso núm. 907-1999, previo emplazamiento de quienes hubieran sido parte en el procedimiento, excepto la parte recurrente en amparo, para que, en el término de diez días, pudieran comparecer en el presente proceso constitucional. Todo ello condicionado a que la procuradora doña África Martín Rico aportara escritura de poder original acreditando su representación. </w:t>
      </w:r>
    </w:p>
    <w:p w:rsidR="0052098F" w:rsidRDefault="0052098F" w:rsidP="0052098F">
      <w:pPr>
        <w:pStyle w:val="TextoNormal"/>
      </w:pPr>
      <w:r>
        <w:t>Este último requerimiento fue cumplimentado mediante escrito presentado el 4 de julio de 2007.</w:t>
      </w:r>
    </w:p>
    <w:p w:rsidR="0052098F" w:rsidRDefault="0052098F" w:rsidP="0052098F">
      <w:pPr>
        <w:pStyle w:val="TextoNormal"/>
      </w:pPr>
    </w:p>
    <w:p w:rsidR="0052098F" w:rsidRDefault="0052098F" w:rsidP="0052098F">
      <w:pPr>
        <w:pStyle w:val="TextoNormal"/>
      </w:pPr>
      <w:r w:rsidRPr="0052098F">
        <w:rPr>
          <w:rStyle w:val="NumeroAFNegritaCaracter"/>
        </w:rPr>
        <w:t>5</w:t>
      </w:r>
      <w:r>
        <w:t>. Mediante providencia de la misma fecha se acordó la apertura de la correspondiente pieza separada para la tramitación del incidente de suspensión, concediéndose un plazo común de tres días a la parte recurrente y al Ministerio Fiscal para que formularan alegaciones sobre el particular, conforme a lo previsto en el art. 56 LOTC. Evacuado dicho trámite, la Sala Segunda, por Auto de 18 de julio de 2007, acordó denegar la suspensión interesada.</w:t>
      </w:r>
    </w:p>
    <w:p w:rsidR="0052098F" w:rsidRDefault="0052098F" w:rsidP="0052098F">
      <w:pPr>
        <w:pStyle w:val="TextoNormal"/>
      </w:pPr>
    </w:p>
    <w:p w:rsidR="0052098F" w:rsidRDefault="0052098F" w:rsidP="0052098F">
      <w:pPr>
        <w:pStyle w:val="TextoNormal"/>
      </w:pPr>
      <w:r w:rsidRPr="0052098F">
        <w:rPr>
          <w:rStyle w:val="NumeroAFNegritaCaracter"/>
        </w:rPr>
        <w:t>6</w:t>
      </w:r>
      <w:r>
        <w:t>. El 18 de junio de 2007 tuvo entrada en el Registro General de este Tribunal escrito del Abogado del Estado, personándose en el presente recurso de amparo.</w:t>
      </w:r>
    </w:p>
    <w:p w:rsidR="0052098F" w:rsidRDefault="0052098F" w:rsidP="0052098F">
      <w:pPr>
        <w:pStyle w:val="TextoNormal"/>
      </w:pPr>
    </w:p>
    <w:p w:rsidR="0052098F" w:rsidRDefault="0052098F" w:rsidP="0052098F">
      <w:pPr>
        <w:pStyle w:val="TextoNormal"/>
      </w:pPr>
      <w:r w:rsidRPr="0052098F">
        <w:rPr>
          <w:rStyle w:val="NumeroAFNegritaCaracter"/>
        </w:rPr>
        <w:t>7</w:t>
      </w:r>
      <w:r>
        <w:t>. Por escrito registrado el 31 de julio de 2007, se personó en el recurso la Letrada de la Junta de Andalucía.</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Mediante diligencia de ordenación de 20 de septiembre de 2007 se tuvo por personados y partes al Abogado del Estado y a la Letrada de la Junta de Andalucía, en la representación que ostentan, acordándose entender con ellos los sucesivos trámites. Asimismo, se acordó dar vista de las actuaciones recibidas a las partes personadas y al Ministerio Fiscal, </w:t>
      </w:r>
      <w:r>
        <w:lastRenderedPageBreak/>
        <w:t>por plazo común de veinte días, para que pudieran formular las alegaciones que estimaran pertinentes, de conformidad con lo dispuesto en el art. 52.1 LOTC.</w:t>
      </w:r>
    </w:p>
    <w:p w:rsidR="0052098F" w:rsidRDefault="0052098F" w:rsidP="0052098F">
      <w:pPr>
        <w:pStyle w:val="TextoNormal"/>
      </w:pPr>
    </w:p>
    <w:p w:rsidR="0052098F" w:rsidRDefault="0052098F" w:rsidP="0052098F">
      <w:pPr>
        <w:pStyle w:val="TextoNormal"/>
      </w:pPr>
      <w:r w:rsidRPr="0052098F">
        <w:rPr>
          <w:rStyle w:val="NumeroAFNegritaCaracter"/>
        </w:rPr>
        <w:t>9</w:t>
      </w:r>
      <w:r>
        <w:t>. El Abogado del Estado presentó su escrito de alegaciones el 19 de octubre de 2007, solicitando la desestimación del recurso de amparo. Aduce que, según resulta del escrito de alegaciones presentado por la actora ante el Tribunal Económico-Administrativo Regional de Andalucía, el documento autoliquidable se presentó a través de un gestor administrativo que ostentaba el carácter de mandatario de la entidad recurrente, en virtud de un encargo libre y voluntariamente concertado entre ambas partes, esto es, en virtud de un contrato de mandato representativo. Y, según se desprende del FJ 9 b) de la STC 113/2006, la razón de haber declarado inconstitucional el art. 56.3 LITP estriba en que este precepto legal inviste de la condición de mandatario por el solo hecho de la presentación, de manera que estamos ante un mandato ex lege, que nace con independencia de la voluntad de las partes pero, en nuestro caso, el mandato tiene su raíz y fundamento en la autonomía de la voluntad, aunque es cierto que tanto el TEAR de Andalucía como la Sala de lo Contencioso-Administrativo se atienen al tenor del art. 56.3 citado, precepto que recogía una norma centenaria de cuya constitucionalidad pocos dudaban. Con todo, sostiene el Abogado del Estado, el Tribunal Contencioso-Administrativo también hace hincapié en que la presentadora era al mismo tiempo gestor administrativa profesional, lo que equivale a decir que, en calidad de tal, ostentaba también un mandato representativo voluntario de la sociedad recurrente. En consecuencia, entiende el representante de la Administración que la notificación a la empleada de la mandataria profesional fue válida y eficaz, no ya sobre la base del art. 56.3 LITP, sino en virtud del régimen general de la representación y de las notificaciones contenido en los arts. 46, 109 y 111 de la Ley general tributaria, de suerte que la válida notificación al representante directo voluntario surte efectos inmediatos en la esfera del representado; y si el profesional representante por título contractual incumplió alguno de los deberes propios de su condición de mandataria, el demandante no puede oponer tal incumplimiento frente a la hacienda autonómica y no exigir la responsabilidad que proceda a la mandataria con arreglo al art. 1726 del Código civil. En suma, no hay lesión de un derecho fundamental imputable a un poder público sino, en su caso, perjuicio reclamable al profesional elegido por libre voluntad del solicitante de amparo.</w:t>
      </w:r>
    </w:p>
    <w:p w:rsidR="0052098F" w:rsidRDefault="0052098F" w:rsidP="0052098F">
      <w:pPr>
        <w:pStyle w:val="TextoNormal"/>
      </w:pPr>
    </w:p>
    <w:p w:rsidR="0052098F" w:rsidRDefault="0052098F" w:rsidP="0052098F">
      <w:pPr>
        <w:pStyle w:val="TextoNormal"/>
      </w:pPr>
      <w:r w:rsidRPr="0052098F">
        <w:rPr>
          <w:rStyle w:val="NumeroAFNegritaCaracter"/>
        </w:rPr>
        <w:t>10</w:t>
      </w:r>
      <w:r>
        <w:t xml:space="preserve">. El Ministerio Fiscal, en escrito de alegaciones registrado el 13 de noviembre de 2007, interesó que se dicte Sentencia otorgando el amparo solicitado, con anulación de la Sentencia recurrida y declaración de nulidad del expediente tributario, reponiendo a la actora en su derecho a ser parte en el mismo. </w:t>
      </w:r>
    </w:p>
    <w:p w:rsidR="0052098F" w:rsidRDefault="0052098F" w:rsidP="0052098F">
      <w:pPr>
        <w:pStyle w:val="TextoNormal"/>
      </w:pPr>
      <w:r>
        <w:t xml:space="preserve">Tras recoger los antecedentes del caso y las quejas de la demandante, realiza el Fiscal una pormenorizada exposición de la doctrina recogida en las SSTC 111/2006 y 113/2006, para concluir que, conforme a la última de ellas, la norma a la que se remiten tanto la resolución administrativa como la judicial es contraria al derecho a la tutela judicial efectiva. Afirma que, en el caso concreto, se observa claramente que a la empresa que venía obligada al pago del impuesto no sólo se le impidió el acceso a los Tribunales para poder rebatir la nueva valoración del bien adquirido y la nueva liquidación formulada por la Administración tributaria, sino que, además, ni en el proceso administrativo ni en el judicial se le permitió probar el alcance del mandato dado a la gestoría Garrido Ros, o acreditar que no tuvo conocimiento de las diversas notificaciones por no habérselas transmitido el gestor. Todo ello coloca a la demandante de amparo en una manifiesta situación de indefensión, a juicio del </w:t>
      </w:r>
      <w:r>
        <w:lastRenderedPageBreak/>
        <w:t>Fiscal, ya que ve como, unilateralmente, se fijan nuevas cantidades impositivas por la Administración sin posibilidad alguna de contradicción ni en el plano administrativo ni en el jurisdiccional, ya que sus recursos en ambas esferas tuvieron por objeto no la posibilidad de discrepar y probar lo inadecuado de la nueva valoración patrimonial por la liquidación del impuesto, que ya había sido calificada de firme en sede administrativa, sino la declaración de nulidad de esa resolución administrativa tributaria por falta de un requisito esencial como era la correcta notificación de la misma. Tal alegación fue contestada tanto por la Administración como por la jurisdicción con aplicación de una norma, el art. 56.3 LITP, que hoy ha sido claramente depurada por este Tribunal.</w:t>
      </w:r>
    </w:p>
    <w:p w:rsidR="0052098F" w:rsidRDefault="0052098F" w:rsidP="0052098F">
      <w:pPr>
        <w:pStyle w:val="TextoNormal"/>
      </w:pPr>
    </w:p>
    <w:p w:rsidR="0052098F" w:rsidRDefault="0052098F" w:rsidP="0052098F">
      <w:pPr>
        <w:pStyle w:val="TextoNormal"/>
      </w:pPr>
      <w:r w:rsidRPr="0052098F">
        <w:rPr>
          <w:rStyle w:val="NumeroAFNegritaCaracter"/>
        </w:rPr>
        <w:t>11</w:t>
      </w:r>
      <w:r>
        <w:t xml:space="preserve">. Por su parte, la Letrada de la Junta de Andalucía, en escrito de alegaciones registrado el 3 de diciembre de 2007, interesó que se denegara el amparo solicitado. En primer lugar, argumenta que la declaración de inconstitucionalidad del art. 56.3 LITP no afecta a la situación enjuiciada porque la práctica de la notificación en el domicilio del presentador del documento se encontraba avalada por lo dispuesto en un precepto que estaba en vigor cuando se produjo el hecho imponible y cuando se realizó la notificación, y lo mismo en el momento de recaer el pronunciamiento judicial, de 8 de mayo de 2006, ya que la STC 113/2006, de 5 de abril, por la que se declaraba la inconstitucionalidad y nulidad de aquel precepto no comenzó a surtir efectos hasta el día de su publicación en el “Boletín Oficial del Estado”, que no tuvo lugar hasta el 9 de mayo de 2006. Se trataría, por tanto, a juicio de la Letrada de la Junta de Andalucía, de un asunto resuelto mediante sentencia firme, al que no puede abarcar el alcance retroactivo de la declaración de inconstitucionalidad, de acuerdo con lo previsto en el art. 40 LOTC, invocándose, en este sentido, la doctrina establecida por este Tribunal, entre otras, en las SSTC 159/1997, de 2 de octubre, y 6/1998, de 13 de enero. Por tanto, habría que concluir que la aplicación por la Administración tributaria y por el Juzgador de una disposición que estaba en plena vigencia impide que pueda apreciarse la lesión aducida del derecho a la tutela judicial efectiva. </w:t>
      </w:r>
    </w:p>
    <w:p w:rsidR="0052098F" w:rsidRDefault="0052098F" w:rsidP="0052098F">
      <w:pPr>
        <w:pStyle w:val="TextoNormal"/>
      </w:pPr>
      <w:r>
        <w:t>A mayor abundamiento, se sostiene por la representante de la Administración autonómica que la aplicación del art. 56.3 LITP no ha supuesto vulneración del derecho a la tutela judicial efectiva del contribuyente, puesto que lo que la STC 113/2006 considera lesivo de este derecho es el establecimiento por el precepto de una presunción de carácter iuris et de iure que no permite prueba en contrario, pero hay que subrayar que, en el presente caso, la actora no ha acreditado en la instancia que la gestoría Garrido Ros, presentadora del documento y receptora de la notificación, no le hiciera llegar la notificación de la liquidación y comprobación de valores, por lo que, en el supuesto concreto que se enjuicia, se desconoce si la falta de recurso en plazo se debió al desconocimiento de la notificación o a la falta de diligencia de la actora. En este sentido, la STC 113/2006 destaca la validez de que los actos de comunicación se puedan entender con terceras personas, y supedita su eficacia a efectos de considerar salvaguardado el derecho fundamental que aquí se invoca a la posible prueba que despliegue la contraria para acreditar que el citado acto de comunicación no ha llegado a su poder. A sensu contrario, “hemos de considerar que puede [sic] entenderse lesionado el derecho a la tutela judicial efectiva en supuestos como en el presente” en los que la notificación se recibe en el domicilio de la persona jurídica que presentó la autoliquidación del impuesto, sin que haya quedado acreditado que la misma no dio traslado al contribuyente ni que haya concurrido alguna otra circunstancia impeditiva de la recepción de la misma.</w:t>
      </w:r>
    </w:p>
    <w:p w:rsidR="0052098F" w:rsidRDefault="0052098F" w:rsidP="0052098F">
      <w:pPr>
        <w:pStyle w:val="TextoNormal"/>
      </w:pPr>
    </w:p>
    <w:p w:rsidR="0052098F" w:rsidRDefault="0052098F" w:rsidP="0052098F">
      <w:pPr>
        <w:pStyle w:val="TextoNormal"/>
      </w:pPr>
      <w:r w:rsidRPr="0052098F">
        <w:rPr>
          <w:rStyle w:val="NumeroAFNegritaCaracter"/>
        </w:rPr>
        <w:t>12</w:t>
      </w:r>
      <w:r>
        <w:t>. Por providencia de 6 de marzo de 2008 se señaló para deliberación y fallo de la presente Sentencia el día 10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En el presente recurso de amparo se impugnan el acto de notificación de la liquidación provisional con clave núm. T5-1917 y del acuerdo de comprobación de valores dictado en el expediente núm. 34503-1995 por la Delegación Provincial en Granada de la Consejería de Economía y Hacienda de la Junta de Andalucía, relativa al impuesto sobre actos jurídicos documentados, y contra la Sentencia de la Sección Segunda de la Sala de lo Contencioso-Administrativo con sede en Granada del Tribunal Superior de Justicia de Andalucía, de 8 de mayo de 2006, recaída en el recurso núm. 907-1999, que confirmó tanto esa actuación administrativa como la resolución del Tribunal Económico-Administrativo Regional de Andalucía, Sala de Granada, desestimatoria de la reclamación interpuesta por la actora. En concreto, ésta aduce que se le ha vulnerado su derecho a la tutela judicial efectiva sin indefensión, en su vertiente del acceso a la jurisdicción, por la aplicación del art. 56.3 del texto refundido de la ley del impuesto sobre transmisiones patrimoniales y actos jurídicos documentados, aprobado por Real Decreto Legislativo 1/1993, de 24 de septiembre, ya que la notificación del acto de liquidación y de comprobación de valores, realizada conforme a dicho precepto a quien, no siendo sujeto pasivo del impuesto, presentó el documento a liquidación, no garantizó su conocimiento efectivo por la interesada para que ésta pudiera acceder a la jurisdicción dentro del plazo legalmente establecido en orden a la defensa de sus derechos e intereses legítimos. En apoyo de su tesis ha invocado la STC 113/2006, de 5 de abril, por la que se declaró la inconstitucionalidad del referido art. 56.3.</w:t>
      </w:r>
    </w:p>
    <w:p w:rsidR="0052098F" w:rsidRDefault="0052098F" w:rsidP="0052098F">
      <w:pPr>
        <w:pStyle w:val="TextoNormal"/>
      </w:pPr>
      <w:r>
        <w:t>El Ministerio Fiscal interesa, asimismo, el otorgamiento del amparo con anulación de la Sentencia impugnada y declaración de nulidad del expediente tributario, por considerar que, efectivamente, se ha producido la vulneración del derecho a la tutela judicial efectiva de la demandante de amparo. Por su parte, el Abogado del Estado ha solicitado la denegación del amparo, alegando que no resulta de aplicación la STC 113/2006, ya que la notificación se realizó a una persona que ostentaba un mandato representativo voluntario de la sociedad recurrente, por lo que no se trataba de un supuesto de aplicación del citado art. 56.3. También ha instado la desestimación del recurso de amparo la Letrada de la Junta de Andalucía, sosteniendo que la declaración de inconstitucionalidad del mencionado precepto por la STC 113/2006 no afecta a la situación enjuiciada y la inexistencia de lesión del derecho a la tutela judicial efectiva de la demandante.</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Como han señalado la recurrente y el Ministerio Fiscal —y ha sido reconocido también por las otras partes en el procedimiento—, en la STC 113/2006, de 5 de abril, recaída en la cuestión de inconstitucionalidad núm. 1438-2000, este Tribunal declaró inconstitucional y nulo “el apartado 3 del art. 56 del Real Decreto Legislativo 1/1993, de 24 de septiembre, por el que se aprueba el texto refundido de la Ley del impuesto sobre transmisiones patrimoniales y actos jurídicos documentados, en su redacción originaria”. Así, pues, bastaría, por tanto, en hipótesis, con remitirse a lo razonado en dicha Sentencia para resolver el recurso de amparo que ahora pende ante nosotros, en el que, aunque el Abogado del Estado sostenga lo contrario, se plantea de manera evidente un supuesto de aplicación del citado art. 56.3. No obstante, como se ha expuesto al recoger las posiciones de las partes en el presente recurso, la Letrada de la Junta de Andalucía ha defendido la aplicación al presente caso de lo dispuesto en el art. 40 LOTC, entendiendo que la declaración de inconstitucionalidad del art. 56.3 LITP realizada por la STC 113/2006 no afecta a la situación enjuiciada </w:t>
      </w:r>
      <w:r>
        <w:lastRenderedPageBreak/>
        <w:t>porque dicha Sentencia comenzó a surtir sus efectos a partir de su publicación en el “Boletín Oficial del Estado” del 9 de mayo de 2006, de suerte que el precepto declarado inconstitucional se encontraba vigente cuando se produjo el hecho imponible y cuando se realizó la notificación, así como en el momento de pronunciarse la Sentencia que desestimó el recurso contencioso-administrativo, de 8 de mayo de 2006. A su juicio, se trataría de un asunto resuelto mediante sentencia firme, al que no puede abarcar el alcance retroactivo de la declaración de inconstitucionalidad.</w:t>
      </w:r>
    </w:p>
    <w:p w:rsidR="0052098F" w:rsidRDefault="0052098F" w:rsidP="0052098F">
      <w:pPr>
        <w:pStyle w:val="TextoNormal"/>
      </w:pPr>
      <w:r>
        <w:t>En efecto, como ha puesto de relieve la Letrada de la Junta de Andalucía, el art. 40.1 LOTC (no modificado por la Ley Orgánica 6/2007, de 24 de mayo) determina que las sentencias que declaren la inconstitucionalidad de una Ley, disposición o acto con fuerza de Ley “no permitirán revisar los procesos fenecidos mediante sentencia con fuerza de cosa juzgada en los que se haya hecho aplicación de las Leyes, disposiciones o actos inconstitucionales”, con la excepción de los procesos penales o los contencioso-administrativos relativos a una sanción, en los que la nulidad de la norma implique “una reducción de la pena o de la sanción o una exclusión, exención o limitación de la responsabilidad”. En este sentido, en la STC 159/1997, de 2 de octubre, hemos dicho que “resulta indudable que un proceso judicial concluido por Sentencia firme (art. 245.3 LOPJ) es, a los fines de lo dispuesto en el art. 40.1 LOTC, un ‘proceso fenecido mediante Sentencia con fuerza de cosa juzgada’, aun cuando dicha Sentencia haya sido objeto de un ulterior recurso de amparo”, y que sostener la interpretación opuesta resultaría contrario a lo establecido en el segundo inciso del art. 161.1 a) CE, “pues este precepto claramente excluye que mediante una declaración de inconstitucionalidad de una norma con rango de Ley pierdan el valor de cosa juzgada la Sentencia o las Sentencias recaídas, mientras que, en cambio, extiende los efectos de esa declaración a la jurisprudencia que ha interpretado la norma” (FJ 7). De la misma forma, a la hora de fijar el alcance de la declaración de inconstitucionalidad de normas legales, este Tribunal ha dicho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(STC 45/1989, de 20 de febrero, FJ 11; y, en el mismo sentido, SSTC 146/1994, de 12 de mayo, FJ 8; 179/1994, de 16 de junio, FJ 12; y 1994/2000, de 19 de julio, FJ 12).</w:t>
      </w:r>
    </w:p>
    <w:p w:rsidR="0052098F" w:rsidRDefault="0052098F" w:rsidP="0052098F">
      <w:pPr>
        <w:pStyle w:val="TextoNormal"/>
      </w:pPr>
      <w:r>
        <w:t xml:space="preserve">En el presente caso, es lo cierto que la Sentencia de declaración de inconstitucionalidad del art. 56.3 LITP, a pesar de ser de fecha anterior a la Sentencia aquí impugnada, que se encuentra datada el 8 de mayo de 2006, no se publicó en el “Boletín Oficial del Estado” hasta el día siguiente, momento a partir del cual producía efectos generales, de acuerdo con lo dispuesto en el art. 38.1 LOTC. Ahora bien, esta circunstancia no implica, necesariamente, que este Tribunal no pueda entrar a revisar dicha resolución judicial y la actuación administrativa previa a través de la vía del recurso de amparo interpuesto por la entidad actora, ni excluye que pueda estimar éste por remisión a los argumentos de la Sentencia declaratoria de inconstitucionalidad del referido art. 56.3 LITP. Lo que ocurre es que esta posibilidad, en todo caso, se encuentra condicionada por la concepción misma del recurso de amparo, cuya finalidad esencial es la protección de los derechos y libertades contemplados en el art. 53.2 CE, a los que exclusivamente queda ceñido su ámbito propio, de suerte que, como dijimos en la ya citada STC 159/1997, FJ 6, “a lo único que este Tribunal puede dar respuesta en dicho proceso es a la existencia o no de una vulneración de los mencionados derechos y libertades fundamentales, sin que le resulte posible hacer pronunciamiento alguno que exceda de dicho ámbito. Pues, aun cuando pueda admitirse ‘una pretensión directa </w:t>
      </w:r>
      <w:r>
        <w:lastRenderedPageBreak/>
        <w:t>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FJ 1)”. De donde se sigue que no es suficiente con la existencia de un problema de constitucionalidad, sino que, además, teniendo en cuenta la autonomía de cada uno de los procesos constitucionales, es necesario que el concreto problema constitucional tenga abierto el acceso dentro del ámbito de la jurisdicción de este Tribunal en los procesos constitucionales, según lo dispuesto en la Constitución y en su Ley Orgánica.</w:t>
      </w:r>
    </w:p>
    <w:p w:rsidR="0052098F" w:rsidRDefault="0052098F" w:rsidP="0052098F">
      <w:pPr>
        <w:pStyle w:val="TextoNormal"/>
      </w:pPr>
      <w:r>
        <w:t>La consecuencia que de todo esto se nos ofrece es clara: para que en un recurso de amparo pueda este Tribunal remitirse a lo decidido en un previo proceso de inconstitucionalidad, no basta con que se encuentre afectado el mismo precepto legal, sino que, además, es preciso que el derecho o el precepto constitucional que hubiese fundamentado la declaración de inconstitucionalidad sea también susceptible de tutela en el proceso de amparo constitucional. La STC 159/1997 así lo expresa, aunque en sentido negativo, al decir que “si el problema de constitucionalidad ha sido resuelto previamente en el ámbito de un proceso de inconstitucionalidad y, por haberse estimado que vulneraba un determinado precepto de la Constitución, se ha declarado la inconstitucionalidad y consiguiente nulidad de un concreto precepto legal, caso de estar excluido el primero del ámbito del proceso de amparo no cabe extender, sin más, los efectos de la Sentencia declarando la nulidad del segundo a este proceso” (FJ 6).</w:t>
      </w:r>
    </w:p>
    <w:p w:rsidR="0052098F" w:rsidRDefault="0052098F" w:rsidP="0052098F">
      <w:pPr>
        <w:pStyle w:val="TextoNormal"/>
      </w:pPr>
      <w:r>
        <w:t>Pues bien, en nuestro caso no existe obstáculo para resolver el presente recurso por remisión a lo decidido en la STC 113/2006, pues, al igual que ocurrió con los casos decididos por las SSTC 223/1994, 224/1994, 225/1994, 226/1994, de 18 de julio; 284/1994, de 14 de octubre; 152/1995, de 14 de octubre; y 145/1996, de 16 de septiembre (en las que se otorgó el amparo con remisión a los fundamentos de la STC 179/1994, de 16 de junio, por la que se declaró que el régimen de adscripción obligatoria a las Cámaras de Comercio, establecido por la base cuarta, apartado 4, de la Ley de 29 de junio de 1991, resultaba contrario al derecho fundamental de asociación reconocido en el art. 22.1, en relación con los arts. 1.1 y 10.1 CE), en el presente supuesto, la declaración de inconstitucionalidad del art. 56.3 de la Ley del impuesto sobre transmisiones patrimoniales y actos jurídicos documentados (LITP) se fundamentó en la vulneración del derecho a la tutela judicial efectiva consagrado en el art.  24.1 CE, y en dicha vulneración se sustenta, igualmente, el recurso de amparo que ahora nos ocupa, a diferencia de lo ocurrido en los supuestos resueltos en las SSTC 159/1997, de 2 de octubre, y 6/1998, de 13 de enero, invocadas por la Letrada de la Junta de Andalucía, en los que la declaración de inconstitucionalidad de las normas de cuya aplicación se trataba se había producido por la vulneración de preceptos constitucionales no susceptibles de fundamentar el amparo.</w:t>
      </w:r>
    </w:p>
    <w:p w:rsidR="0052098F" w:rsidRDefault="0052098F" w:rsidP="0052098F">
      <w:pPr>
        <w:pStyle w:val="TextoNormal"/>
      </w:pPr>
      <w:r>
        <w:t xml:space="preserve">En último término, la posibilidad de estimar el recurso sobre la base de la inconstitucionalidad del precepto aplicado siempre quedaría abierta, pues, con independencia de que la declaración de inconstitucionalidad operada por la STC 113/2006 fuera posterior a la resolución judicial que se impugna en amparo, la apreciación de que la ley aplicada vulneraba algún derecho fundamental o libertad pública susceptibles de amparo nos permitiría elevar la cuestión al Pleno, con suspensión del plazo para dictar sentencia, de conformidad con lo dispuesto en el art. 55.2 LOTC (en la redacción dada por la Ley Orgánica 6/2007, que resulta aplicable, con independencia de la fecha de iniciación del recurso, por determinación de su disposición transitoria cuarta); actuación que no tiene sentido realizar en el presente caso, toda vez que ya existe el previo pronunciamiento del Pleno de este Tribunal declarando la </w:t>
      </w:r>
      <w:r>
        <w:lastRenderedPageBreak/>
        <w:t>inconstitucionalidad del precepto legal cuya aplicación motiva el recurso de la actora, lo que hace evidente la posibilidad de otorgar ahora el amparo.</w:t>
      </w:r>
    </w:p>
    <w:p w:rsidR="0052098F" w:rsidRDefault="0052098F" w:rsidP="0052098F">
      <w:pPr>
        <w:pStyle w:val="TextoNormal"/>
      </w:pPr>
      <w:r>
        <w:t>Por consiguiente, y habida cuenta de las circunstancias que presenta este recurso, el hecho de que la STC 113/2006 se publicara después de las actuaciones administrativa y judicial que aquí se impugnan no excluye la posibilidad de remitir la resolución del amparo a lo decidido en dicha Sentencia, de modo que procede rechazar la alegación que la Letrada de la Junta de Andalucía</w:t>
      </w:r>
    </w:p>
    <w:p w:rsidR="0052098F" w:rsidRDefault="0052098F" w:rsidP="0052098F">
      <w:pPr>
        <w:pStyle w:val="TextoNormal"/>
      </w:pPr>
    </w:p>
    <w:p w:rsidR="0052098F" w:rsidRDefault="0052098F" w:rsidP="0052098F">
      <w:pPr>
        <w:pStyle w:val="TextoNormal"/>
      </w:pPr>
      <w:r w:rsidRPr="0052098F">
        <w:rPr>
          <w:rStyle w:val="NumeroAFNegritaCaracter"/>
        </w:rPr>
        <w:t>3</w:t>
      </w:r>
      <w:r>
        <w:t>. Aclarado este extremo, sólo nos queda recordar que la actora ha planteado su cuestión en idénticos términos a como fue suscitada en la cuestión de inconstitucionalidad núm. 1438-2000, resuelta por la STC 113/2006, en cuyo FJ 5 se ponía de relieve la incidencia que la previsión legal podía tener en el derecho a la tutela judicial efectiva de los obligados tributarios, “en la medida en que la notificación de los actos de gestión del impuesto sobre transmisiones patrimoniales y actos jurídicos documentados a quien no siendo sujeto pasivo del mismo presenta el documento, puede constituir un obstáculo insalvable para los obligados tributarios en orden al acceso a la jurisdicción en aquellos casos en los que el presentador no les comunique dichos actos o no lo haga temporáneamente”. Y la conclusión a la que llega la Sentencia, tras analizar detalladamente la legitimidad constitucional de esta incidencia en el derecho a la tutela judicial efectiva es la de que “el art. 59.2 del Real Decreto Legislativo 3050/1980, de 30 de diciembre [y, por extensión, el art. 56.3 del texto refundido de la Ley del impuesto sobre transmisiones patrimoniales y actos jurídicos documentados, aprobado por el Real Decreto Legislativo 1/1993, de 24 de septiembre, en su redacción originaria], en la medida en que prevé que la notificación de los actos de gestión del impuesto sobre transmisiones patrimoniales y actos jurídicos documentados se efectúe directamente a personas distintas del propio sujeto pasivo o su representante, que admite que dichas personas sean terceros que no guarden la debida relación de proximidad geográfica con el interesado y, en fin, que no ofrece a este último la posibilidad de probar que no se le trasladó el contenido de dichos actos a tiempo de poder reaccionar en defensa de sus derechos e intereses, establece un obstáculo desproporcionado al acceso a la jurisdicción y, por tanto, lesiona el art. 24.1 CE” (FJ 8).</w:t>
      </w:r>
    </w:p>
    <w:p w:rsidR="0052098F" w:rsidRDefault="0052098F" w:rsidP="0052098F">
      <w:pPr>
        <w:pStyle w:val="TextoNormal"/>
      </w:pPr>
      <w:r>
        <w:t xml:space="preserve">En nuestro caso, y en aplicación de la previsión del art. 56.3 LITP, la notificación del acto administrativo de comprobación de valores así como de la correspondiente liquidación del impuesto de actos jurídicos documentados se realizó a la gestoría que presentó la escritura pública de compraventa para la liquidación del impuesto, sin que el sujeto pasivo tuviera noticias de aquella notificación por otros medios, circunstancia que, según afirma, le impidió tener conocimiento de la existencia de dichos actos administrativos y le imposibilitó recurrirlos en la vía jurisdiccional, en la que únicamente se ha podido discutir acerca de la corrección de la notificación efectuada. Por consiguiente, no podemos sino trasladar la conclusión de la STC 113/2006 al recurso de amparo que nos ocupa, entendiendo que se ha vulnerado el derecho a la tutela judicial efectiva sin indefensión de la recurrente, a la que debe otorgarse el amparo, sin que haya necesidad alguna de elevar cuestión de inconstitucionalidad al Pleno de este Tribunal, como se solicitaba en la demanda, habida cuenta del pronunciamiento efectuado en aquella Sentencia. No altera esta conclusión el alegato del Abogado del Estado, que sostiene la inaplicabilidad al presente caso de la doctrina sentada en la STC 113/2006, por existir —a su juicio— un mandato representativo voluntario, pues, ésta es una cuestión no discutida en la vía judicial previa, en la que, en todo momento, el debate ha quedado centrado en la aplicación del art. 56.3 LITP que otorgaba cobertura a la </w:t>
      </w:r>
      <w:r>
        <w:lastRenderedPageBreak/>
        <w:t>actuación administrativa. Siendo esto así, baste recordar que, en la referida Sentencia, dijimos que dicho precepto establece “un mandato ex lege, que nace con independencia de la voluntad de las partes”, y que no queda supeditado “a la autonomía de la voluntad sino que confiere el carácter de mandatario al presentador del documento ‘por el solo hecho de la presentación’, con independencia de que haya mediado o no previamente un contrato de mandato, de cuál haya sido —en caso afirmativo— el alcance del mismo e, incluso, de que el sujeto pasivo del impuesto sobre transmisiones patrimoniales y actos jurídicos documentados conozca o no de la existencia y las gestiones del presentador”. Y añadimos incluso que, aun aceptando la aplicación de las reglas relativas a la revocación y renuncia del contrato de mandato al impuesto por determinación legal, no quedaría sanada la inconstitucionalidad del precepto, “porque es evidente que el escrito por el que el interesado o el presentador pudiera dejar sin efecto aquel mandato legal no invalida las notificaciones que la Administración tributaria hubiera efectuado al presentador o las diligencias que éste hubiera suscrito sin el conocimiento de los sujetos pasivos, dado que, obviamente, los efectos de la revocación o renuncia sólo se producirían  a partir del momento de su constancia en el expediente” (FJ 9).</w:t>
      </w:r>
    </w:p>
    <w:p w:rsidR="0052098F" w:rsidRDefault="0052098F" w:rsidP="0052098F">
      <w:pPr>
        <w:pStyle w:val="TextoNormal"/>
      </w:pPr>
      <w:r>
        <w:t>En consecuencia, procede la anulación tanto de la Sentencia de 8 de mayo de 2006 como de todo lo actuado en el expediente de comprobación de valores desde la notificación de dicha comprobación y de la liquidación núm. T5-1917-1996, con retroacción al momento inmediatamente anterior a la práctica de dichas notificaciones, para que sean realizadas de forma respetuosa con el derecho fundamental del sujeto pasivo del impuesto a la tutela judicial efectiva. Asimismo, y aunque la demandante no dirija expresamente su demanda contra la resolución del Tribunal Económico-Administrativo Regional de Andalucía, nuestro fallo debe alcanzarle también, pues, como ha señalado este Tribunal, cuando se impugna en amparo una resolución judicial confirmatoria de otra, que ha sido lógica y cronológicamente presupuesto de aquélla, ha de considerarse también recurrida la precedente decisión confirmada, aun cuando no lo haya sido expresamente (por todas, SSTC 99/2005, de 18 de abril, FJ 3; y 326/2005, de 12 de diciembre, FJ 2).</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el recurso de amparo interpuesto por Proiliberis, S.L. y, en su virtud:</w:t>
      </w:r>
    </w:p>
    <w:p w:rsidR="0052098F" w:rsidRDefault="0052098F" w:rsidP="0052098F">
      <w:pPr>
        <w:pStyle w:val="TextoNormal"/>
      </w:pPr>
      <w:r>
        <w:t>1º Declarar que ha sido vulnerado el derecho fundamental a la tutela judicial efectiva sin indefensión (art. 24.1 CE) de la entidad recurrente.</w:t>
      </w:r>
    </w:p>
    <w:p w:rsidR="0052098F" w:rsidRDefault="0052098F" w:rsidP="0052098F">
      <w:pPr>
        <w:pStyle w:val="TextoNormal"/>
      </w:pPr>
      <w:r>
        <w:t xml:space="preserve">2º Restablecerla en su derecho y, a tal fin, declarar la nulidad de la Sentencia de la Sección Segunda de la Sala de lo Contencioso-Administrativo del Tribunal Superior de Justicia de Andalucía con sede en Granada, de 8 de mayo de 2006, recaída en el recurso núm. 907-1999, así como de la Resolución del Tribunal Económico-Administrativo Regional de Andalucía, Sala de Granada, de 25 de enero de 1999, dictada en la reclamación núm. 18-3869-1997, y de todo lo actuado en el expediente de comprobación de valores núm. 31503-1995 desde la notificación de dicha comprobación y de la liquidación núm. T5-1917-1996, con retroacción al momento inmediatamente anterior a la práctica de tales notificaciones, para </w:t>
      </w:r>
      <w:r>
        <w:lastRenderedPageBreak/>
        <w:t>que la Administración tributaria proceda a realizarlas de forma respetuosa con el derecho fundamental del sujeto pasivo del impuesto a la tutela judicial efectiva.</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diez de marzo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0" w:name="SENTENCIA_2008_47"/>
      <w:r>
        <w:lastRenderedPageBreak/>
        <w:t>SENTENCIA 47/2008, de 11 de marzo de 2008</w:t>
      </w:r>
    </w:p>
    <w:bookmarkEnd w:id="50"/>
    <w:p w:rsidR="0052098F" w:rsidRDefault="0052098F" w:rsidP="0052098F">
      <w:pPr>
        <w:pStyle w:val="TtuloResolucin"/>
      </w:pPr>
      <w:r>
        <w:t>Pleno</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ECLI:ES:TC:2008:47</w:t>
      </w:r>
    </w:p>
    <w:p w:rsidR="0052098F" w:rsidRDefault="0052098F" w:rsidP="0052098F">
      <w:pPr>
        <w:pStyle w:val="SntesisDescriptiva"/>
      </w:pPr>
    </w:p>
    <w:p w:rsidR="0052098F" w:rsidRDefault="0052098F" w:rsidP="0052098F">
      <w:pPr>
        <w:pStyle w:val="SntesisDescriptiva"/>
      </w:pPr>
      <w:r>
        <w:t>Conflicto en defensa de la autonomía local 6613-2000. Promovido por el Ayuntamiento de Torrent y otros en relación con el artículo 2 y la disposición transitoria de la Ley de la Generalitat Valenciana 8/1999, de 3 de diciembre, por la que se suprime el Área Metropolitana de l'Horta.</w:t>
      </w:r>
    </w:p>
    <w:p w:rsidR="0052098F" w:rsidRDefault="0052098F" w:rsidP="0052098F">
      <w:pPr>
        <w:pStyle w:val="SntesisDescriptiva"/>
      </w:pPr>
    </w:p>
    <w:p w:rsidR="0052098F" w:rsidRDefault="0052098F" w:rsidP="0052098F">
      <w:pPr>
        <w:pStyle w:val="SntesisAnaltica"/>
      </w:pPr>
      <w:r>
        <w:t>Alegada vulneración de la autonomía local: extinción del conflicto porque la ley ha agotado sus efectos. Voto particular.</w:t>
      </w:r>
    </w:p>
    <w:p w:rsidR="0052098F" w:rsidRDefault="0052098F" w:rsidP="0052098F">
      <w:pPr>
        <w:pStyle w:val="SntesisAnaltica"/>
      </w:pPr>
    </w:p>
    <w:p w:rsidR="0052098F" w:rsidRDefault="0052098F" w:rsidP="0052098F">
      <w:pPr>
        <w:pStyle w:val="Extracto"/>
      </w:pPr>
      <w:r>
        <w:t>1.</w:t>
      </w:r>
      <w:r>
        <w:tab/>
        <w:t>Procede declarar extinguido, por pérdida de objeto, el conflicto generado con la supresión del Área Metropolitana de l'Horta ya que la pérdida de vigencia de las disposiciones objeto del presente recurso viene determinada por la aprobación de la Ley de la Generalitat Valenciana 2/2001, que deroga la Ley de la Generalitat Valenciana 8/1999, establece una nueva ordenación de las áreas metropolitanas y crea dos entidades metropolitanas que, incluyendo en su ámbito territorial de actuación a la totalidad de los municipios promotores del presente conflicto, se subrogan en las obligaciones que hubiera asumido el órgano de gobierno de la suprimida Área Metropolitana de l'Horta sucediéndole en la titularidad de los medios personales [FJ 2].</w:t>
      </w:r>
    </w:p>
    <w:p w:rsidR="0052098F" w:rsidRDefault="0052098F" w:rsidP="0052098F">
      <w:pPr>
        <w:pStyle w:val="Extracto"/>
      </w:pPr>
    </w:p>
    <w:p w:rsidR="0052098F" w:rsidRDefault="0052098F" w:rsidP="0052098F">
      <w:pPr>
        <w:pStyle w:val="Extracto"/>
      </w:pPr>
      <w:r>
        <w:t>2.</w:t>
      </w:r>
      <w:r>
        <w:tab/>
        <w:t>Reitera doctrina constitucional de la STC 240/2006 sobre el conflicto en defensa de la autonomía local [FJ 1].</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conflicto en defensa de la autonomía local núm. 6613-2000, promovido por los Ayuntamientos de Torrent, Alaquas, Quart de Poblet, Chirivella, Mislata, Sedavi, Burjassot, Puçol, Benetusser, Emperador y Aldaia, representados por el Procurador de los Tribunales </w:t>
      </w:r>
      <w:r>
        <w:lastRenderedPageBreak/>
        <w:t>don Juan Luis Pérez-Mulet y Suárez y asistidos por el Abogado don José Luis Martínez Morales, en relación con el art. 2 y la disposición transitoria de la Ley de la Generalitat Valenciana 8/1999, de 3 de diciembre, por la que se suprime el Área Metropolitana de l'Horta. Han intervenido y formulado alegaciones el Abogado del Estado, el Consejo de Gobierno de la Generalitat Valenciana y las Cortes Valencianas. Ha sido Ponente el Magistrado don Eugeni Gay Montalvo, quien expresa el parecer del Tribunal.</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con fecha 16 de diciembre de 2000, don Juan Luis Pérez-Mulet y Suárez, Procurador de los Tribunales, en nombre y representación de los Ayuntamientos de Torrent, Alaquas, Quart de Poblet, Chirivella, Mislata, Sedavi, Burjassot, Puçol, Benetusser, Emperador y Aldaia, plantea conflicto en defensa de la autonomía local en relación con el art. 2 y la disposición transitoria de la Ley 8/1999, de 3 de diciembre, de la Generalitat Valenciana, por la que se suprime el Área Metropolitana de l'Horta.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El escrito de planteamiento del conflicto en defensa de la autonomía local expone, sintéticamente, lo siguiente: </w:t>
      </w:r>
    </w:p>
    <w:p w:rsidR="0052098F" w:rsidRDefault="0052098F" w:rsidP="0052098F">
      <w:pPr>
        <w:pStyle w:val="TextoNormal"/>
      </w:pPr>
      <w:r>
        <w:t xml:space="preserve">a) Tras indicar la concurrencia de los requisitos formales relativos al planteamiento en plazo del conflicto en defensa de la autonomía local y a la legitimación de los municipios promotores, comienza señalando que el art. 3.2 de la Ley 4/1995, de 16 de marzo, de constitución del Área Metropolitana de l'Horta atribuye al Consell Metropolitá “el servicio metropolitano del agua en alta, consistente en la producción y suministro hasta el punto de distribución municipal, residuos sólidos, incendios y mataderos, así como aquéllos otros de interés metropolitano cuando así se establezca legalmente”. Estos servicios han de considerarse de competencia municipal (arts. 25, 26 y 86 de la Ley 7/1985, de 2 de abril, reguladora de las bases del régimen local, en adelante LBRL), por lo que no resulta conforme con la Constitución y vulnera la autonomía local el art. 2 de la Ley 8/1999, que prevé la creación de una Comisión Mixta paritaria, integrada por representantes del Gobierno Valenciano y de los municipios que integraban el Área Metropolitana de l'Horta, encargada de decidir el destino del personal y de los medios patrimoniales, materiales y financieros del citado Consell Metropolitá. Habida cuenta de que los servicios que gestionaba el Consell son de competencia municipal, no resulta aceptable que el Gobierno Valenciano pueda decidir, en razón a la composición de la Comisión Mixta paritaria (6 miembros en representación del Gobierno Valenciano, que además preside el órgano, y 6 miembros en representación de los municipios) el destino de los citados medios personales y materiales, pues los mismos han de revertir a los municipios según decidan los mismos, lo que no resulta posible pues ni la ley les atribuye esa decisión ni tampoco les asegura la mayoría en la Comisión Mixta. Por el contrario, la mayoría absoluta legal del órgano quedaría en manos de los representantes autonómicos, pues a los seis representantes habría que unir el presidente, designado en el precepto impugnado. </w:t>
      </w:r>
    </w:p>
    <w:p w:rsidR="0052098F" w:rsidRDefault="0052098F" w:rsidP="0052098F">
      <w:pPr>
        <w:pStyle w:val="TextoNormal"/>
      </w:pPr>
      <w:r>
        <w:t>Así pues, con la fórmula empleada se margina de todo poder decisorio a los Ayuntamientos implicados, titulares de las competencias que ejercía el ente supramunicipal suprimido, dado que quedan en situación de minoritarios en la Comisión Mixta creada. Aunque las Comunidades Autónomas puedan crear, modificar o suprimir mediante ley áreas metropo</w:t>
      </w:r>
      <w:r>
        <w:lastRenderedPageBreak/>
        <w:t xml:space="preserve">litanas (art. 43 LBRL), no pueden suplantar la voluntad de los Ayuntamientos sobre el destino de los bienes de aquéllos en caso de supresión, vulnerando el derecho de aquéllos a participar “a través de órganos propios en el gobierno y administración cuantos asuntos les atañen” (SSTC 4/1981, 32/1981 y 101/1998, entre otras). </w:t>
      </w:r>
    </w:p>
    <w:p w:rsidR="0052098F" w:rsidRDefault="0052098F" w:rsidP="0052098F">
      <w:pPr>
        <w:pStyle w:val="TextoNormal"/>
      </w:pPr>
      <w:r>
        <w:t xml:space="preserve">En suma, la demanda considera que se ha sustraído a los Ayuntamientos el derecho a participar a través de órganos propios en el proceso de disolución del área metropolitana en cuestión, conculcando con ello la autonomía local constitucionalmente garantizada (STC 214/1989 y 109/1998). </w:t>
      </w:r>
    </w:p>
    <w:p w:rsidR="0052098F" w:rsidRDefault="0052098F" w:rsidP="0052098F">
      <w:pPr>
        <w:pStyle w:val="TextoNormal"/>
      </w:pPr>
      <w:r>
        <w:t xml:space="preserve">b) En cuanto a la disposición transitoria, el escrito de planteamiento del conflicto en defensa de la autonomía local aduce la vulneración de los arts. 137 y 140 CE en la medida que el precepto impugnado atribuye al Gobierno Valenciano la competencia para realizar las actuaciones necesarias para garantizar el normal funcionamiento de los servicios que correspondían al Área Metropolitana de l'Horta así como la cooperación y asistencia activa a las corporaciones locales. </w:t>
      </w:r>
    </w:p>
    <w:p w:rsidR="0052098F" w:rsidRDefault="0052098F" w:rsidP="0052098F">
      <w:pPr>
        <w:pStyle w:val="TextoNormal"/>
      </w:pPr>
      <w:r>
        <w:t xml:space="preserve">Los arts. 25, 26 y 86.3 LBRL reservan al municipio la competencia sobre la prestación de los servicios a que se viene haciendo referencia y la Comunidad Autónoma no puede disponer de ellos para conformar nuevos regímenes de prestación a cargo de entes no locales. </w:t>
      </w:r>
    </w:p>
    <w:p w:rsidR="0052098F" w:rsidRDefault="0052098F" w:rsidP="0052098F">
      <w:pPr>
        <w:pStyle w:val="TextoNormal"/>
      </w:pPr>
      <w:r>
        <w:t xml:space="preserve">De acuerdo con la STC 214/1989 el legislador autonómico no puede desconocer, al regular las materias de su competencia (art. 2.1 LBRL) los criterios generales que sobre las competencias de las Corporaciones locales se contienen en los arts. 25, 26 y 36 de la propia LBRL, máxime cuando estos preceptos tienen carácter básico, lo que implica que la Comunidad Valenciana no puede atraer hacia sí competencias que no le corresponden, pues el bloque de la constitucionalidad las ha atribuido a los Ayuntamientos integrados en el Área Metropolitana. Las bases estatales contenidas en la LBRL son, de otro lado, de carácter unitario en cuanto a su aplicación a todas las Administraciones públicas, especialmente cuando se regulan, como en este caso, aspectos relativos a la actividad externa de aquéllas y que inciden en la esfera de derechos e intereses de los administrados (STC 50/1999). </w:t>
      </w:r>
    </w:p>
    <w:p w:rsidR="0052098F" w:rsidRDefault="0052098F" w:rsidP="0052098F">
      <w:pPr>
        <w:pStyle w:val="TextoNormal"/>
      </w:pPr>
      <w:r>
        <w:t xml:space="preserve">En suma, la demanda considera que, a través de esta disposición transitoria, la Comunidad Autónoma suplanta a los municipios en el ejercicio de determinadas competencias locales que les son propias, privándoles de poder decisorio respecto a servicios que son de su exclusiva competencia, con la consiguiente vulneración de la autonomía local sin que la referencia final a la “cooperación y asistencia activa a las Corporaciones Locales” no sea más que una declaración desprovista de contenido a la vista del contenido del resto del precepto. </w:t>
      </w:r>
    </w:p>
    <w:p w:rsidR="0052098F" w:rsidRDefault="0052098F" w:rsidP="0052098F">
      <w:pPr>
        <w:pStyle w:val="TextoNormal"/>
      </w:pPr>
      <w:r>
        <w:t>c) Por todo ello, solicita la admisión a trámite del conflicto en defensa de la autonomía local, a fin de que se dicte sentencia declarando que la Ley 8/1999, de 3 de diciembre, de la Generalitat Valenciana, por la que se suprime el Área Metropolitana de l'Horta vulnera la autonomía local constitucionalmente garantizada.</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Mediante providencia de la Sección Tercera del Tribunal Constitucional, de 13 de febrero de 2001, se acuerda tener por interpuesto el presente conflicto en defensa de la autonomía local y, con carácter previo a la admisión, requerir al Procurador don Juan Luis Pérez-Mulet y Suárez para que acredite la legitimación de los Municipios que promueven el conflicto, aporte certificación expedida por el Secretario de los respectivos Ayuntamientos, donde se haga constar, conforme a lo establecido en el art. 75 ter. 2 LOTC, la adopción del Acuerdo para la iniciación de su tramitación por el órgano plenario de la Corporación con el voto favorable de la mayoría absoluta del número legal de miembros de dicho órgano, </w:t>
      </w:r>
      <w:r>
        <w:lastRenderedPageBreak/>
        <w:t xml:space="preserve">así como la fecha de adopción del referido Acuerdo y, por último, aporte testimonio de la solicitud por parte de los municipios que promueven el conflicto, de dictamen al Consejo Jurídico Consultivo de la Comunidad Valenciana. </w:t>
      </w:r>
    </w:p>
    <w:p w:rsidR="0052098F" w:rsidRDefault="0052098F" w:rsidP="0052098F">
      <w:pPr>
        <w:pStyle w:val="TextoNormal"/>
      </w:pPr>
      <w:r>
        <w:t>Con fecha 2 de marzo de 2001, el Procurador de los Tribunales don Juan Luis Pérez-Mulet y Suárez presentó escrito en el Tribunal cumplimentando lo solicitado en la providencia antedicha. Posteriormente, el 10 de abril de 2001, se registró en este Tribunal Constitucional un escrito del mismo Procurador de los Tribunales en el que solicitaba que se tuviera por desistido al Ayuntamiento de Mislata en el presente conflicto en defensa de la autonomía local.</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la Sección Tercera del Tribunal Constitucional, de fecha 8 de mayo de 2001, se acordó incorporar a los autos la documentación aportada por la representación procesal de los demandantes así como el escrito de desistimiento formulado por el Ayuntamiento de Mislata. Asimismo se admitió a trámite el conflicto en defensa de la autonomía local planteado por los Ayuntamientos de Torrent, Alaquas, Quart de Poblet, Chirivella, Sedavi, Burjassot, Pucol, Benetusser, Emperador y Aldaia contra el art. 2 y la disposición transitoria de la Ley 8/1999, de 3 de diciembre, de la Generalitat Valenciana, por la que se suprime el Área Metropolitana de l'Horta y se dio traslado de la demanda y documentos presentados al Congreso de los Diputados y al Senado, así como al Consejo de Gobierno de la Generalitat Valenciana y a las Cortes Valencianas y al Gobierno de la Nación, al objeto de que en el plazo de veinte días pudieran personarse en el proceso y formular alegaciones. También acordó publicar la incoación del conflicto en el “Boletín Oficial del Estado” y en el “Diario Oficial de la Generalitat Valenciana”.</w:t>
      </w:r>
    </w:p>
    <w:p w:rsidR="0052098F" w:rsidRDefault="0052098F" w:rsidP="0052098F">
      <w:pPr>
        <w:pStyle w:val="TextoNormal"/>
      </w:pPr>
    </w:p>
    <w:p w:rsidR="0052098F" w:rsidRDefault="0052098F" w:rsidP="0052098F">
      <w:pPr>
        <w:pStyle w:val="TextoNormal"/>
      </w:pPr>
      <w:r w:rsidRPr="0052098F">
        <w:rPr>
          <w:rStyle w:val="NumeroAFNegritaCaracter"/>
        </w:rPr>
        <w:t>5</w:t>
      </w:r>
      <w:r>
        <w:t>. El día 21 de mayo de 2001 se registró en el Tribunal Constitucional un escrito de la Presidenta del Congreso de los Diputados en el que comunicaba que dicha Cámara no se personaría en el proceso ni formularía alegaciones.</w:t>
      </w:r>
    </w:p>
    <w:p w:rsidR="0052098F" w:rsidRDefault="0052098F" w:rsidP="0052098F">
      <w:pPr>
        <w:pStyle w:val="TextoNormal"/>
      </w:pPr>
    </w:p>
    <w:p w:rsidR="0052098F" w:rsidRDefault="0052098F" w:rsidP="0052098F">
      <w:pPr>
        <w:pStyle w:val="TextoNormal"/>
      </w:pPr>
      <w:r w:rsidRPr="0052098F">
        <w:rPr>
          <w:rStyle w:val="NumeroAFNegritaCaracter"/>
        </w:rPr>
        <w:t>6</w:t>
      </w:r>
      <w:r>
        <w:t>. La Presidenta del Senado, mediante escrito registrado el 29 de mayo de 2001, comunica que la Cámara se persona en el proceso, ofreciendo su colaboración a los efectos del art. 88.1 LOTC.</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Abogado del Estado, en la representación que legalmente ostenta, presentó su escrito de alegaciones de día 29 de mayo estimando improcedente la estimación del conflicto planteado, de acuerdo con los siguientes argumentos: </w:t>
      </w:r>
    </w:p>
    <w:p w:rsidR="0052098F" w:rsidRDefault="0052098F" w:rsidP="0052098F">
      <w:pPr>
        <w:pStyle w:val="TextoNormal"/>
      </w:pPr>
      <w:r>
        <w:t xml:space="preserve">Comienza señalando la especial naturaleza de las áreas metropolitanas, en cuanto que se trata de entidades locales de constitución autonómica concebidas para el servicio de los municipios integrados en ellas, de tal forma que los mismos dejan de ser competentes para la gestión de determinados servicios municipales que han pasado a prestarse de forma conjunta, sin que tal modalidad conjunta conlleve, por otra parte, un desplazamiento de las competencias locales a las Comunidades Autónomas, puesto que las competencias ejercidas por el área metropolitana, aunque se ejerzan en forma compartida con otros municipios, siguen siendo competencias locales. </w:t>
      </w:r>
    </w:p>
    <w:p w:rsidR="0052098F" w:rsidRDefault="0052098F" w:rsidP="0052098F">
      <w:pPr>
        <w:pStyle w:val="TextoNormal"/>
      </w:pPr>
      <w:r>
        <w:t xml:space="preserve">Aborda a continuación la denunciada lesión de la autonomía local que se derivaría de la composición paritaria de la Comisión Mixta prevista en el art. 2 de la Ley impugnada, destacando su función liquidatoria de las relaciones jurídicas de la entidad extinguida en un marco de reordenación o reestructuración de futuros entes supramunicipales con funciones </w:t>
      </w:r>
      <w:r>
        <w:lastRenderedPageBreak/>
        <w:t xml:space="preserve">similares a las del extinguido, reordenación que se anuncia ya en la propia Ley 8/1999. Por esta razón, el diseño previsto de la Comisión Mixta no puede considerarse una inmisión arbitraria en las competencias municipales, dado el interés de la Comunidad Autónoma en que el proceso de liquidación no perjudique la futura ordenación legal de esos intereses supramunicipales, teniendo en cuenta, además, la LBRL atribuye a las Comunidades Autónomas competencia para la modificación de las áreas metropolitanas. De esta forma en el carácter paritario de la Comisión mixta se conjugan dos intereses distintos: el de los municipios, tanto en cuanto miembros de la entidad que se suprime como de la que se anuncia para el futuro y el de la Comunidad Autónoma en el diseño y dotación de la nueva entidad con funciones similares a la ahora extinguida. </w:t>
      </w:r>
    </w:p>
    <w:p w:rsidR="0052098F" w:rsidRDefault="0052098F" w:rsidP="0052098F">
      <w:pPr>
        <w:pStyle w:val="TextoNormal"/>
      </w:pPr>
      <w:r>
        <w:t>Por lo que hace a la disposición transitoria de la Ley 8/1999, la representación procesal del Estado entiende que, a pesar de que no contempla la participación de los municipios ni tampoco una limitación temporal en el ejercicio de las funciones autonómicas, ha de considerarse expresiva de una continuidad provisional de la entidad local en su configuración anterior y con sus funciones ordinarias de gestión, usando a tal efecto una fórmula en si misma perfectamente ajustada a la LBRL. De esta forma, la garantía que se asume en el funcionamiento de los servicios se matiza y explica como cumplimiento de la cooperación y asistencia activa de las corporaciones locales, sin que exista razón para suponer que si la Ley atribuye a la Comunidad Autónoma esa función en el marco del art. 55 d) LBRL, tal marco sea rebasado y eliminado.</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La Presidenta de las Cortes Valencianas, mediante escrito registrado en este Tribunal Constitucional el día 8 de junio de 2001, formuló las siguientes alegaciones: </w:t>
      </w:r>
    </w:p>
    <w:p w:rsidR="0052098F" w:rsidRDefault="0052098F" w:rsidP="0052098F">
      <w:pPr>
        <w:pStyle w:val="TextoNormal"/>
      </w:pPr>
      <w:r>
        <w:t xml:space="preserve">a) Señala, en primer lugar, la desaparición del objeto del recurso como consecuencia de la derogación de la Ley 8/1999, de 3 de diciembre, de la Generalitat Valenciana, por la que se suprime el Área Metropolitana de l'Horta por la Ley 2/2001, de 11 de mayo, de la Generalitat Valenciana, de creación y gestión de áreas metropolitanas en la Comunidad Valenciana. Posteriormente, y tras algunas consideraciones sobre el ámbito propio del conflicto en defensa de la autonomía local, indica que los dictámenes del Consejo Jurídico Consultivo de la Comunidad Valenciana, emitidos con ocasión de la elaboración del proyecto que dio origen a la Ley impugnada así como, en segundo término, a solicitud de los Ayuntamientos promotores del conflicto, no estiman que se produjera vulneración alguna del ordenamiento jurídico. </w:t>
      </w:r>
    </w:p>
    <w:p w:rsidR="0052098F" w:rsidRDefault="0052098F" w:rsidP="0052098F">
      <w:pPr>
        <w:pStyle w:val="TextoNormal"/>
      </w:pPr>
      <w:r>
        <w:t xml:space="preserve">b) En relación a los concretos contenidos de la Ley 8/1999 considera que ésta no contiene disposición alguna que altere las competencias municipales, puesto que las funciones que desarrollaba el Área Metropolitana de l´Horta constituyen servicios esenciales reservados a los municipios de conformidad con la LBRL, por lo que Ley 8/1999 únicamente viene a responder a la imposibilidad de extinción automática de dicha entidad local y a la necesidad de establecer un régimen transitorio durante su proceso de disolución. </w:t>
      </w:r>
    </w:p>
    <w:p w:rsidR="0052098F" w:rsidRDefault="0052098F" w:rsidP="0052098F">
      <w:pPr>
        <w:pStyle w:val="TextoNormal"/>
      </w:pPr>
      <w:r>
        <w:t xml:space="preserve">En cuanto al art. 2 de la Ley 8/1999 defiende que la composición paritaria de la Comisión Mixta respeta el derecho de participación de los municipios y niega que en la composición del órgano sea mayoritaria la administración autonómica, puesto que dicha Comisión Mixta se integrará por seis representantes de la citada administración, entre los que se incluye aquel que ostenta la presidencia del órgano, y otros tantos miembros en representación de los municipios. Asimismo, descarta que la atribución de la presidencia de la citada Comisión Mixta a un representante de la Generalitat Valenciana suponga un desequilibrio a su favor, puesto que, por aplicación de lo previsto en la Ley 30/1992, de 26 de noviembre, de régimen jurídico de las Administraciones públicas y del procedimiento administrativo común, en </w:t>
      </w:r>
      <w:r>
        <w:lastRenderedPageBreak/>
        <w:t xml:space="preserve">este tipo de órganos está excluido el voto dirimente del presidente. Por otra parte, recalca la existencia de órganos similares al ahora cuestionado, citando al efecto el previsto en la Ley catalana 7/1987, de 4 de abril, de actuaciones públicas especiales en la conurbación de Barcelona y en las comarcas comprendidas dentro de su zona de influencia directa o la Ley de la propia Generalitat Valenciana 4/1995, de 16 de marzo, del Área Metropolitana de l´Horta. </w:t>
      </w:r>
    </w:p>
    <w:p w:rsidR="0052098F" w:rsidRDefault="0052098F" w:rsidP="0052098F">
      <w:pPr>
        <w:pStyle w:val="TextoNormal"/>
      </w:pPr>
      <w:r>
        <w:t xml:space="preserve">En conclusión, la Presidenta de las Cortes Valencianas estima que la composición equilibrada que se establece permite la presencia de los distintos intereses en las cuestiones debatidas, en una situación de tránsito para la que está diseñada la Comisión Mixta paritaria, sin que se usurpe la capacidad decisoria de los entes locales a fin de proceder de forma ordenada a la transferencia de los medios personales y materiales con pleno respeto a la autonomía local. </w:t>
      </w:r>
    </w:p>
    <w:p w:rsidR="0052098F" w:rsidRDefault="0052098F" w:rsidP="0052098F">
      <w:pPr>
        <w:pStyle w:val="TextoNormal"/>
      </w:pPr>
      <w:r>
        <w:t xml:space="preserve">En referencia a la disposición transitoria de la Ley 8/1999 argumenta que es una forma de garantizar, en tanto en cuanto se establece la regulación de las áreas metropolitanas en el ámbito de la Comunidad Valenciana y respetando la capacidad de decisión y la autonomía de los entes locales en unas materias que son de competencia municipal, que los servicios esenciales de un área densamente poblada se presten sin que los ciudadanos puedan verse afectados para lo cual se hace referencia expresa a uno de los mecanismos ordinarios de colaboración entre administraciones públicas, como es la cooperación y asistencia activas, expresamente prevista en el art. 55 d) LBRL. </w:t>
      </w:r>
    </w:p>
    <w:p w:rsidR="0052098F" w:rsidRDefault="0052098F" w:rsidP="0052098F">
      <w:pPr>
        <w:pStyle w:val="TextoNormal"/>
      </w:pPr>
      <w:r>
        <w:t>c) La Presidenta de las Cortes Valencianas concluye su escrito solicitando a este Tribunal Constitucional que dicte sentencia declarando la desaparición, tras la aprobación de la Ley de la Generalitat Valenciana 2/2001, de 11 de mayo, del objeto del conflicto planteado o, en su defecto, declare la inexistencia de vulneración de la autonomía local constitucionalmente garantizada.</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día 22 de junio de 2001 tuvo entrada en el Registro General de este Tribunal Constitucional un escrito del Letrado de la Generalitat Valenciana, el cual, en la representación que ostenta, formula las siguientes alegaciones: </w:t>
      </w:r>
    </w:p>
    <w:p w:rsidR="0052098F" w:rsidRDefault="0052098F" w:rsidP="0052098F">
      <w:pPr>
        <w:pStyle w:val="TextoNormal"/>
      </w:pPr>
      <w:r>
        <w:t xml:space="preserve">a) Comienza haciendo una referencia a los antecedentes y contenido de la Ley 8/1999, señalando su relación con el proceso de reordenación de las áreas metropolitanas en un marco legislativo unitario y común constituido por la Ley 2/2001, de 11 de mayo, de la Generalitat Valenciana, de creación y gestión de áreas metropolitanas en la Comunidad Valenciana. </w:t>
      </w:r>
    </w:p>
    <w:p w:rsidR="0052098F" w:rsidRDefault="0052098F" w:rsidP="0052098F">
      <w:pPr>
        <w:pStyle w:val="TextoNormal"/>
      </w:pPr>
      <w:r>
        <w:t xml:space="preserve">b) A continuación plantea dos cuestiones de índole procesal. La primera de ellas es la relativa a la falta de legitimación de los Ayuntamientos de Alaquas, Sedavi, Burjassot, Benetusser y Aldaia para interponer el presente conflicto, falta de legitimación que se derivaría del hecho de que, tras la emisión del dictamen del Consejo Jurídico Consultivo de la Comunidad Valenciana, los citados Ayuntamientos interpusieron directamente el conflicto sin mediar acuerdo adoptado por el Pleno de la corporación, el cual, a su juicio, resultaría necesario y debería haberse adoptado de acuerdo con lo dispuesto en los arts 75 quater. dos LOTC y 22.2 h) LBRL. La falta de este trámite esencial de la formación de la voluntad de los órganos colegiados en los citados ayuntamientos determina la insuficiencia en la legitimación de las restantes corporaciones que adoptaron debidamente sus acuerdos plenarios, puesto que éstos, por sí solos, no superan las exigencias de legitimación derivadas de la aplicación de los criterios del art. 75 ter.1 b) LOTC, tanto por lo que se refiere al número de municipios —5 frente a los 6 exigidos por la norma— como a la cifra de población total —129.297 habitantes frente a los exigibles 222.968—. La segunda cuestión de índole procesal es la que hace referencia a la desaparición del objeto del recurso como consecuencia de la </w:t>
      </w:r>
      <w:r>
        <w:lastRenderedPageBreak/>
        <w:t xml:space="preserve">derogación de la Ley 8/1999, de 3 de diciembre, de la Generalitat Valenciana, por la que se suprime el Área Metropolitana de l'Horta por la Ley 2/2001, de 11 de mayo, de la Generalitat Valenciana, de creación y gestión de áreas metropolitanas en la Comunidad Valenciana. Manifiesta el Letrado de la Generalitat Valenciana que, como consecuencia de tal derogación, ha cesado la controversia existente ya que la nueva ley establece una ordenación de las áreas metropolitanas completamente nueva al prever la creación de dos nuevas entidades metropolitanas: la de servicios hidráulicos y la dedicada al tratamiento de residuos, entidades en las que se integra el personal y que realizan las funciones antes asumidas por el Área Metropolitana de l´Horta. </w:t>
      </w:r>
    </w:p>
    <w:p w:rsidR="0052098F" w:rsidRDefault="0052098F" w:rsidP="0052098F">
      <w:pPr>
        <w:pStyle w:val="TextoNormal"/>
      </w:pPr>
      <w:r>
        <w:t xml:space="preserve">c) En cuanto al fondo del asunto señala en primer lugar que la autonomía constitucionalmente garantizada a las corporaciones locales por el art. 137 CE no se predica de las áreas metropolitanas, cuyo ámbito competencial puede verse modulado por el desarrollo legislativo que de las mismas hagan las Comunidades Autónomas. De esta apreciación resulta que, en el caso controvertido, convergen la existencia de un interés supramunicipal encuadrable en el ámbito competencial de la Comunidad Autónoma y los intereses municipales, de forma que la regulación de la Ley 8/1999 tiene como objetivo la integración de ambas perspectivas. </w:t>
      </w:r>
    </w:p>
    <w:p w:rsidR="0052098F" w:rsidRDefault="0052098F" w:rsidP="0052098F">
      <w:pPr>
        <w:pStyle w:val="TextoNormal"/>
      </w:pPr>
      <w:r>
        <w:t xml:space="preserve">En relación al art. 2 niega, en primer lugar, el predominio de la representación autonómica en la Comisión Mixta señalando que el número de miembros en representación de la Generalitat Valenciana es el mismo que el de los municipios afectados y así se ha traducido en la Orden de 11 de enero de 2000, de la Consellería de Justicia y Administraciones públicas, por la que se constituye la Comisión Mixta prevista en el art. 2 de la Ley 8/1999. Además indica que la remisión que el precepto hace a la Ley 30/1992, de 26 de noviembre, de régimen jurídico de las Administraciones públicas y del procedimiento administrativo común, determina que cualquier empate que se pudiera producir en el seno de este órgano no va a poder ser resuelto unilateralmente por una de las partes. En segundo lugar, resalta el carácter transitorio del precepto, que no persigue la asunción de competencias por parte de la Generalitat sino un ordenado proceso de transferencia de los medios materiales y personales a los nuevos organismos locales que sustituyan al ente suprimido. Por último cita la existencia, en la Ley catalana 7/1987, de 4 de abril, de actuaciones públicas especiales en la conurbación de Barcelona y en las comarcas comprendidas dentro de su zona de influencia directa, de una comisión paritaria similar a la que es objeto del presente conflicto, cuyas actuaciones fueron impugnadas por los entes metropolitanos afectados, lo que dio lugar a la Sentencia del Tribunal Supremo de 29 de mayo de 1998, la cual estimó que la existencia de tal comisión no suponía una vulneración de la autonomía local constitucionalmente garantizada. </w:t>
      </w:r>
    </w:p>
    <w:p w:rsidR="0052098F" w:rsidRDefault="0052098F" w:rsidP="0052098F">
      <w:pPr>
        <w:pStyle w:val="TextoNormal"/>
      </w:pPr>
      <w:r>
        <w:t xml:space="preserve">En cuanto a la disposición transitoria de la Ley 8/1999, la representación procesal del Consejo de Gobierno de la Generalitat Valenciana niega que suponga una atribución competencial en favor de esta, de modo que la Administración autonómica asuma las competencias del ente metropolitano sino que se trata de actuaciones de garantía del normal funcionamiento de los servicios que se encuadran dentro de las potestades de colaboración y coordinación previstas en los arts. 10.2, 55 y 59 LBRL. </w:t>
      </w:r>
    </w:p>
    <w:p w:rsidR="0052098F" w:rsidRDefault="0052098F" w:rsidP="0052098F">
      <w:pPr>
        <w:pStyle w:val="TextoNormal"/>
      </w:pPr>
      <w:r>
        <w:t>d) Por todo ello, el Letrado de la Generalitat Valenciana concluye su escrito solicitando que este Tribunal Constitucional dicte sentencia declarando la inadmisibilidad del recurso, por falta de legitimación activa de los recurrentes o, subsidiariamente, por la desaparición del objeto del objeto del conflicto planteado o, en su defecto, declare la inexistencia de vulneración de la autonomía local constitucionalmente garantizada.</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10</w:t>
      </w:r>
      <w:r>
        <w:t xml:space="preserve">. Por nuevo proveído de fecha 3 de julio de 2001, la Sección Tercera del Tribunal Constitucional acordó tener por recibidas las alegaciones formuladas por el Abogado del Estado, las Cortes Valencianas y el Consejo de Gobierno de la Generalitat Valenciana y oír a la representación procesal de los Ayuntamientos proponentes para que, en el plazo de treinta días, alegasen lo que estimasen oportuno sobre la incidencia que pudiera tener, en el presente conflicto, la Ley 2/2001, de 11 de mayo, de la Generalitat Valenciana, de creación y gestión de áreas metropolitanas en la Comunidad Valenciana. </w:t>
      </w:r>
    </w:p>
    <w:p w:rsidR="0052098F" w:rsidRDefault="0052098F" w:rsidP="0052098F">
      <w:pPr>
        <w:pStyle w:val="TextoNormal"/>
      </w:pPr>
      <w:r>
        <w:t>Con fecha 17 de septiembre de 2001, el Procurador de los Tribunales don Juan Luis Pérez-Mulet y Suárez presentó escrito en el Tribunal Constitucional cumplimentando lo solicitado en la providencia antedicha y negando que el conflicto careciese de objeto, dado que la disposición impugnada había resultado aplicable desde su entrada en vigor y hasta su derogación por la Ley 2/2001 por lo que no podía excluirse la fiscalización por este Tribunal de la norma litigiosa. En consecuencia, solicita la prosecución de las actuaciones en su curso procesal correspondiente.</w:t>
      </w:r>
    </w:p>
    <w:p w:rsidR="0052098F" w:rsidRDefault="0052098F" w:rsidP="0052098F">
      <w:pPr>
        <w:pStyle w:val="TextoNormal"/>
      </w:pPr>
    </w:p>
    <w:p w:rsidR="0052098F" w:rsidRDefault="0052098F" w:rsidP="0052098F">
      <w:pPr>
        <w:pStyle w:val="TextoNormal"/>
      </w:pPr>
      <w:r w:rsidRPr="0052098F">
        <w:rPr>
          <w:rStyle w:val="NumeroAFNegritaCaracter"/>
        </w:rPr>
        <w:t>11</w:t>
      </w:r>
      <w:r>
        <w:t>. Mediante acuerdo adoptado el día 23 de mayo de 2002, publicado en el DOGV de 27 de junio de 2002, el Gobierno Valenciano aprobó definitivamente las propuestas de transferencias del personal y de los bienes, derechos y obligaciones del extinto Consell Metropolitá de l'Horta a la entidad metropolitana de servicios hidraúlicos y a la entidad metropolitana de tratamiento de residuos, creadas en la Ley 2/2001, de 11 de mayo.</w:t>
      </w:r>
    </w:p>
    <w:p w:rsidR="0052098F" w:rsidRDefault="0052098F" w:rsidP="0052098F">
      <w:pPr>
        <w:pStyle w:val="TextoNormal"/>
      </w:pPr>
    </w:p>
    <w:p w:rsidR="0052098F" w:rsidRDefault="0052098F" w:rsidP="0052098F">
      <w:pPr>
        <w:pStyle w:val="TextoNormal"/>
      </w:pPr>
      <w:r w:rsidRPr="0052098F">
        <w:rPr>
          <w:rStyle w:val="NumeroAFNegritaCaracter"/>
        </w:rPr>
        <w:t>12</w:t>
      </w:r>
      <w:r>
        <w:t>. Por providencia de 11 de marzo de 2008, se señaló para deliberación y votación de la presente Sentencia el día 11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presente proceso constitucional debe resolver el conflicto en defensa de la autonomía local promovido por los Ayuntamientos de Torrent, Alaquas, Quart de Poblet, Chirivella, Sedavi, Burjassot, Puçol, Benetusser, Emperador y Aldaia en relación con el art. 2 y la disposición transitoria de la Ley de la Generalitat Valenciana 8/1999, de 3 de diciembre, por la que se suprime el Área Metropolitana de l'Horta.</w:t>
      </w:r>
    </w:p>
    <w:p w:rsidR="0052098F" w:rsidRDefault="0052098F" w:rsidP="0052098F">
      <w:pPr>
        <w:pStyle w:val="TextoNormal"/>
      </w:pPr>
      <w:r>
        <w:t>Respecto a este tipo de proceso constitucional ya hemos tenido ocasión de pronunciarnos in extenso con ocasión del conflicto en defensa de la autonomía local núm. 4546-2000, promovido por la ciudad de Ceuta, en relación con el art. 68 de la Ley 55/1999, de 29 de diciembre, de medidas fiscales, administrativas y del orden social, por el que se modifica la disposición adicional tercera de la Ley 6/1998, de 13 de abril, sobre régimen del suelo y valoraciones, conflicto resuelto por la STC 240/2006, de 20 de julio.</w:t>
      </w:r>
    </w:p>
    <w:p w:rsidR="0052098F" w:rsidRDefault="0052098F" w:rsidP="0052098F">
      <w:pPr>
        <w:pStyle w:val="TextoNormal"/>
      </w:pPr>
      <w:r>
        <w:t xml:space="preserve">En la citada Sentencia señalamos que nos encontrábamos ante un nuevo proceso constitucional creado por la Ley Orgánica 7/1999, de 21 de abril, de modificación de la Ley Orgánica 2/1979, de 3 de octubre, del Tribunal Constitucional, el cual viene a reforzar los mecanismos en defensa de la autonomía local de los que ya disponen los entes locales en nuestro Ordenamiento a fin de que puedan demandar el respeto de la autonomía local constitucionalmente garantizada. En concreto, como indicábamos en el fundamento jurídico 3 de la misma, la Ley, a partir del criterio de que “la garantía constitucional de la autonomía local aconseja que puedan ser objeto de impugnación ante el Tribunal Constitucional, por parte de los entes locales, aquellas leyes del Estado o de las Comunidades Autónomas que </w:t>
      </w:r>
      <w:r>
        <w:lastRenderedPageBreak/>
        <w:t>pudieran no resultar respetuosas con dicha autonomía”, regula un nuevo proceso constitucional, el conflicto en defensa de la autonomía local, que constituye una vía para su defensa específica ante el Tribunal Constitucional. Dicha especificidad se manifiesta en que el conflicto sólo puede ser promovido frente a normas con rango de Ley con base en un único motivo de inconstitucionalidad, la lesión de “la autonomía local constitucionalmente garantizada” sin que puedan ser alegados en este proceso constitucional “otros motivos fundados en la infracción de preceptos constitucionales que no guarden una relación directa con la autonomía que la Constitución garantiza a los entes locales”.</w:t>
      </w:r>
    </w:p>
    <w:p w:rsidR="0052098F" w:rsidRDefault="0052098F" w:rsidP="0052098F">
      <w:pPr>
        <w:pStyle w:val="TextoNormal"/>
      </w:pPr>
      <w:r>
        <w:t>Establecido de esta forma el motivo que justifica el planteamiento de un conflicto de la naturaleza del aquí enjuiciado, en la misma Sentencia y fundamento jurídico, señalábamos que “la legitimación activa para plantear el conflicto en defensa de la autonomía local se reserva específicamente a determinados entes locales” como son los municipios y provincias además de los enumerados en las disposiciones adicionales tercera y cuarta, incorporadas a la Ley Orgánica de este Tribunal por la Ley Orgánica 7/1999. De acuerdo con la exposición de motivos de la última Ley Orgánica citada, se trata de “garantizar los intereses de los entes locales afectados ponderando su entidad, de modo que los mismos sean suficientemente representativos y que no se refieran a los propios de los entes locales aisladamente considerados”, salvo que estemos ante una norma de destinatario único.</w:t>
      </w:r>
    </w:p>
    <w:p w:rsidR="0052098F" w:rsidRDefault="0052098F" w:rsidP="0052098F">
      <w:pPr>
        <w:pStyle w:val="TextoNormal"/>
      </w:pPr>
    </w:p>
    <w:p w:rsidR="0052098F" w:rsidRDefault="0052098F" w:rsidP="0052098F">
      <w:pPr>
        <w:pStyle w:val="TextoNormal"/>
      </w:pPr>
      <w:r w:rsidRPr="0052098F">
        <w:rPr>
          <w:rStyle w:val="NumeroAFNegritaCaracter"/>
        </w:rPr>
        <w:t>2</w:t>
      </w:r>
      <w:r>
        <w:t>. Antes de comenzar el enjuiciamiento de la controversia planteada por los Ayuntamientos recurrentes, han de analizarse previamente dos aspectos de índole procesal que deben ser sucesivamente despejados pues, de lo contrario, no procederá el estudio del fondo del asunto. Esos dos óbices procesales son, por un lado, el alegato, realizado tanto por las Cortes Valencianas como por el Consejo de Gobierno de la Generalitat Valenciana, relativo a la pérdida sobrevenida de objeto del presente conflicto en defensa de la autonomía local, alegato este último al cual, por entender que persistía la lesión de la autonomía local, se ha opuesto expresamente la parte actora del presente proceso según hemos tenido ocasión de exponer en los antecedentes y, en segundo lugar, la falta de legitimación de los recurrentes, apreciada por el Letrado de la Generalitat Valenciana.</w:t>
      </w:r>
    </w:p>
    <w:p w:rsidR="0052098F" w:rsidRDefault="0052098F" w:rsidP="0052098F">
      <w:pPr>
        <w:pStyle w:val="TextoNormal"/>
      </w:pPr>
      <w:r>
        <w:t>Así pues, la primera cuestión de orden procesal que ha de ser analizada es la relativa a la sobrevenida pérdida de objeto del presente proceso constitucional, alegación que se plantea en razón de lo dispuesto en la Ley 2/2001, de 11 de mayo, de la Generalitat Valenciana, de creación y gestión de áreas metropolitanas en la Comunidad Valenciana, pues su disposición derogatoria se refiere expresamente, entre otras, a la Ley 8/1999, de 3 de diciembre, de la Generalitat Valenciana, por la que se suprime el Área Metropolitana de l'Horta, cuyos art. 2 y disposición transitoria constituyen el objeto de este conflicto en defensa de la autonomía local.</w:t>
      </w:r>
    </w:p>
    <w:p w:rsidR="0052098F" w:rsidRDefault="0052098F" w:rsidP="0052098F">
      <w:pPr>
        <w:pStyle w:val="TextoNormal"/>
      </w:pPr>
      <w:r>
        <w:t xml:space="preserve">Por ello, hemos de alcanzar un criterio acerca de si se ha producido la alegada pérdida de objeto del presente conflicto de autonomía local como consecuencia de la derogación de la norma legal implicada. En tal sentido, podemos apreciar que la Ley 8/1999 ha agotado sus efectos, pues la misma se dirigía, según se deduce de su propio título y exposición de motivos, a la supresión del Área Metropolitana de l'Horta estableciendo los criterios que habrían de regir en la ordenada realización del proceso de supresión de la citada área metropolitana. En relación con ello, su pérdida de vigencia viene determinada por la aprobación de la ley autonómica que regula la creación de entidades de este tipo; esto es, la Ley de la Generalitat Valenciana 2/2001, de 11 de mayo, de creación y gestión de áreas metropolitanas en la Comunidad Valenciana. Dicha norma establece una nueva ordenación de las </w:t>
      </w:r>
      <w:r>
        <w:lastRenderedPageBreak/>
        <w:t>áreas metropolitanas y, a los efectos que ahora interesan, prevé, en sus disposiciones adicionales primera y segunda, la creación de dos entidades metropolitanas, de servicios hidráulicos y para el tratamiento de residuos, que incluyen en su ámbito territorial de actuación a la totalidad de los municipios promotores del presente conflicto. Ambas entidades se subrogan en las obligaciones que hubiera asumido el órgano de gobierno de la suprimida Área Metropolitana de l'Horta y en ellas se integra el personal procedente de la misma. De esta forma, a la vista de lo previsto en las disposiciones adicionales citadas, ha de excluirse la posibilidad de su aplicación a hechos acaecidos con posterioridad a su pérdida de vigencia pues las normas objeto del conflicto, relativas a las atribuciones de la Comisión Mixta para llevar a cabo las transferencias de personal y medios patrimoniales, materiales y financieros derivadas de la supresión así como a la previsión de que el Gobierno valenciano realizase “las actuaciones necesarias para garantizar el normal funcionamiento de los servicios”, tenían por objeto regular una situación transitoria que ya ha sido superada, como pone de manifiesto la propia disposición adicional tercera de la Ley 2/2001 al establecer que, como término de su actuación, la Comisión Mixta elevará sus propuestas al Gobierno valenciano a efectos de la integración del personal de la suprimida Área Metropolitana de l'Horta en las entidades metropolitanas creadas en las disposiciones adicionales primera y segunda de la citada Ley 2/2001, entidades metropolitanas que se subrogan en las obligaciones que hubiera contraído la suprimida con su personal y le suceden en la titularidad de los medios personales, tal y como resulta del Acuerdo de 23 de mayo de 2002, del Gobierno Valenciano, por el que se aprueban definitivamente las propuestas de transferencias del personal y de los bienes, derechos y obligaciones del extinto  Consell Metropolità de l'Horta a la entidad metropolitana de servicios hidraúlicos y a la entidad metropolitana de tratamiento de residuos, publicado en el DOGV de 27 de junio de 2002.</w:t>
      </w:r>
    </w:p>
    <w:p w:rsidR="0052098F" w:rsidRDefault="0052098F" w:rsidP="0052098F">
      <w:pPr>
        <w:pStyle w:val="TextoNormal"/>
      </w:pPr>
      <w:r>
        <w:t>Por ello, no podemos sino concluir que no se aprecia la subsistencia de la controversia que dio lugar al planteamiento del presente conflicto en defensa de la autonomía local y que ha de constituir en todo caso el presupuesto del mismo. En relación con ello, no constituye impedimento alguno para la apreciación de tal extremo el dato de que la parte actora, habiendo sido expresamente requerida para ello, no haya apreciado tal desaparición del objeto pues es evidente que la valoración acerca de la concurrencia de tal circunstancia no depende del criterio que manifiesten de las partes sino de la decisión que al respecto, y de acuerdo con los criterios que se han expuesto anteriormente, adopte este Tribunal Constitucional. Por todo lo expuesto, ha de atenderse el alegato formulado por las representaciones procesales de la Generalitat y de las Cortes Valencianas, sin que proceda entrar a examinar el siguiente óbice procesal, y, consecuentemente, declarar extinguido el proceso por desaparición de su objeto, lo que hace innecesario pronunciarse sobre las cuestiones planteadas en el suplico del escrito de interposición de este conflicto en defensa de la autonomía local.</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 xml:space="preserve">Declarar extinguido por pérdida de objeto el conflicto en defensa de la autonomía local núm. 6613-2000, planteado en relación con el art. 2 y la disposición transitoria de la Ley de </w:t>
      </w:r>
      <w:r>
        <w:lastRenderedPageBreak/>
        <w:t>la Generalitat Valenciana 8/1999, de 3 de diciembre, por la que se suprime el Área Metropolitana de l'Horta.</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once de marzo de dos mil ocho</w:t>
      </w:r>
    </w:p>
    <w:p w:rsidR="0052098F" w:rsidRDefault="0052098F" w:rsidP="0052098F">
      <w:pPr>
        <w:pStyle w:val="ParrafoNormal"/>
      </w:pPr>
    </w:p>
    <w:p w:rsidR="0052098F" w:rsidRDefault="0052098F" w:rsidP="0052098F">
      <w:pPr>
        <w:pStyle w:val="TextoNormalNegritaCentrado"/>
        <w:keepNext/>
      </w:pPr>
      <w:r>
        <w:t>Voto particular que formula el Magistrado don Jorge Rodríguez-Zapata Pérez a la Sentencia del Pleno sobre el conflicto en defensa de la autonomía local núm. 6613-2000, promovido en relación con el art. 2 y la disposición transitoria de la Ley valenciana 8/1999, de 3 de diciembre.</w:t>
      </w:r>
    </w:p>
    <w:p w:rsidR="0052098F" w:rsidRDefault="0052098F" w:rsidP="0052098F">
      <w:pPr>
        <w:pStyle w:val="TextoNormalNegritaCentrado"/>
        <w:keepNext/>
      </w:pPr>
    </w:p>
    <w:p w:rsidR="0052098F" w:rsidRDefault="0052098F" w:rsidP="0052098F">
      <w:pPr>
        <w:pStyle w:val="TextoNormal"/>
      </w:pPr>
      <w:r>
        <w:t>1. La Sentencia de la que disiento declara extinguido, por pérdida de objeto, el conflicto en defensa de la autonomía local planteado por once Ayuntamientos valencianos en relación con dos preceptos de la Ley autonómica 8/1999, de 3 de diciembre, por la que se suprime el Área Metropolitana de l’Horta. La decisión del Pleno se sustenta en que tras su derogación por la Ley autonómica 2/2001, de 11 de mayo, ha desaparecido la controversia que dio lugar al planteamiento del conflicto en defensa de la autonomía local.</w:t>
      </w:r>
    </w:p>
    <w:p w:rsidR="0052098F" w:rsidRDefault="0052098F" w:rsidP="0052098F">
      <w:pPr>
        <w:pStyle w:val="TextoNormal"/>
      </w:pPr>
      <w:r>
        <w:t>Debo recordar que, como hemos explicado en múltiples ocasiones, la apreciación de la pérdida de objeto de un proceso dependerá del tipo del proceso constitucional de que se trate y de la incidencia real que sobre el mismo tenga la derogación, sustitución o modificación de la norma, no pudiendo resolverse apriorísticamente en función de criterios abstractos o genéricos. Y ello porque lo relevante no es tanto la derogación o modificación de la concreta norma impugnada cuanto determinar si con esa alteración ha cesado o no la controversia que se planteaba, pues, en ocasiones, aun habiendo sido expulsada la norma del ordenamiento jurídico se mantiene viva la necesidad de dar respuesta al problema constitucional planteado. En concreto, cuando nos encontramos en presencia de una controversia competencial, la modificación de las disposiciones cuya adopción dio lugar al litigio no tiene por qué enervar automáticamente la disputa surgida, sobre todo si esa normativa en relación con la cual se trabó el conflicto es sustituida por otra posterior que deja intacto el problema competencial planteado (por todas, la STC 137/2003, de 3 de julio, FJ 2).</w:t>
      </w:r>
    </w:p>
    <w:p w:rsidR="0052098F" w:rsidRDefault="0052098F" w:rsidP="0052098F">
      <w:pPr>
        <w:pStyle w:val="TextoNormal"/>
      </w:pPr>
      <w:r>
        <w:t>Por tanto, aun cuando el control de constitucionalidad que compete al Tribunal Constitucional opera, en principio, sobre normas vigentes, no es menos cierto que esta regla está matizada por la existencia de supuestos en los que este Tribunal debe, y así lo viene haciendo desde sus inicios, enjuiciar la constitucionalidad de una norma derogada. Es lo que acontece, en primer lugar, en las cuestiones de inconstitucionalidad, en la medida en que el fallo del proceso judicial dependa, precisamente, de la constitucionalidad o inconstitucionalidad de una norma derogada. Igualmente en el caso de la impugnación de Decretos-leyes que hayan sido derogados por una Ley, aprobada por procedimiento de urgencia, que venga a sustituirlos ex art. 86.3 CE.  También, en los recursos de inconstitucionalidad en tanto que la pérdida de vigencia de un precepto legal ulterior a su impugnación sólo conlleva la desaparición del objeto de esa impugnación constitucional en los casos en los que pueda excluirse toda aplicación de la ley derogada, a hechos acaecidos con posterioridad a su pérdida de vigencia.</w:t>
      </w:r>
    </w:p>
    <w:p w:rsidR="0052098F" w:rsidRDefault="0052098F" w:rsidP="0052098F">
      <w:pPr>
        <w:pStyle w:val="TextoNormal"/>
      </w:pPr>
      <w:r>
        <w:t xml:space="preserve">2. Debemos, por tanto, preguntarnos en primer lugar cuál sea el criterio aplicable en los conflictos en defensa de la autonomía local. En los AATC 513/2004, de 14 de diciembre (FJ 2), y 326/2007, de 12 de julio (FJ 2) —únicos dictados por este Tribunal declarando extinguidos por pérdida de objeto sendos conflictos en defensa de la autonomía local— </w:t>
      </w:r>
      <w:r>
        <w:lastRenderedPageBreak/>
        <w:t>hemos señalado que “la función de preservar los ámbitos respectivos de competencia no puede quedar enervada por la sola modificación o derogación de las disposiciones cuya adopción dio lugar al litigio, cuando aquella preservación exige aún, porque así lo demandan las partes, o al menos una de ellas, una decisión jurisdiccional” y que “para poder apreciar la desaparición de la controversia entablada no bastará con que la disposición impugnada haya sido derogada, como es efectivamente el caso, sino que también resultará preciso que no se aprecie la subsistencia de la controversia que dio lugar al planteamiento del presente conflicto en defensa de la autonomía local. Para apreciar tal extremo, una vez consultadas las partes sobre la pérdida de objeto del proceso, resulta necesario partir del dato de si la parte actora, habiendo sido expresamente requerida para ello, ha apreciado tal desaparición del objeto del mismo sin que haya mantenido su interés en la obtención de una respuesta a lo planteado en su escrito de planteamiento del conflicto”.</w:t>
      </w:r>
    </w:p>
    <w:p w:rsidR="0052098F" w:rsidRDefault="0052098F" w:rsidP="0052098F">
      <w:pPr>
        <w:pStyle w:val="TextoNormal"/>
      </w:pPr>
      <w:r>
        <w:t>De los mencionados Autos pudiera inferirse una coincidencia con el criterio que hemos aplicado a los recursos de inconstitucionalidad contra leyes con contenido competencial; regla que ahora se debilita sin ninguna argumentación. En todo caso, la lectura de los mencionados AATC 513/2004, de 14 de diciembre, y 326/2007, de 12 de julio, revela que lo que entonces parecía fundamental para nuestra decisión (la aceptación o no, por la parte promotora del conflicto, de que la controversia había desaparecido) ahora pasa a ser irrelevante.</w:t>
      </w:r>
    </w:p>
    <w:p w:rsidR="0052098F" w:rsidRDefault="0052098F" w:rsidP="0052098F">
      <w:pPr>
        <w:pStyle w:val="TextoNormal"/>
      </w:pPr>
      <w:r>
        <w:t>3. Más allá de la carencia señalada, creo que concurren razones que debieron llevar al Pleno a examinar la constitucionalidad, al menos, del art. 2 de la Ley valenciana 8/1999, de 3 de diciembre, precepto regulador de la composición y funcionamiento de la Comisión Mixta paritaria, cuya finalidad era llevar a cabo las transferencias del personal del Consell Metropolità de l'Horta, así como de sus medios patrimoniales, materiales y financieros, como consecuencia de la supresión del área metropolitana.</w:t>
      </w:r>
    </w:p>
    <w:p w:rsidR="0052098F" w:rsidRDefault="0052098F" w:rsidP="0052098F">
      <w:pPr>
        <w:pStyle w:val="TextoNormal"/>
      </w:pPr>
      <w:r>
        <w:t>Ciertamente, la mencionada Ley 8/1999 ha sido derogada por la Ley autonómica 2/2001, de 11 de mayo. Pero ocurre que la propia Ley derogatoria establece en su disposición adicional tercera que “La Comisión Mixta creada por la Ley 8/1999, de la Generalitat Valenciana, para llevar a efecto las transferencias de personal del suprimido Consell Metropolità de l'Horta, elevará sus propuestas, que incluirán la relación de medios personales que tenga que ser objeto de transferencia, al Gobierno valenciano para su correspondiente aprobación”.</w:t>
      </w:r>
    </w:p>
    <w:p w:rsidR="0052098F" w:rsidRDefault="0052098F" w:rsidP="0052098F">
      <w:pPr>
        <w:pStyle w:val="TextoNormal"/>
      </w:pPr>
      <w:r>
        <w:t>Considero que, a la vista de la referida disposición adicional tercera, debe concluirse: a) Que la Comisión Mixta paritaria creada por la Ley derogada no queda extinguida; b) Que la propia Ley derogatoria le atribuye una específica función pro futuro: elevar propuestas, que incluirán la relación de medios personales que tengan que ser objeto de transferencia; c) Que la composición y funcionamiento de la Comisión Mixta paritaria no pueden ser otros que los previstos en el derogado art. 2 de la Ley 8/1999.</w:t>
      </w:r>
    </w:p>
    <w:p w:rsidR="0052098F" w:rsidRDefault="0052098F" w:rsidP="0052098F">
      <w:pPr>
        <w:pStyle w:val="TextoNormal"/>
      </w:pPr>
      <w:r>
        <w:t xml:space="preserve">En consecuencia, el contenido normativo del art. 2 de la Ley 8/1999, de 3 de diciembre, sobrevive en la nueva Ley 2/2001, de 11 de mayo, en virtud del llamamiento implícito que se contiene en su disposición adicional tercera. Y me parece oportuno recordar que en la STC 126/1997, de 3 de julio, consideramos como objeto apto de nuestro control de constitucionalidad nada menos que la Partida 2.15.2 del Rey Sabio, cuyo contenido se veía resucitado por diversas normas de remisión. Por consiguiente, si el art. 2 de la Ley 8/1999, de 3 de diciembre, es un precepto derogado pero redivivo, se desvanece la premisa para declarar extinguido el conflicto planteado. Más aún, la razón de fondo para abordar si existió la eventual lesión de la autonomía local cuyo examen declina la Sentencia, lejos de desaparecer, se refuerza, puesto que si en el régimen previsto por la derogada Ley 8/1999, de 3 de </w:t>
      </w:r>
      <w:r>
        <w:lastRenderedPageBreak/>
        <w:t>diciembre, la Comisión Mixta paritaria era competente para “llevar a cabo las transferencias”, ahora, tras la aparente derogación, sólo lo es ya para “elevar propuestas”, correspondiendo al Gobierno autonómico su aprobación.</w:t>
      </w:r>
    </w:p>
    <w:p w:rsidR="0052098F" w:rsidRDefault="0052098F" w:rsidP="0052098F">
      <w:pPr>
        <w:pStyle w:val="TextoNormal"/>
      </w:pPr>
      <w:r>
        <w:t>La Sentencia atribuye especial relevancia al Acuerdo del Gobierno Valenciano de 23 de mayo de 2002 por el que se aprueban definitivamente las propuestas del personal y de los bienes, derechos y obligaciones del extinto Consell Metropolitá de l’Horta. Pero, a mi juicio, que la posible vulneración de la autonomía local se haya consumado con el Acuerdo al que alude en la Sentencia, no me parece óbice para que hubiésemos realizado nuestro pronunciamiento. Al contrario. Lo que se nos ha planteado es, justamente, si resulta compatible con la autonomía local constitucionalmente garantizada que la extinción del Área Metropolitana de l’Horta se lleve a cabo del modo regulado en los preceptos objeto del conflicto. Que la posible vulneración se haya perfeccionado no debería dar lugar a otra particularidad que la de resolver lo que proceda sobre las situaciones de hecho o de derecho creadas en lesión de la autonomía local, que es uno de los contenidos propios de las sentencias recaídas en este tipo de procesos (art. 75 quinquies 5 LOTC).</w:t>
      </w:r>
    </w:p>
    <w:p w:rsidR="0052098F" w:rsidRDefault="0052098F" w:rsidP="0052098F">
      <w:pPr>
        <w:pStyle w:val="TextoNormal"/>
      </w:pPr>
      <w:r>
        <w:t>Por todo lo expuesto, creo que resulta decepcionante que uno de los escasos conflictos en defensa de la autonomía local que ha logrado superar las indudables dificultades que su planteamiento encuentra en nuestra Ley Orgánica, no alcance a ser resuelto, pese a haber sido planteado hace más de siete años, por razón tan discutible como la apreciada en la Sentencia que declara su pérdida de objeto.</w:t>
      </w:r>
    </w:p>
    <w:p w:rsidR="0052098F" w:rsidRDefault="0052098F" w:rsidP="0052098F">
      <w:pPr>
        <w:pStyle w:val="TextoNormal"/>
      </w:pPr>
      <w:r>
        <w:t>Madrid, a once de marzo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1" w:name="SENTENCIA_2008_48"/>
      <w:r>
        <w:lastRenderedPageBreak/>
        <w:t>SENTENCIA 48/2008, de 11 de marzo de 2008</w:t>
      </w:r>
    </w:p>
    <w:bookmarkEnd w:id="51"/>
    <w:p w:rsidR="0052098F" w:rsidRDefault="0052098F" w:rsidP="0052098F">
      <w:pPr>
        <w:pStyle w:val="TtuloResolucin"/>
      </w:pPr>
      <w:r>
        <w:t>Pleno</w:t>
      </w:r>
    </w:p>
    <w:p w:rsidR="0052098F" w:rsidRDefault="0052098F" w:rsidP="0052098F">
      <w:pPr>
        <w:pStyle w:val="TtuloResolucin"/>
      </w:pPr>
    </w:p>
    <w:p w:rsidR="0052098F" w:rsidRDefault="0052098F" w:rsidP="0052098F">
      <w:pPr>
        <w:pStyle w:val="TtuloBOE"/>
      </w:pPr>
      <w:r>
        <w:t>("BOE" núm. 91, de 15 de abril de 2008)</w:t>
      </w:r>
    </w:p>
    <w:p w:rsidR="0052098F" w:rsidRDefault="0052098F" w:rsidP="0052098F">
      <w:pPr>
        <w:pStyle w:val="TtuloBOE"/>
      </w:pPr>
    </w:p>
    <w:p w:rsidR="0052098F" w:rsidRDefault="0052098F" w:rsidP="0052098F">
      <w:pPr>
        <w:pStyle w:val="SntesisDescriptiva"/>
      </w:pPr>
      <w:r>
        <w:t>ECLI:ES:TC:2008:48</w:t>
      </w:r>
    </w:p>
    <w:p w:rsidR="0052098F" w:rsidRDefault="0052098F" w:rsidP="0052098F">
      <w:pPr>
        <w:pStyle w:val="SntesisDescriptiva"/>
      </w:pPr>
    </w:p>
    <w:p w:rsidR="0052098F" w:rsidRDefault="0052098F" w:rsidP="0052098F">
      <w:pPr>
        <w:pStyle w:val="SntesisDescriptiva"/>
      </w:pPr>
      <w:r>
        <w:t>Recurso de amparo 2784-2004. Promovido por Louis Vuitton Malletier, S. A., respecto a las resoluciones de la Audiencia Provincial de Guipúzcoa que, en grado de apelación de una causa por delito contra la propiedad industrial, denegaron la celebración de vista y la práctica de prueba.</w:t>
      </w:r>
    </w:p>
    <w:p w:rsidR="0052098F" w:rsidRDefault="0052098F" w:rsidP="0052098F">
      <w:pPr>
        <w:pStyle w:val="SntesisDescriptiva"/>
      </w:pPr>
    </w:p>
    <w:p w:rsidR="0052098F" w:rsidRDefault="0052098F" w:rsidP="0052098F">
      <w:pPr>
        <w:pStyle w:val="SntesisAnaltica"/>
      </w:pPr>
      <w:r>
        <w:t>Supuesta vulneración de los derechos a la tutela judicial efectiva, a un proceso con garantías y a la prueba: desestimación de recurso contra sentencia absolutoria en virtud de los límites legales a la práctica de prueba en grado de apelación; alcance de la audiencia al acusado en apelación penal (SSTC 167/2002 y 285/2005).</w:t>
      </w:r>
    </w:p>
    <w:p w:rsidR="0052098F" w:rsidRDefault="0052098F" w:rsidP="0052098F">
      <w:pPr>
        <w:pStyle w:val="SntesisAnaltica"/>
      </w:pPr>
    </w:p>
    <w:p w:rsidR="0052098F" w:rsidRDefault="0052098F" w:rsidP="0052098F">
      <w:pPr>
        <w:pStyle w:val="Extracto"/>
      </w:pPr>
      <w:r>
        <w:t>1.</w:t>
      </w:r>
      <w:r>
        <w:tab/>
        <w:t>La sociedad demandante no vio vulnerado su derecho a un proceso con garantías, en conexión con su derecho a la prueba, al denegarle el órgano judicial, en forma debidamente motivada, la petición de reiteración de la práctica de pruebas personales en apelación, al no formar parte dichas pruebas de aquellas para cuya petición está facultado el acusador en el recurso de apelación [FFJJ 3, 6].</w:t>
      </w:r>
    </w:p>
    <w:p w:rsidR="0052098F" w:rsidRDefault="0052098F" w:rsidP="0052098F">
      <w:pPr>
        <w:pStyle w:val="Extracto"/>
      </w:pPr>
    </w:p>
    <w:p w:rsidR="0052098F" w:rsidRDefault="0052098F" w:rsidP="0052098F">
      <w:pPr>
        <w:pStyle w:val="Extracto"/>
      </w:pPr>
      <w:r>
        <w:t>2.</w:t>
      </w:r>
      <w:r>
        <w:tab/>
        <w:t>Se infringe el artículo 24.2 cuando el órgano judicial modifica el factum de sentido absolutorio por otro de sentido condenatorio valorando pruebas sin la garantía de inmediación, sea porque el órgano judicial entienda que la ley le impide la práctica de la prueba, sea porque no aprecie como oportuna o necesaria tal práctica (ATC 467/2006) [FJ 5].</w:t>
      </w:r>
    </w:p>
    <w:p w:rsidR="0052098F" w:rsidRDefault="0052098F" w:rsidP="0052098F">
      <w:pPr>
        <w:pStyle w:val="Extracto"/>
      </w:pPr>
    </w:p>
    <w:p w:rsidR="0052098F" w:rsidRDefault="0052098F" w:rsidP="0052098F">
      <w:pPr>
        <w:pStyle w:val="Extracto"/>
      </w:pPr>
      <w:r>
        <w:t>3.</w:t>
      </w:r>
      <w:r>
        <w:tab/>
        <w:t>Cuando la apelación de una sentencia absolutoria se funda en la apreciación de la prueba, si en la apelación no se practican nuevas pruebas, no puede el Tribunal ad quem revisar la valoración de las practicadas en la primera instancia, cuando por la índole de las mismas es exigible la inmediación y la contradicción (STC 167/2002) [FJ 4].</w:t>
      </w:r>
    </w:p>
    <w:p w:rsidR="0052098F" w:rsidRDefault="0052098F" w:rsidP="0052098F">
      <w:pPr>
        <w:pStyle w:val="Extracto"/>
      </w:pPr>
    </w:p>
    <w:p w:rsidR="0052098F" w:rsidRDefault="0052098F" w:rsidP="0052098F">
      <w:pPr>
        <w:pStyle w:val="Extracto"/>
      </w:pPr>
      <w:r>
        <w:t>4.</w:t>
      </w:r>
      <w:r>
        <w:tab/>
        <w:t>Doctrina sobre el derecho a la prueba legal y el deber de motivación del órgano judicial sobre su admisión ó denegación (SSTC 165/2001, 1/2004) [FJ 3].</w:t>
      </w:r>
    </w:p>
    <w:p w:rsidR="0052098F" w:rsidRDefault="0052098F" w:rsidP="0052098F">
      <w:pPr>
        <w:pStyle w:val="Extracto"/>
      </w:pPr>
    </w:p>
    <w:p w:rsidR="0052098F" w:rsidRDefault="0052098F" w:rsidP="0052098F">
      <w:pPr>
        <w:pStyle w:val="Extracto"/>
      </w:pPr>
      <w:r>
        <w:t>5.</w:t>
      </w:r>
      <w:r>
        <w:tab/>
        <w:t>Doctrina sobre proceso con todas las garantías y, en particular, sobre la vigencia de los principios de inmediación y contradicción en segunda instancia (STC 167/2002, 94/2004) [FFJJ 2, 4 a 6].</w:t>
      </w:r>
    </w:p>
    <w:p w:rsidR="0052098F" w:rsidRDefault="0052098F" w:rsidP="0052098F">
      <w:pPr>
        <w:pStyle w:val="Extracto"/>
      </w:pPr>
    </w:p>
    <w:p w:rsidR="0052098F" w:rsidRDefault="0052098F" w:rsidP="0052098F">
      <w:pPr>
        <w:pStyle w:val="Extracto"/>
      </w:pPr>
      <w:r>
        <w:t>6.</w:t>
      </w:r>
      <w:r>
        <w:tab/>
        <w:t>El artículo 14.5 PIDCP no establece propiamente una doble instancia, sino una sumisión del fallo condenatorio y de la pena a un Tribunal superior, sumisión que habrá de ser conforme a lo prescrito por la Ley, por lo que ésta, en cada país, fijará sus modalidades (SSTC 76/1982, 123/2005) [FJ 2].</w:t>
      </w:r>
    </w:p>
    <w:p w:rsidR="0052098F" w:rsidRDefault="0052098F" w:rsidP="0052098F">
      <w:pPr>
        <w:pStyle w:val="Extracto"/>
      </w:pPr>
    </w:p>
    <w:p w:rsidR="0052098F" w:rsidRDefault="0052098F" w:rsidP="0052098F">
      <w:pPr>
        <w:pStyle w:val="Extracto"/>
      </w:pPr>
      <w:r>
        <w:lastRenderedPageBreak/>
        <w:t>7.</w:t>
      </w:r>
      <w:r>
        <w:tab/>
        <w:t>El recurso de apelación, tal y como esta configurado en nuestro ordenamiento, cumple con la función revisora de la pena y condena [FJ 2].</w:t>
      </w:r>
    </w:p>
    <w:p w:rsidR="0052098F" w:rsidRDefault="0052098F" w:rsidP="0052098F">
      <w:pPr>
        <w:pStyle w:val="Extracto"/>
      </w:pPr>
    </w:p>
    <w:p w:rsidR="0052098F" w:rsidRDefault="0052098F" w:rsidP="0052098F">
      <w:pPr>
        <w:pStyle w:val="Extracto"/>
      </w:pPr>
      <w:r>
        <w:t>8.</w:t>
      </w:r>
      <w:r>
        <w:tab/>
        <w:t>La sociedad demandante no sufrió la denegación de su tutela judicial efectiva, pues disfrutó del recurso de apelación, previsto en el ordenamiento penal, en los términos establecidos por la Ley [FJ 2].</w:t>
      </w:r>
    </w:p>
    <w:p w:rsidR="0052098F" w:rsidRDefault="0052098F" w:rsidP="0052098F">
      <w:pPr>
        <w:pStyle w:val="Extracto"/>
      </w:pPr>
    </w:p>
    <w:p w:rsidR="0052098F" w:rsidRDefault="0052098F" w:rsidP="0052098F">
      <w:pPr>
        <w:pStyle w:val="Extracto"/>
      </w:pPr>
      <w:r>
        <w:t>9.</w:t>
      </w:r>
      <w:r>
        <w:tab/>
        <w:t>El control del respeto a la tutela judicial efectiva en su vertiente del derecho a los recursos legales establecidos es más intenso cuando el afectado es una persona condenada penalmente (STC 88/1997) [FJ 2].</w:t>
      </w:r>
    </w:p>
    <w:p w:rsidR="0052098F" w:rsidRDefault="0052098F" w:rsidP="0052098F">
      <w:pPr>
        <w:pStyle w:val="Extracto"/>
      </w:pPr>
    </w:p>
    <w:p w:rsidR="0052098F" w:rsidRDefault="0052098F" w:rsidP="0052098F">
      <w:pPr>
        <w:pStyle w:val="Extracto"/>
      </w:pPr>
      <w:r>
        <w:t>10.</w:t>
      </w:r>
      <w:r>
        <w:tab/>
        <w:t>La parte acusadora no es titular de la garantía de revisión, que es solo del condenado [FJ 2].</w:t>
      </w:r>
    </w:p>
    <w:p w:rsidR="0052098F" w:rsidRDefault="0052098F" w:rsidP="0052098F">
      <w:pPr>
        <w:pStyle w:val="Extracto"/>
      </w:pPr>
    </w:p>
    <w:p w:rsidR="0052098F" w:rsidRDefault="0052098F" w:rsidP="0052098F">
      <w:pPr>
        <w:pStyle w:val="Extracto"/>
      </w:pPr>
      <w:r>
        <w:t>11.</w:t>
      </w:r>
      <w:r>
        <w:tab/>
        <w:t>No forma parte de nuestra competencia la de interpretación de las normas procesales que rigen la prueba ni, en concreto, sobre qué pruebas deben practicarse en la apelación penal (STC 285/2005) [FJ 3].</w:t>
      </w:r>
    </w:p>
    <w:p w:rsidR="0052098F" w:rsidRDefault="0052098F" w:rsidP="0052098F">
      <w:pPr>
        <w:pStyle w:val="Extracto"/>
      </w:pPr>
    </w:p>
    <w:p w:rsidR="0052098F" w:rsidRDefault="0052098F" w:rsidP="0052098F">
      <w:pPr>
        <w:pStyle w:val="Extracto"/>
      </w:pPr>
      <w:r>
        <w:t>12.</w:t>
      </w:r>
      <w:r>
        <w:tab/>
        <w:t>No corresponde al Tribunal Constitucional el proponer una regulación constitucional óptima de los recursos en el procedimiento penal (STC 296/2005)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avocado núm. 2784-2004, promovido por la sociedad Louis Vuitton Malletier, S.A., representada por el Procurador de los Tribunales don Santos de Gandarillas Carmona y asistida por la Abogada doña Rosa M. Tierno Echave, contra la Sentencia de la Sección Tercera de la Audiencia Provincial de Guipúzcoa de 29 de marzo de 2004, confirmatoria en apelación de la Sentencia del Juzgado de lo Penal núm. 1 de San Sebastián 302/2003, de 29 de julio, absolutoria de delito contra la propiedad industrial, y contra el Auto de la Sección Tercera de la Audiencia Provincial de Guipúzcoa de 22 de enero de 2004, confirmatorio en súplica de la providencia del mismo órgano judicial de 3 de diciembre de 2003, de denegación de vista y de práctica de prueba. Ha comparecido don Luis María Maiso Lizaso, representado por el Procurador de los Tribunales don José Luis Martín Jaureguibeitia. Ha intervenido el Ministerio Fiscal. Ha sido Ponente la Presidenta doña María Emilia Casas Baamonde, quien expresa el parecer del Pleno.</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día 30 de abril de 2004 el Procurador de los Tribunales don Santos de Gandarillas Carmona interpone recurso de amparo en nombre de la sociedad Louis Vuitton Malletier, S.A., contra la Sentencia mencionada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relevantes para el examen de la pretensión de amparo son, sucintamente relatados, los siguientes: </w:t>
      </w:r>
    </w:p>
    <w:p w:rsidR="0052098F" w:rsidRDefault="0052098F" w:rsidP="0052098F">
      <w:pPr>
        <w:pStyle w:val="TextoNormal"/>
      </w:pPr>
      <w:r>
        <w:t xml:space="preserve">a) La Sentencia del Juzgado de lo Penal núm. 1 de San Sebastián 223/2002, de 17 de junio, absolvió a los acusados del delito contra la propiedad industrial que les atribuía la sociedad recurrente. </w:t>
      </w:r>
    </w:p>
    <w:p w:rsidR="0052098F" w:rsidRDefault="0052098F" w:rsidP="0052098F">
      <w:pPr>
        <w:pStyle w:val="TextoNormal"/>
      </w:pPr>
      <w:r>
        <w:t xml:space="preserve">b) La Sentencia de la Sección Tercera de la Audiencia Provincial de Guipúzcoa de 9 de abril de 2003 anuló en apelación la Sentencia de instancia por dos razones. La primera radicaba en que había invalidado injustificadamente una prueba (testifical de la Abogada de la sociedad acusadora). La segunda razón consistía en la contradicción existente entre la afirmación del relato de hechos probados de que los acusados habían vendido productos falsificados de la marca Louis Vuitton, “conocedores de que los artículos no eran los originales de la marca y reproducían marcas falsificadas y no estaban autorizados por el titular para el uso de su marca ni la puesta en el comercio de productos distinguidos con la misma”, y la afirmación del fundamento de Derecho tercero relativa a que es “perfectamente atendible la alegación de Francisco Javier Maiso de haber obrado en la creencia de que eran objetos auténticos”. </w:t>
      </w:r>
    </w:p>
    <w:p w:rsidR="0052098F" w:rsidRDefault="0052098F" w:rsidP="0052098F">
      <w:pPr>
        <w:pStyle w:val="TextoNormal"/>
      </w:pPr>
      <w:r>
        <w:t xml:space="preserve">c) La nueva Sentencia del Juzgado de lo Penal, 302/2003, de 29 de julio, absuelve a los acusados. Tras reiterar que el primer acusado “venía dedicándose … a la venta al público de artículos falsos de la marca Louis Vuitton” que él mismo había obtenido en Bangkok (Tailandia), modifica el relato de hechos probados en el sentido de que “los acusados desconocían que los artículos no eran los originales de la marca Louis Vuitton y que reproducían marcas falsificadas y no estaban autorizados por el titular para el uso de su marca ni la puesta en el comercio de productos distinguidos con la misma”. La absolución se sustenta, en esencia, en que los productos “carecían de aptitud para inducir a error a los consumidores sobre el origen del producto”; en que “no existen indicios en la causa que permitan concluir, respecto de los acusados, el conocimiento de la existencia del requisito de la inscripción registral de las marcas afectadas, su valor y función”; y en que es “perfectamente atendible la alegación de Francisco Javier Maiso de haber obrado en la creencia de que eran objetos auténticos”. </w:t>
      </w:r>
    </w:p>
    <w:p w:rsidR="0052098F" w:rsidRDefault="0052098F" w:rsidP="0052098F">
      <w:pPr>
        <w:pStyle w:val="TextoNormal"/>
      </w:pPr>
      <w:r>
        <w:t xml:space="preserve">d) En su recurso de apelación la sociedad hoy recurrente solicitó “de acuerdo con la doctrina del Tribunal Constitucional, al basarse el recurso en error en la apreciación de las pruebas relacionado con las declaraciones de acusados y testigos”, que estas pruebas se volvieran a practicar. La Sección Tercera de la Audiencia Provincial de Guipúzcoa rechazó esta petición mediante providencia, “al no encontrarse dentro de los supuestos establecidos en el art. 795.3 LECrim” (actualmente art. 790.3, conforme a la redacción dada por Ley 38/2002, de 24 de octubre). Y la vuelve a rechazar en el Auto que resuelve el recurso de súplica, de 22 de enero de 2004: “La doctrina constitucional … viene a establecer que el recurso de apelación en el procedimiento penal abreviado otorga plenas facultades al Tribunal ad quem para resolver cuantas cuestiones se planteen por la partes, sean de hecho o de </w:t>
      </w:r>
      <w:r>
        <w:lastRenderedPageBreak/>
        <w:t xml:space="preserve">derecho, pero en todo caso, respetando la legalidad y las garantías constitucionales establecidas en el art. 24 CE. Es por ello que no cabe la reiteración de las pruebas solicitadas por la parte recurrente al no concurrir ninguno de los supuestos señalados en el anterior art. 795.3 ni en el vigente 790.2 LECrim, requisito de ineludible cumplimiento para poder solicitar la práctica de prueba en esta alzada”. </w:t>
      </w:r>
    </w:p>
    <w:p w:rsidR="0052098F" w:rsidRDefault="0052098F" w:rsidP="0052098F">
      <w:pPr>
        <w:pStyle w:val="TextoNormal"/>
      </w:pPr>
      <w:r>
        <w:t>e) La Audiencia confirma la nueva Sentencia absolutoria, aclarando que, si no hay práctica de prueba, “el Tribunal ad quem no puede revisar la apreciación probatoria practicada en la instancia cuando, por la naturaleza de las pruebas en cuestión, sea necesario para su valoración el concurso de los principios de inmediación, oralidad y contradicción … A no ser … que el proceso valorativo de la prueba no se haya motivado y razonado adecuadamente en la sentencia apelada (SSTC 17/12/85, 23/6/86, 13/5/87, 2/7/90 entre otras), o que el mismo responda a un razonamiento absurdo, ilógico, irracional o arbitrario que haga necesaria, empleando criterios objetivos y no interpretaciones discutibles y subjetivas, una modificación de los hechos declarados probados en la sentencia (STC 1/3/93)”. En el presente caso “no es apreciable … incongruencia alguna entre la prueba practicada en la instancia y el concreto pronunciamiento absolutorio”; además, “la valoración probatoria llevada a cabo en la resolución impugnada resulta racional en sus planteamientos y lógica en su desarrollo”.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La demanda de amparo solicita que se anulen las resoluciones recurridas —las dos relativas a la denegación de vista oral y de prueba, y la que confirma en apelación la absolución de los acusados— y que se retrotraigan las actuaciones al momento previo a la primera de ellas para que se practiquen las pruebas solicitadas. Fundamenta esta petición en la vulneración de los derechos a la tutela judicial efectiva (art. 24.2 CE), a un proceso con todas las garantías (art. 24.2 CE) y a la utilización de los medios de prueba pertinentes para al defensa (art. 24.2 CE). </w:t>
      </w:r>
    </w:p>
    <w:p w:rsidR="0052098F" w:rsidRDefault="0052098F" w:rsidP="0052098F">
      <w:pPr>
        <w:pStyle w:val="TextoNormal"/>
      </w:pPr>
      <w:r>
        <w:t xml:space="preserve">Describe la demanda que las resoluciones impugnadas consideran que sólo puede practicarse prueba en apelación si tal prueba encaja en alguno de los supuestos del art. 790.3 LECrim. Esta interpretación, no sólo limitaría la posibilidad de recurrir por error en la apreciación de la prueba a los casos en los que se refiera a prueba documental, cercenando el derecho al recurso, sino que se opondría a la doctrina de la STC 167/2002, que permitiría solicitar la práctica de nuevo de pruebas personales para que se pueda proceder a su valoración conforme a las garantías de inmediación y contradicción. Esta práctica puede ampararse en una interpretación acorde a la Constitución del art. 790.2 LECrim, que permite el recurso ex error en la valoración de la prueba. </w:t>
      </w:r>
    </w:p>
    <w:p w:rsidR="0052098F" w:rsidRDefault="0052098F" w:rsidP="0052098F">
      <w:pPr>
        <w:pStyle w:val="TextoNormal"/>
      </w:pPr>
      <w:r>
        <w:t>Continúa alegando la demanda que de otro modo no se entendería que la valoración de las pruebas personales fuera inamovible y no la de las pruebas documentales; que pudiera practicarse una prueba testifical en apelación porque no lo fue en instancia, pero no la contradictoria que sí lo fue; que no pudiera volver a valorarse la prueba personal que determinó una condena. Argumenta, en fin, que el sentido de la STC 167/2002 es el de que el órgano de apelación tiene jurisdicción plena y que ello le faculta para que, incluso al margen de los supuestos del art. 790.3 LECrim, ordene la práctica de las pruebas solicitadas de cara a una nueva valoración de las mismas.</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Mediante providencia de 12 de julio de 2006, conforme a la dispuesto en al art. 50.3 LOTC, la Sección Primera de este Tribunal concede un plazo común de diez días al Ministerio Fiscal y al recurrente para que aleguen lo que estimen pertinente en relación con la </w:t>
      </w:r>
      <w:r>
        <w:lastRenderedPageBreak/>
        <w:t>posible concurrencia del motivo de inadmisión previsto en el art. 50.1 c) LOTC (carencia manifiesta de contenido constitucional de la demanda).</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El Ministerio Fiscal concluye su escrito de alegaciones, de 13 de septiembre de 2006, interesando la admisión a trámite de la demanda. </w:t>
      </w:r>
    </w:p>
    <w:p w:rsidR="0052098F" w:rsidRDefault="0052098F" w:rsidP="0052098F">
      <w:pPr>
        <w:pStyle w:val="TextoNormal"/>
      </w:pPr>
      <w:r>
        <w:t xml:space="preserve">Considera que “la cuestión cardinal que plantea el presente recurso de amparo es la referida al correcto entendimiento de la doctrina sentada … en la STC 167/2002, y en particular, al concreto aspecto referido a la posibilidad y subsiguiente existencia o inexistencia de obligación para los órganos judiciales de apelación —desde la perspectiva constitucional—, de la práctica en la segunda instancia de las pruebas de carácter personal llevadas a cabo en la primera, dados los categóricos términos en los que se halla redactado el artículo 790.3 LECrim”. Recuerda al respecto que la STC 167/2002 establece que en el ejercicio de las facultades que la ley atribuye al Tribunal ad quem en el recurso de apelación “deben respetarse las garantías constitucionales del art. 24.2 CE, traduciéndose todo ello en la exigencia de publicidad, inmediación y contradicción para proceder a una nueva valoración de la prueba en segunda instancia”, y que la STC 59/2005 ha añadido que “ello no implica en todo caso la necesidad de nueva práctica de pruebas o la celebración de vista pública en la segunda instancia, sino que ello dependerá de las circunstancias del caso y de la naturaleza de las cuestiones a juzgar”. Por su parte, la STC 285/2005 habría dado un paso más, al afirmar, respecto a la prueba personal “consistente en el examen del acusado”, que “[a]parentemente entre el precepto legal y la doctrina de la Sentencia 167/2002, ambos transcritos, parece existir una contradicción, pero ésta se salva fácilmente mediante una interpretación más favorable al derecho de acceso al recurso del art. 795.3 LECrim, y acomodada a las exigencias constitucionales. En primer lugar, como ha indicado el Ministerio Fiscal, cuando la Sentencia 167/2002, de 18 de septiembre, establece la exigencia de oír nuevamente al acusado absuelto en segunda instancia, para poder dictar Sentencia revocatoria, no lo concibe como un medio de prueba más, sino como una garantía del acusado, que tiene derecho a volver a ser oído —ya sea para convencer al Tribunal de su inocencia, o para poder controvertir los argumentos de la acusación—; por ello es fácil concebir que pueda pedir el recurrente tal comparecencia personal para cumplir dicha garantía, al margen del resto de las pruebas, sin colisionar con el art. 795.3 LECrim, de modo que la Sala, citara al acusado y si éste, no compareciera sólo a él fuera imputable dicha falta de audiencia”. Concluye así la Fiscal, a partir de la jurisprudencia que cita, que, de un lado, “con relación a la prueba de examen del acusado, el órgano de apelación tiene en todo caso la obligación de ordenar su práctica cuando lo solicite el recurrente en apelación (acusador particular o acusador público); y de otro, que con respecto a las demás pruebas personales (testifical o pericial), las circunstancias del caso y la naturaleza de las cuestiones a juzgar, constituirán la medida que sirva de patrón en el análisis de la obligatoriedad o no —desde la perspectiva constitucional— de su nueva reproducción en la segunda instancia”. </w:t>
      </w:r>
    </w:p>
    <w:p w:rsidR="0052098F" w:rsidRDefault="0052098F" w:rsidP="0052098F">
      <w:pPr>
        <w:pStyle w:val="TextoNormal"/>
      </w:pPr>
      <w:r>
        <w:t>En la aplicación de esta doctrina al presente caso considera la Fiscal que el derecho de acceso al recurso obligaba a la Audiencia Provincial a “admitir la íntegra reproducción de las pruebas”, dado “el alcance y reiteración” de lo que estima que son “innumerables demostraciones de incongruencia, falta de lógica y ausencia de bases sólidas argumentales que en la valoración de las pruebas exhibe la Juzgadora”, y que la Fiscal expone con detalle en la parte final de su escrito.</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Mediante providencia de 8 de noviembre de 2006 la Sección Primera de este Tribunal acuerda admitir a trámite la demanda de amparo, y, conforme a lo dispuesto en el art. 51 </w:t>
      </w:r>
      <w:r>
        <w:lastRenderedPageBreak/>
        <w:t>LOTC, requiere de los órganos judiciales correspondientes testimonio de las actuaciones del procedimiento que origina el presente recurso. Asimismo interesa de los mismos el emplazamiento de quienes hubieran sido parte en dicho procedimiento a los efectos de posibilitar su comparecencia en este proceso de amparo.</w:t>
      </w:r>
    </w:p>
    <w:p w:rsidR="0052098F" w:rsidRDefault="0052098F" w:rsidP="0052098F">
      <w:pPr>
        <w:pStyle w:val="TextoNormal"/>
      </w:pPr>
    </w:p>
    <w:p w:rsidR="0052098F" w:rsidRDefault="0052098F" w:rsidP="0052098F">
      <w:pPr>
        <w:pStyle w:val="TextoNormal"/>
      </w:pPr>
      <w:r w:rsidRPr="0052098F">
        <w:rPr>
          <w:rStyle w:val="NumeroAFNegritaCaracter"/>
        </w:rPr>
        <w:t>7</w:t>
      </w:r>
      <w:r>
        <w:t>. Mediante diligencia de ordenación de su Secretaría de Justicia de 15 de marzo de 2007 la Sección Primera de este Tribunal tiene por personado en el procedimiento al Procurador don José Luis Martín Jaureguibeitia en nombre de don Luis María Maiso Lizaso. Asimismo acuerda dar vista a las partes de las actuaciones del presente recurso de amparo, con concesión de un plazo de veinte días para la presentación de las alegaciones previstas en el art. 52.1 LOTC.</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Mediante escrito de 18 de abril de 2007 la representación de don Luis María Maiso Lizaso solicita la denegación del amparo impetrado. Para sostener esta petición hace constar, en primer lugar, la transacción judicial a la que llegaron la sociedad recurrente y su representado ante el Juzgado de lo Mercantil núm. 1 de Bilbao, por la que se acordaba la renuncia a la acción de la actora y la puesta a su disposición para su destrucción de los bolsos depositados ante el Juzgado de lo Penal. “Si lo que encubría el procedimiento penal era una reclamación civil … su objetivo quedó cumplido, por lo que el recurso actualmente planteado no tendría ya ninguna virtualidad operativa” y “resulta initeligible que la parte recurrente no haya desistido de su recurso de amparo”. </w:t>
      </w:r>
    </w:p>
    <w:p w:rsidR="0052098F" w:rsidRDefault="0052098F" w:rsidP="0052098F">
      <w:pPr>
        <w:pStyle w:val="TextoNormal"/>
      </w:pPr>
      <w:r>
        <w:t>Lo que la demanda pide “de una u otra forma al Tribunal es bien la derogación del art. 790.3 LECrim o bien la declaración de su inconstitucionalidad, cuando resulta evidente que ello no puede ser objeto del presente recurso de amparo”. Además, ni el Tribunal “ha modificado de forma alguna la interpretación que haya de hacerse” de dicho artículo, ni el mismo “admite, por seguridad jurídica, ninguna otra interpretación que aquélla que se deriva de sus propias palabras”. Lo que la jurisprudencia del Tribunal Constitucional establece a partir de la STC 167/2002 “no es que cuando se alegue el error en la práctica de la prueba haya de iniciarse un nuevo juicio, sino que … no se puede modificar la sentencia de la instancia sin que se practique nueva prueba ante el Tribunal de apelación”. Así, “no se infringe el derecho fundamental a la tutela judicial efectiva ni a un proceso con todas las garantías utilizando los medios necesarios pertinentes para la defensa cuando el Tribunal de apelación se declara vinculado por la valoración de la prueba practicada en la instancia, conforme al art. 393.3 LECrim; y que no le asiste ningún derecho a la recurrente en apelación que obligue al tribunal a la repetición de la prueba ya practicada y para proceder a una nueva valoración”.</w:t>
      </w:r>
    </w:p>
    <w:p w:rsidR="0052098F" w:rsidRDefault="0052098F" w:rsidP="0052098F">
      <w:pPr>
        <w:pStyle w:val="TextoNormal"/>
      </w:pPr>
    </w:p>
    <w:p w:rsidR="0052098F" w:rsidRDefault="0052098F" w:rsidP="0052098F">
      <w:pPr>
        <w:pStyle w:val="TextoNormal"/>
      </w:pPr>
      <w:r w:rsidRPr="0052098F">
        <w:rPr>
          <w:rStyle w:val="NumeroAFNegritaCaracter"/>
        </w:rPr>
        <w:t>9</w:t>
      </w:r>
      <w:r>
        <w:t>. En su escrito de 20 de abril de 2007 el Ministerio Fiscal interesa que se otorgue el amparo por vulneración del derecho a la tutela judicial efectiva en su manifestación de acceso al recurso (art. 24.1 CE), y que para su restablecimiento se anulen las tres resoluciones recurridas, con retroacción de actuaciones al momento anterior al dictado de la primera. Para sustentar este interés se remite a lo alegado en su escrito de 13 de septiembre de 2006 (resumido en el antecedente núm. 5).</w:t>
      </w:r>
    </w:p>
    <w:p w:rsidR="0052098F" w:rsidRDefault="0052098F" w:rsidP="0052098F">
      <w:pPr>
        <w:pStyle w:val="TextoNormal"/>
      </w:pPr>
    </w:p>
    <w:p w:rsidR="0052098F" w:rsidRDefault="0052098F" w:rsidP="0052098F">
      <w:pPr>
        <w:pStyle w:val="TextoNormal"/>
      </w:pPr>
      <w:r w:rsidRPr="0052098F">
        <w:rPr>
          <w:rStyle w:val="NumeroAFNegritaCaracter"/>
        </w:rPr>
        <w:t>10</w:t>
      </w:r>
      <w:r>
        <w:t>. El Pleno del Tribunal Constitucional, de conformidad con lo dispuesto en el art. 10.1 k) LOTC, a propuesta de la Sala Primera, acordó recabar para sí el conocimiento del recurso de amparo por providencia de 20 de septiembre de 2007.</w:t>
      </w:r>
    </w:p>
    <w:p w:rsidR="0052098F" w:rsidRDefault="0052098F" w:rsidP="0052098F">
      <w:pPr>
        <w:pStyle w:val="TextoNormal"/>
      </w:pPr>
    </w:p>
    <w:p w:rsidR="0052098F" w:rsidRDefault="0052098F" w:rsidP="0052098F">
      <w:pPr>
        <w:pStyle w:val="TextoNormal"/>
      </w:pPr>
      <w:r w:rsidRPr="0052098F">
        <w:rPr>
          <w:rStyle w:val="NumeroAFNegritaCaracter"/>
        </w:rPr>
        <w:t>11</w:t>
      </w:r>
      <w:r>
        <w:t>. Mediante providencia de 11 de marzo de 2008, se señaló para deliberación y votación de la presente Sentencia el día de la fecha.</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sociedad recurrente ejercitaba la acusación particular en un procedimiento penal por un posible delito contra la propiedad industrial consistente en la importación y comercialización de productos que reproducían una marca internacional registrada sin el consentimiento del titular del correspondiente derecho. Tras una primera Sentencia absolutoria anulada en apelación interpuso un nuevo recurso contra la segunda Sentencia absolutoria de instancia, solicitando que la apelación se sustanciara con una nueva práctica de las declaraciones de los acusados y de dos de los testigos, ya que consideraba que las mismas habían sido erróneamente valoradas y que este error había determinado el fallo a través de la afirmación de que los acusados “desconocían que los artículos no eran los originales de la marca … y no estaban autorizados por el titular para el uso de la misma”. El Tribunal de apelación deniega la práctica de estas pruebas y confirma el fallo absolutorio. Lo primero, porque así lo prescribe el art. 795.3 de la Ley de enjuiciamiento criminal (LECrim, actualmente art. 790.3, conforme a la redacción dada por Ley 38/2002, de 24 de octubre); lo segundo, porque “la valoración probatoria llevada a cabo en la resolución impugnada resulta racional en sus planteamientos y lógica en su desarrollo”.</w:t>
      </w:r>
    </w:p>
    <w:p w:rsidR="0052098F" w:rsidRDefault="0052098F" w:rsidP="0052098F">
      <w:pPr>
        <w:pStyle w:val="TextoNormal"/>
      </w:pPr>
      <w:r>
        <w:t>La demanda de amparo considera que la denegación de la prueba solicitada en apelación contraría la doctrina jurisprudencial que ha elaborado este Tribunal a partir de su STC 167/2002, de 18 de septiembre, en torno a las garantías procesales mínimas de la apelación penal, vulnerando por ello los derechos de la sociedad demandante a la tutela judicial efectiva (art. 24.1 CE), a un proceso con todas las garantías (art. 24.2 CE) y a la prueba (art. 24.2 CE). Con apoyo asimismo en la STC 167/2002, y además en la STC 285/2005, de 7 de noviembre, el Ministerio Fiscal interesa también el otorgamiento del amparo, por una parte, porque, “con relación a la prueba de examen del acusado, el órgano de apelación tiene en todo caso la obligación de ordenar su práctica cuando lo solicite el recurrente en apelación (acusador particular o acusador público)”; por otra parte, porque, si “con respecto a las demás pruebas personales (testifical o pericial), las circunstancias del caso y la naturaleza de las cuestiones a juzgar constituyen la medida que sirve de patrón en el análisis de la obligatoriedad o no —desde la perspectiva constitucional— de su nueva reproducción en la segunda instancia”, en el presente caso la valoración probatoria del Juzgado de lo Penal era patentemente defectuosa y exigía una nueva valoración por parte de la Audiencia Provincial.</w:t>
      </w:r>
    </w:p>
    <w:p w:rsidR="0052098F" w:rsidRDefault="0052098F" w:rsidP="0052098F">
      <w:pPr>
        <w:pStyle w:val="TextoNormal"/>
      </w:pPr>
      <w:r>
        <w:t xml:space="preserve">La cuestión que se plantea en este recurso de amparo es así la de si resultaba constitucionalmente obligado que se atendiera a la petición de la acusación particular de que se reiterara la práctica de determinadas pruebas personales en apelación a los efectos de que la Audiencia Provincial pudiera evaluar si se había producido un error en la valoración de la prueba en la Sentencia absolutoria recurrida. En la respuesta afirmativa coinciden la pretensión de la sociedad demandante y la Fiscalía, quienes convergen también en fundamentar sus posiciones en la doctrina establecida por la Sentencia del Pleno de este Tribunal STC 167/2002, perfilada después en muchas otras, pero divergen en el derecho fundamental que consideran vulnerado: mientras que el Fiscal sitúa la infracción del art. 24 CE en el derecho de acceso </w:t>
      </w:r>
      <w:r>
        <w:lastRenderedPageBreak/>
        <w:t>al recurso como manifestación del derecho a la tutela judicial efectiva, la sociedad recurrente se refiere al derecho a la tutela judicial efectiva sin mayor precisión, y a los derechos a la prueba y a un proceso con todas las garantías.</w:t>
      </w:r>
    </w:p>
    <w:p w:rsidR="0052098F" w:rsidRDefault="0052098F" w:rsidP="0052098F">
      <w:pPr>
        <w:pStyle w:val="TextoNormal"/>
      </w:pPr>
    </w:p>
    <w:p w:rsidR="0052098F" w:rsidRDefault="0052098F" w:rsidP="0052098F">
      <w:pPr>
        <w:pStyle w:val="TextoNormal"/>
      </w:pPr>
      <w:r w:rsidRPr="0052098F">
        <w:rPr>
          <w:rStyle w:val="NumeroAFNegritaCaracter"/>
        </w:rPr>
        <w:t>2</w:t>
      </w:r>
      <w:r>
        <w:t>. Hemos de comenzar el análisis de la cuestión planteada recordando dos extremos consolidados de nuestra doctrina jurisprudencial. El primero se refiere al derecho a la tutela judicial efectiva (art. 24.1 CE): forma parte de la misma el derecho de acceso al recurso previsto en el Ordenamiento jurídico y en los términos que prevean las normas del mismo. El control por esta jurisdicción constitucional de amparo del respeto a esta vertiente del derecho a la tutela judicial efectiva es diferente y más intenso, coincidente con el derecho de acceso a la jurisdicción, cuando de lo que se trata es del derecho de acceso al recurso de la persona que ha sido penalmente condenada. Por “[r]azones materiales evidentes, derivadas de la entidad de lo que se ventila en tal tipo de remedios procesales” (STC 88/1997, de 5 de mayo, FJ 2), nuestro control no se limita a analizar si la denegación de acceso al recurso es arbitraria, fruto de un error patente o consecuencia de una interpretación manifiestamente irrazonable de las normas que regulaban tal acceso, sino, más allá, si por su rigorismo, por su formalismo excesivo o por cualquier otra razón revela una clara desproporción entre los fines que las causas de inadmisión del recurso preservan y los intereses que sacrifican (por todas, SSTC 88/1997, de 5 de mayo, FJ 2; 11/2003, de 27 de enero, FJ 3; 43/2007, de 26 de febrero, FJ 2). La segunda línea tradicional de nuestra jurisprudencia que anunciábamos se refiere ahora al derecho a un proceso con todas las garantías (art. 24.2 CE): la revisión de la Sentencia penal condenatoria constituye una garantía constitucional del condenado, si bien la Constitución, interpretada conforme a los tratados y acuerdos internacionales sobre derechos fundamentales ratificados por España (art. 10.2 CE), no impone que tal revisión comporte una nueva valoración de la pruebas, ni con ello la reiteración de la práctica de las mismas ante el órgano judicial revisor cuando así lo demanden las garantías de inmediación y contradicción.</w:t>
      </w:r>
    </w:p>
    <w:p w:rsidR="0052098F" w:rsidRDefault="0052098F" w:rsidP="0052098F">
      <w:pPr>
        <w:pStyle w:val="TextoNormal"/>
      </w:pPr>
      <w:r>
        <w:t xml:space="preserve">En efecto, “así como el acceso a la jurisdicción es un elemento esencial del contenido del derecho fundamental a la tutela judicial efectiva (art. 24.1 CE), el sistema de recursos frente a las diferentes resoluciones judiciales se incorpora al meritado derecho fundamental en la concreta configuración que reciba en cada una de las leyes de enjuiciamiento reguladoras de los diferentes órdenes jurisdiccionales, salvo en lo relativo a las Sentencias penales condenatorias (por todas, SSTC 37/1995, FJ 5; 211/1996, FJ 2; 62/1997, FJ 2; 162/1998, FJ 3; 218/1998, FJ 2 y 23/1999, FJ 2)” (STC 121/1999, de 28 de junio, FJ 3). A su vez dos son “las ideas esenciales” que vertebran la configuración constitucional de la garantía del recurso de quien ha sido condenado penalmente (STC 123/2005, de 12 de mayo, FJ 6). La primera se refiere a su propia existencia como garantía constitucional, pues si bien el derecho a tal recurso “no tiene un reconocimiento constitucional expreso, queda integrado en el derecho a un proceso con todas las garantías recogido en el art. 24.2 CE, toda vez que dicha exigencia, establecida en el art. 14.5 del Pacto internacional de derechos civiles y políticos (en adelante PIDCP), ha quedado incorporada a las garantías constitucionales que disciplinan el proceso penal a través de la previsión del art. 10.2 CE sobre que las normas relativas a derechos fundamentales y a las libertades que la Constitución reconoce se interpretarán de conformidad con dicho texto (por todas, entre las primeras, STC 42/1982, de 5 de julio, FJ 3; y, entre las más recientes, SSTC 80/2003, de 28 de abril, FJ 2, y 105/2003, de 2 de junio, FJ 2)”. La segunda directriz constitucional relativa al recurso penal se refiere, siguiendo también lo afirmado en la Sentencia de Pleno STC 123/2005, a que “del propio tenor literal del art. 14.5 PIDCP, al establecer que ‘[t]oda persona declarada culpable de un delito tendrá </w:t>
      </w:r>
      <w:r>
        <w:lastRenderedPageBreak/>
        <w:t>derecho a que el fallo condenatorio y la pena que se le haya impuesto sean sometidos a un Tribunal superior, conforme a lo prescrito por la Ley´, se desprende que no establece propiamente una doble instancia, sino una sumisión del fallo condenatorio y de la pena a un Tribunal superior, sumisión que habrá de ser conforme a lo prescrito por la Ley, por lo que ésta, en cada país, fijará sus  modalidades (SSTC 76/1982, de 14 de diciembre, FJ 5, y 70/2002, de 3 de abril, FJ 7)” (STC 123/2005, FJ 6). Así, para la condena por determinados delitos, esta sumisión la procura en nuestro Ordenamiento el recurso de casación (SSTC 37/1988, de 3 de marzo, FJ 5; 123/2005, FJ 6) “siguiendo un modelo estricto de revisión de la legalidad de la condena y la pena contenida en la sentencia impugnada y no de repetición íntegra del juicio” (STC 123/2005, FJ 7): “este Tribunal ya ha admitido y reiterado la aptitud de la casación penal para cumplir las exigencias del derecho al recurso contra sentencias penales condenatorias, señalando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 (SSTC 70/2002, de 3 de abril, FJ 7, y 105/2003, de 2 de junio, FJ 2, entre otras)” (STC 123/2005, FJ 7).</w:t>
      </w:r>
    </w:p>
    <w:p w:rsidR="0052098F" w:rsidRDefault="0052098F" w:rsidP="0052098F">
      <w:pPr>
        <w:pStyle w:val="TextoNormal"/>
      </w:pPr>
      <w:r>
        <w:t xml:space="preserve">No es, desde luego, “misión de este Tribunal proponer una regulación constitucionalmente óptima de los recursos en el procedimiento penal, ni valorar la vigente en términos de mayor o menor adecuación a los valores constitucionales” (STC 296/2005, de 21 de noviembre, FJ 3), pero sí constatar ahora, frente a lo implícitamente argüido por la sociedad demandante, que, por una parte, disfrutó del recurso previsto en el ordenamiento procesal penal y a su vez en los términos en él previstos, por lo que no sufrió denegación de tutela alguna (art. 24.1 CE). Por otra parte, tanto por su contenido como por su condición de parte acusadora, el tipo de recurso facilitado a la misma cumplía las exigencias constitucionales derivadas del derecho a un proceso con todas las garantías (art. 24.2 CE): por una parte, porque la misma ejercitaba la acusación y no era, por tanto, titular de la garantía penal del recurso; por otra parte, y en cualquier caso, aunque de un penalmente condenado se hubiera tratado, porque el impulsado era un recurso legalmente previsto que cumplía suficientemente la función revisora que impone el art. 24.2 CE en la interpretación que informa el art. 14.5 PIDCP. Si tal cosa la afirmamos, como se ha reseñado, del recurso de casación, que, en tanto es extraordinario, constituye un mecanismo de sumisión a un Tribunal superior más limitado desde la perspectiva de las funciones que se atribuyen a éste en relación con la determinación de los hechos enjuiciados, con mayor razón debe afirmarse del recurso que prevé hoy el art. 790 LECrim (art. 795 en el momento en el que se dictó la Sentencia recurrida), que permite la impugnación de la Sentencia por “quebrantamiento de las normas y </w:t>
      </w:r>
      <w:r>
        <w:lastRenderedPageBreak/>
        <w:t>garantías procesales, error en la apreciación de la pruebas o infracción de normas del ordenamiento jurídico” (art. 790.2 LECrim), y la petición de “la práctica de las diligencias de prueba que [el recurrente] no pudo proponer en la primera instancia, de las propuestas que le fueron indebidamente denegadas … y de las admitidas que no fueron practicadas por causas que no le sean imputables” (art. 790.3 LECrim).</w:t>
      </w:r>
    </w:p>
    <w:p w:rsidR="0052098F" w:rsidRDefault="0052098F" w:rsidP="0052098F">
      <w:pPr>
        <w:pStyle w:val="TextoNormal"/>
      </w:pPr>
      <w:r>
        <w:t>Corolario de lo argumentado es que la sociedad demandante no tenía derecho constitucional a la garantía del recurso penal frente a resoluciones condenatorias como parte de su derecho a un proceso con todas las garantías, sino, más limitadamente, derecho al recurso legalmente establecido como vertiente del derecho a la tutela judicial efectiva. Disfrutó de tal recurso, sin que sobre señalar que el mismo hubiera colmado el derecho correspondiente del penalmente condenado.</w:t>
      </w:r>
    </w:p>
    <w:p w:rsidR="0052098F" w:rsidRDefault="0052098F" w:rsidP="0052098F">
      <w:pPr>
        <w:pStyle w:val="TextoNormal"/>
      </w:pPr>
    </w:p>
    <w:p w:rsidR="0052098F" w:rsidRDefault="0052098F" w:rsidP="0052098F">
      <w:pPr>
        <w:pStyle w:val="TextoNormal"/>
      </w:pPr>
      <w:r w:rsidRPr="0052098F">
        <w:rPr>
          <w:rStyle w:val="NumeroAFNegritaCaracter"/>
        </w:rPr>
        <w:t>3</w:t>
      </w:r>
      <w:r>
        <w:t>. Tampoco puede afirmarse que se haya producido la vulneración del derecho a la prueba (art. 24.2 CE). No, por supuesto, por una cuestión de falta de titularidad del derecho, sino porque el contenido del derecho ha quedado incólume tras la actuación judicial denunciada.</w:t>
      </w:r>
    </w:p>
    <w:p w:rsidR="0052098F" w:rsidRDefault="0052098F" w:rsidP="0052098F">
      <w:pPr>
        <w:pStyle w:val="TextoNormal"/>
      </w:pPr>
      <w:r>
        <w:t>En efecto, procede puntualizar en primer lugar que el ius ut procedatur que asiste a la víctima de un delito no se agota en un mero impulso del proceso o una mera comparecencia en el mismo, “sino que de él derivan con naturalidad y necesidad los derechos relativos a las reglas esenciales del desarrollo del proceso” (por todas, SSTC 218/1997, de 4 de diciembre, FJ 2; 215/1999, de 29 de noviembre, FJ 1). Así, “el principio de contradicción en el proceso penal, que hace posible el enfrentamiento dialéctico entre las partes, permitiendo así el conocimiento de los argumentos de la contraria y la manifestación ante el Juez o Tribunal de los propios (SSTC 162/1997, de 3 de octubre, FJ 4; 56/1999, de 12 de abril, FJ 4; 79/2000, de 27 de marzo, FJ 3), constituye una exigencia ineludible vinculada al derecho a un proceso público con todas las garantías, para cuya observancia se requiere el deber de los órganos judiciales de posibilitarlo … Del principio de igualdad de armas, lógico corolario del principio de contradicción, se deriva asimismo la necesidad de que las partes cuenten con los mismos medios de ataque y defensa e idénticas posibilidades y cargas de alegación, prueba e impugnación, a efectos de evitar desequilibrios entre sus respectivas posiciones procesales, sin que sean admisibles limitaciones a dicho principio, fuera de las modulaciones o excepciones que puedan establecerse en fase de instrucción (o sumarial) por razón de la propia naturaleza de la actividad investigadora que en ella se desarrolla, encaminada a asegurar el éxito de la investigación y, en definitiva, la protección del valor constitucional de la justicia (SSTC 66/1989, de 17 de abril, FJ 12; 186/1990, de 15 de noviembre, FJ 5)” (STC 178/2001, de 17 de septiembre, FJ 3).</w:t>
      </w:r>
    </w:p>
    <w:p w:rsidR="0052098F" w:rsidRDefault="0052098F" w:rsidP="0052098F">
      <w:pPr>
        <w:pStyle w:val="TextoNormal"/>
      </w:pPr>
      <w:r>
        <w:t xml:space="preserve">El derecho a la prueba tiene como primer requisito la legalidad de la petición probatoria, en el doble sentido de que “el medio de prueba esté autorizado por el Ordenamiento (por todas SSTC 236/2002, de 9 de diciembre, FJ 4; 147/2002, de 15 de junio, FJ 4; 165/2001, de 16 de julio, FJ 2; y 96/2000, de 10 de abril, FJ 2)” (STC 1/2004, de 14 de enero, FJ 2) y de que “la prueba se haya solicitado en la forma y momento legalmente establecidos (SSTC 149/1987, de 30 de septiembre; 212/1990, de 20 de diciembre; 87/1992, de 8 de junio; 94/1992, de 11 de junio; 1/1996; 190/1997; 52/1998, de 3 de marzo; 26/2000, FJ 2)” (STC 165/2001, de 16 de julio, FJ 2). Cuando la petición se ajusta a las previsiones legales constituye una cuestión que corresponde dilucidar a los órganos judiciales y no a este Tribunal, como si de una nueva instancia se tratase, que reserva su control derivado del amparo del derecho fundamental a los supuestos en los que aquéllos órganos no se pronuncien sobre la </w:t>
      </w:r>
      <w:r>
        <w:lastRenderedPageBreak/>
        <w:t>admisión de la prueba, o no lo hagan motivadamente, o lo hagan con una motivación arbitraria o irrazonable (por todas, SSTC 165/2001, de 16 de julio, FJ 2; 1/2004, de 14 de enero, FJ 2).</w:t>
      </w:r>
    </w:p>
    <w:p w:rsidR="0052098F" w:rsidRDefault="0052098F" w:rsidP="0052098F">
      <w:pPr>
        <w:pStyle w:val="TextoNormal"/>
      </w:pPr>
      <w:r>
        <w:t>Patente es que ninguna de tales tachas constitucionales se ha producido en el presente caso. La Sección Tercera de la Audiencia Provincial de Guipúzcoa rechazó expresamente la práctica de las pruebas que se proponían, primero mediante providencia, y después, en respuesta al recurso de súplica, mediante Auto. Tales resoluciones motivan la denegación en que la prueba solicitada, que ya había sido practicada en la instancia, no formaba parte de aquéllas para cuya petición queda facultado el recurrente por la Ley de enjuiciamiento criminal, que en su art. 795.3 —y en la actualidad, con casi la misma redacción, en el art. 790.3— se refería a que “podrá pedir el recurrente la práctica de las diligencias de prueba que no pudo proponer en la primera instancia, de las propuestas que le fueron indebidamente denegadas, siempre que hubiere formulado en su momento la oportuna reserva, y de las admitidas que no fueron practicadas por causas que no le sean imputables, exponiendo las razones por las que la falta de aquellas diligencias de prueba ha producido indefensión”.</w:t>
      </w:r>
    </w:p>
    <w:p w:rsidR="0052098F" w:rsidRDefault="0052098F" w:rsidP="0052098F">
      <w:pPr>
        <w:pStyle w:val="TextoNormal"/>
      </w:pPr>
      <w:r>
        <w:t>Es necesario subrayar al respecto cuáles son los límites que para nuestro enjuiciamiento demarca el contenido del derecho fundamental a la prueba. No forma parte de nuestra competencia la de interpretación de las normas procesales que rigen la prueba ni, en concreto, en lo que ahora importa, qué pruebas deben practicarse en la apelación penal a partir de la dicción de los apartados 2 y 3 del art. 790 LECrim. Nuestra tarea de amparo del derecho fundamental a la utilización de los medios de prueba pertinentes para la defensa se restringe en este punto a velar por que la petición de prueba haya sido objeto de respuesta, de respuesta motivada y de respuesta con una motivación que no sea ni arbitraria ni irrazonable, lo que podrá suponer la validez constitucional de interpretaciones divergentes en torno a las pruebas habilitadas por el Ordenamiento en fase de apelación. No ostentaba tal validez, conforme al fallo de la STC 285/2005, de 7 de noviembre —invocada por el Ministerio Fiscal para apoyar su interés en el otorgamiento del amparo—, la denegación de prueba por ella analizada. De naturaleza bien diferente a la denegación de prueba suscitada en este proceso, aquélla se produjo respecto a pruebas no practicadas en la primera instancia y tras su admisión inicial en apelación ante la incomparecencia de los testigos citados en dicha fase y bajo la interpretación “rigorista” (FJ 3) de que el Ordenamiento no permitía, no las pruebas nuevamente propuestas en apelación, sino la reiteración de la comparecencia del acusado, necesaria para la práctica garantista de éstas.</w:t>
      </w:r>
    </w:p>
    <w:p w:rsidR="0052098F" w:rsidRDefault="0052098F" w:rsidP="0052098F">
      <w:pPr>
        <w:pStyle w:val="TextoNormal"/>
      </w:pPr>
    </w:p>
    <w:p w:rsidR="0052098F" w:rsidRDefault="0052098F" w:rsidP="0052098F">
      <w:pPr>
        <w:pStyle w:val="TextoNormal"/>
      </w:pPr>
      <w:r w:rsidRPr="0052098F">
        <w:rPr>
          <w:rStyle w:val="NumeroAFNegritaCaracter"/>
        </w:rPr>
        <w:t>4</w:t>
      </w:r>
      <w:r>
        <w:t>. Aduce también la sociedad demandante que la vulneración de su derecho a un proceso con todas las garantías proviene, no del hecho de la falta de la garantía del recurso penal, sino del hecho de que el mismo se sustanciara sin la garantía de la práctica de las pruebas cuya valoración se cuestionaba. En el entender de la demandante y del Ministerio Fiscal la jurisprudencia establecida por este Tribunal a partir de la STC 167/2002, de 18 de septiembre, comportaría que esta práctica constituye una garantía constitucional cuando el recurrente cuestione ante el Tribunal de apelación los hechos afirmados por la Sentencia de instancia.</w:t>
      </w:r>
    </w:p>
    <w:p w:rsidR="0052098F" w:rsidRDefault="0052098F" w:rsidP="0052098F">
      <w:pPr>
        <w:pStyle w:val="TextoNormal"/>
      </w:pPr>
      <w:r>
        <w:t xml:space="preserve">Ni la STC 167/2002 ni las numerosas Sentencias posteriores que han aplicado y perfilado su doctrina en torno a la garantías procesales de inmediación y contradicción han cuestionado por restrictivo el sistema que nuestro Ordenamiento jurídico establece como sistema de apelación penal, según la propia denominación legal. No es el objeto de nuestra doctrina el análisis constitucional de los supuestos en los que se puede apelar, o las razones por las </w:t>
      </w:r>
      <w:r>
        <w:lastRenderedPageBreak/>
        <w:t>que puede hacerse, o los casos en los que la revisión debe conformar la práctica y la valoración de la prueba. Su objeto es, sencilla pero trascendentalmente, de acuerdo con la jurisprudencia del Tribunal Europeo de Derechos Humanos, el de afirmar que, para justificar una condena, no cabe valorar una prueba de cargo sin inmediación, y tampoco sin contradicción y publicidad (SSTEDH de 8 de febrero de 2000, asunto Stefanelli contra San Marino, § 20, en el que el Tribunal observa que el procedimiento oral no se desarrolla ante el Magistrado llamado a resolver; de 18 de mayo de 2004, asunto Destrehem contra Francia, § 43, en el que se afirma que el Tribunal de apelación apreció declaraciones de testigos sin interrogarlos), puesto que éstas constituyen garantías esenciales de la “corrección de la valoración” (SSTC 112/2005, de 9 de mayo, FJ 2; 141/2006, de 8 de mayo, FJ 3; ATC 467/2006, de 20 de diciembre, FJ 3). Es precisamente en este sentido en el que el problema constitucional de la garantía de inmediación se ha planteado en nuestra doctrina jurisdiccional como un “límite” para la revisión de la valoración de la prueba por el órgano llamado a decidir el recurso de apelación (SSTC 197/2002, de 28 de octubre, FJ 2; 192/2004, de 2 de noviembre, FJ 2) derivado “del derecho fundamental a un proceso con todas las garantías, en particular del principio de inmediación que rige el proceso penal” (STC 192/2004, FJ 2). Así, la STC 167/2002, perfilando tal límite, concluye que “en casos de apelación de sentencias absolutorias, cuando aquélla se funda en la apreciación de la prueba, si en la apelación no se practican nuevas pruebas, no puede el Tribunal ad quem revisar la valoración de las practicadas en la primera instancia, cuando por la índole de las mismas es exigible la inmediación y la contradicción” (FJ 1).</w:t>
      </w:r>
    </w:p>
    <w:p w:rsidR="0052098F" w:rsidRDefault="0052098F" w:rsidP="0052098F">
      <w:pPr>
        <w:pStyle w:val="TextoNormal"/>
      </w:pPr>
      <w:r>
        <w:t xml:space="preserve">La ratio de la decisión que adoptamos en nuestra STC 167/2002 de que “ha resultado vulnerado el derecho a un proceso con todas las garantías” es, por tanto, que la Audiencia Provincial había procedido “a revisar y corregir la valoración y ponderación que el Juzgado de lo Penal había efectuado de las declaraciones de los recurrentes en amparo, sin respetar los principios de inmediación y contradicción” (FJ 11). A la misma conclusión y por la misma razón se llega en numerosas Sentencias posteriores: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esta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 entre otras)” (STC 31/2005, de 14 de febrero, FJ 2). Así, “la Constitución veda ex art. 24.2 que un Juez o Tribunal de lo penal sustente una condena sobre su propia apreciación de lo sucedido a partir de su valoración de testimonios a los que no ha asistido; esto es: sin inmediación en pruebas cuya valoración requiere la garantía de inmediación” (STC 112/2005, de 9 de mayo, FJ 9); así, “forma parte del derecho fundamental del acusado a un proceso con todas las garantías (art. 24.2 CE)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Esta exigencia de inmediación de la práctica de este tipo de pruebas respecto al órgano judicial que las </w:t>
      </w:r>
      <w:r>
        <w:lastRenderedPageBreak/>
        <w:t>valora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(SSTC 105/2005, de 9 de mayo, FJ 1; 111/2005, de 9 de mayo, FJ 1; 112/2005, FJ 2; 185/2005, de 4 de julio, FJ 2).</w:t>
      </w:r>
    </w:p>
    <w:p w:rsidR="0052098F" w:rsidRDefault="0052098F" w:rsidP="0052098F">
      <w:pPr>
        <w:pStyle w:val="TextoNormal"/>
      </w:pPr>
    </w:p>
    <w:p w:rsidR="0052098F" w:rsidRDefault="0052098F" w:rsidP="0052098F">
      <w:pPr>
        <w:pStyle w:val="TextoNormal"/>
      </w:pPr>
      <w:r w:rsidRPr="0052098F">
        <w:rPr>
          <w:rStyle w:val="NumeroAFNegritaCaracter"/>
        </w:rPr>
        <w:t>5</w:t>
      </w:r>
      <w:r>
        <w:t>. La doctrina que parte de la STC 167/2002 no comporta que deban practicarse necesariamente nuevas pruebas en apelación cuando los recurrentes cuestionen los hechos declarados como probados, cuestión que sólo al legislador corresponde decidir en su competencia de configuración de los recursos penales, sino únicamente que al órgano judicial le está vedada la valoración de las pruebas personales que no se hayan practicado ante él: que “en el ejercicio de las facultades que el art. 795 LECrim otorga al Tribunal ad quem deben respetarse en todo caso las garantías constitucionales establecidas en el art. 24.2 CE” (FJ 11). Esta mención al ámbito de la apelación diseñado por el art. 795 LECrim (hoy 790 LECrim) constituye un presupuesto constante de la doctrina de la exigencia de inmediación en la valoración de las pruebas (SSTC 197/2002, de 28 de octubre, FJ 4; 198/2002, de 28 de octubre, FJ 3; 40/2004, de 22 de marzo, FJ 5; 78/2005, de 4 de abril, FJ 2; 307/2005, de 12 de diciembre, FJ 5). No sobra señalar al respecto que el Tribunal Europeo de Derechos Humanos, tras partir de que el art. 6 del Convenio europeo de derechos humanos no compele a los Estados a establecer tribunales de apelación o de casación (STEDH de 26 de julio de 2002, asunto Metfah y otros contra Francia, § 41), señala que el modo de aplicación del mismo a la apelación depende de las singularidades del procedimiento en cuestión y que en todo caso ha de tomarse en cuenta en su conjunto el proceso tramitado según el Ordenamiento jurídico interno y la tarea que en él desarrolla el Tribunal de apelación (SSTEDH de 26 de mayo de 1988, asunto Ekbatani contra Suecia; de 29 de octubre de 1991, §asunto Jan – Ake Andersson contra Suecia, §§ 22 y 27; de 29 de octubre de 1991, asunto Fejde contra Suecia, § 26; de 27 de junio de 2000, asunto Constantinescu contra Rumanía, § 53; de 6 de julio de 2004, asunto Dondarini contra San Marino, § 27), singularmente si le corresponde declarar los hechos probados (SSTEDH de 26 de mayo de 1988, asunto Ekbatani contra Suecia, § 31; de 18 de octubre de 2006, asunto Hermi contra Italia, § 61). De este modo, cuando se ha celebrado ya audiencia pública en la primera instancia, la falta de debates públicos en apelación puede justificarse por las peculiaridades del procedimiento en cuestión, teniendo en cuenta la naturaleza del sistema de apelación interno, el alcance de los poderes de la jurisdicción de apelación,  la manera en que los intereses del demandante han sido realmente satisfechos y protegidos ante ella, y sobre todo la naturaleza de las cuestiones que tenía que resolver (STEDH de 27 de junio de 2000, asunto Constantinescu contra Rumanía, § 53; también STEDH de 8 de febrero de 2000, asunto Cooke contra Austria, § 35). Así, en el asunto Arnarsson contra Islandia (STEDH de 15 de julio de 2003) se parte de que el hecho de que el Tribunal Supremo islandés estuviera facultado para revocar una sentencia absolutoria sin citar al demandante y a los testigos y sin interrogarles en persona no infringe por sí mismo el derecho a que la causa sea oída equitativamente por el Tribunal ex art. 6 del Convenio (§ 32)</w:t>
      </w:r>
    </w:p>
    <w:p w:rsidR="0052098F" w:rsidRDefault="0052098F" w:rsidP="0052098F">
      <w:pPr>
        <w:pStyle w:val="TextoNormal"/>
      </w:pPr>
      <w:r>
        <w:t xml:space="preserve">En la STC 167/2002, en suma, este Tribunal no ha venido a cuestionar por constitucionalmente insuficiente el ámbito de la apelación penal en nuestro Ordenamiento jurídico, sino sólo a exigir que en su desarrollo se observen las garantías constitucionales y, en concreto, las de inmediación y contradicción en la valoración de las pruebas de cargo cuando tal valoración se haya de producir conforme a las previsiones legales. De este modo infringe el art. 24.2 CE el órgano judicial que modifique el factum de sentido absolutorio por otro </w:t>
      </w:r>
      <w:r>
        <w:lastRenderedPageBreak/>
        <w:t>de sentido condenatorio (ATC 467/2006, de 20 de diciembre, FJ 3) valorando pruebas sin la garantía de inmediación, sea porque el órgano judicial entienda que la ley le impide la práctica de la prueba, sea porque no aprecie como oportuna o necesaria tal práctica.</w:t>
      </w:r>
    </w:p>
    <w:p w:rsidR="0052098F" w:rsidRDefault="0052098F" w:rsidP="0052098F">
      <w:pPr>
        <w:pStyle w:val="TextoNormal"/>
      </w:pPr>
    </w:p>
    <w:p w:rsidR="0052098F" w:rsidRDefault="0052098F" w:rsidP="0052098F">
      <w:pPr>
        <w:pStyle w:val="TextoNormal"/>
      </w:pPr>
      <w:r w:rsidRPr="0052098F">
        <w:rPr>
          <w:rStyle w:val="NumeroAFNegritaCaracter"/>
        </w:rPr>
        <w:t>6</w:t>
      </w:r>
      <w:r>
        <w:t>. Hemos señalado también, obviamente, que la de inmediación no es la única garantía constitucional del proceso que debe respetarse en fase de apelación. Deben respetarse todas las garantías del proceso, pues sin ellas no se dan los presupuestos mínimos para la defensa y para la corrección de las constataciones y valoraciones judiciales. En relación con “una nueva y distinta valoración de las declaraciones de testigos y acusados” por parte de los órganos de apelación “con base en la cual se revoca una Sentencia absolutoria y se dicta la Sentencia condenatoria”, la STC 94/2004, de 24 de mayo, mencionaba “las condiciones de oralidad, inmediación, contradicción y publicidad” (FJ 2).</w:t>
      </w:r>
    </w:p>
    <w:p w:rsidR="0052098F" w:rsidRDefault="0052098F" w:rsidP="0052098F">
      <w:pPr>
        <w:pStyle w:val="TextoNormal"/>
      </w:pPr>
      <w:r>
        <w:t>La preservación de tales garantías podrá comportar desde la perspectiva de las garantías constitucionales que, cuando proceda legalmente la práctica de prueba de cargo en apelación para que el órgano de apelación proceda con inmediación y contradicción a la valoración de la misma, deban practicarse otro tipo de pruebas imprescindibles para confrontar las primeras y, singularmente, la declaración del acusado, pues “cuando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proceso justo sin un examen directo y personal del acusado que niegue haber cometido la infracción considerada punible” (STC 167/2002, FJ 10). La práctica de tales pruebas, que podría no estar expresamente prevista en la ley, se anudará así constitucionalmente a otras que sí lo están, y será posible si el órgano judicial así lo entiende desde una interpretación no irrazonable de la ley. Lo que en ningún caso será constitucionalmente lícito es la práctica y valoración de pruebas sin las garantías constitucionales mínimas, cosa que sucederá, como ya se ha señalado, si el órgano valora una prueba personal a la que no ha asistido o que, por la ausencia de otra que se solicitaba en contraposición a la misma, no posibilitaba su adecuada contradicción.</w:t>
      </w:r>
    </w:p>
    <w:p w:rsidR="0052098F" w:rsidRDefault="0052098F" w:rsidP="0052098F">
      <w:pPr>
        <w:pStyle w:val="TextoNormal"/>
      </w:pPr>
      <w:r>
        <w:t>Hemos, pues, de concluir que tampoco se ha producido la vulneración denunciada del derecho a un proceso con todas las garantías por falta de la garantía de la práctica de las pruebas solicitadas en apelación: por una parte, porque el Tribunal entendió razonablemente que tal práctica no estaba permitida por la ley; por otra, porque la misma, y singularmente la declaración de los acusados, no se erigía en este caso, en el que no se procedió a práctica probatoria alguna, como exigencia constitucional derivada de la necesidad de contradicción.</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Denegar el amparo solicitado por la sociedad Louis Vuitton Malletier, S. A.</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once de marzo de dos mil ocho.</w:t>
      </w:r>
    </w:p>
    <w:p w:rsidR="0052098F" w:rsidRDefault="0052098F">
      <w:pPr>
        <w:spacing w:after="160" w:line="259" w:lineRule="auto"/>
        <w:rPr>
          <w:rFonts w:ascii="Times New Roman" w:eastAsia="Times New Roman" w:hAnsi="Times New Roman" w:cs="Times New Roman"/>
          <w:sz w:val="24"/>
          <w:szCs w:val="24"/>
          <w:lang w:eastAsia="es-ES"/>
        </w:rPr>
      </w:pPr>
      <w:r>
        <w:lastRenderedPageBreak/>
        <w:br w:type="page"/>
      </w:r>
    </w:p>
    <w:p w:rsidR="0052098F" w:rsidRDefault="0052098F" w:rsidP="0052098F">
      <w:pPr>
        <w:pStyle w:val="TtuloResolucin"/>
      </w:pPr>
      <w:bookmarkStart w:id="52" w:name="SENTENCIA_2008_49"/>
      <w:r>
        <w:lastRenderedPageBreak/>
        <w:t>SENTENCIA 49/2008, de 9 de abril de 2008</w:t>
      </w:r>
    </w:p>
    <w:bookmarkEnd w:id="52"/>
    <w:p w:rsidR="0052098F" w:rsidRDefault="0052098F" w:rsidP="0052098F">
      <w:pPr>
        <w:pStyle w:val="TtuloResolucin"/>
      </w:pPr>
      <w:r>
        <w:t>Pleno</w:t>
      </w:r>
    </w:p>
    <w:p w:rsidR="0052098F" w:rsidRDefault="0052098F" w:rsidP="0052098F">
      <w:pPr>
        <w:pStyle w:val="TtuloResolucin"/>
      </w:pPr>
    </w:p>
    <w:p w:rsidR="0052098F" w:rsidRDefault="0052098F" w:rsidP="0052098F">
      <w:pPr>
        <w:pStyle w:val="TtuloBOE"/>
      </w:pPr>
      <w:r>
        <w:t>("BOE" núm. 117, de 14 de mayo de 2008)</w:t>
      </w:r>
    </w:p>
    <w:p w:rsidR="0052098F" w:rsidRDefault="0052098F" w:rsidP="0052098F">
      <w:pPr>
        <w:pStyle w:val="TtuloBOE"/>
      </w:pPr>
    </w:p>
    <w:p w:rsidR="0052098F" w:rsidRDefault="0052098F" w:rsidP="0052098F">
      <w:pPr>
        <w:pStyle w:val="SntesisDescriptiva"/>
      </w:pPr>
      <w:r>
        <w:t>ECLI:ES:TC:2008:49</w:t>
      </w:r>
    </w:p>
    <w:p w:rsidR="0052098F" w:rsidRDefault="0052098F" w:rsidP="0052098F">
      <w:pPr>
        <w:pStyle w:val="SntesisDescriptiva"/>
      </w:pPr>
    </w:p>
    <w:p w:rsidR="0052098F" w:rsidRDefault="0052098F" w:rsidP="0052098F">
      <w:pPr>
        <w:pStyle w:val="SntesisDescriptiva"/>
      </w:pPr>
      <w:r>
        <w:t>Recurso de inconstitucionalidad 6729-2007. Promovido por más de cincuenta Diputados del Grupo Popular del Congreso de los Diputados respecto al artículo único, apartados 6 y 7, de la Ley Orgánica 6/2007, de 24 de mayo, por la que se modifica la Ley Orgánica 2/1979, de 3 de octubre, del Tribunal Constitucional.</w:t>
      </w:r>
    </w:p>
    <w:p w:rsidR="0052098F" w:rsidRDefault="0052098F" w:rsidP="0052098F">
      <w:pPr>
        <w:pStyle w:val="SntesisDescriptiva"/>
      </w:pPr>
    </w:p>
    <w:p w:rsidR="0052098F" w:rsidRDefault="0052098F" w:rsidP="0052098F">
      <w:pPr>
        <w:pStyle w:val="SntesisAnaltica"/>
      </w:pPr>
      <w:r>
        <w:t>Supuesta vulneración de la interdicción de la arbitrariedad y de normas sobre la elección de Magistrados y Presidente, reserva de reglamento parlamentario, materias reservadas a la ley orgánica del Tribunal Constitucional, posición institucional del Senado, estatuto de los Senadores y organización territorial del poder: participación de las Comunidades Autónomas en la elección de Magistrados del Tribunal Constitucional por el Senado; prórroga de la duración de la Presidencia en los supuestos en que su mandato no coincida con la renovación parcial del Tribunal. Votos particulares.</w:t>
      </w:r>
    </w:p>
    <w:p w:rsidR="0052098F" w:rsidRDefault="0052098F" w:rsidP="0052098F">
      <w:pPr>
        <w:pStyle w:val="SntesisAnaltica"/>
      </w:pPr>
    </w:p>
    <w:p w:rsidR="0052098F" w:rsidRDefault="0052098F" w:rsidP="0052098F">
      <w:pPr>
        <w:pStyle w:val="Extracto"/>
      </w:pPr>
      <w:r>
        <w:t>1.</w:t>
      </w:r>
      <w:r>
        <w:tab/>
        <w:t>No existen motivos procesales para rechazar un pronunciamiento sobre la constitucionalidad de los preceptos impugnados de la Ley Orgánica del Tribunal Constitucional, que constituyen disposiciones normativas con fuerza de ley que, como prevé el art. 27.2 a) LOTC, son susceptibles de ser declaradas inconstitucionales por este Tribunal [FJ 3].</w:t>
      </w:r>
    </w:p>
    <w:p w:rsidR="0052098F" w:rsidRDefault="0052098F" w:rsidP="0052098F">
      <w:pPr>
        <w:pStyle w:val="Extracto"/>
      </w:pPr>
    </w:p>
    <w:p w:rsidR="0052098F" w:rsidRDefault="0052098F" w:rsidP="0052098F">
      <w:pPr>
        <w:pStyle w:val="Extracto"/>
      </w:pPr>
      <w:r>
        <w:t>2.</w:t>
      </w:r>
      <w:r>
        <w:tab/>
        <w:t>Renunciar al control de la Ley Orgánica del Tribunal Constitucional no se correspondería con la pretensión del constituyente de crear un órgano de control constitucional con amplias competencias y de garantizar su eficacia [FJ 3].</w:t>
      </w:r>
    </w:p>
    <w:p w:rsidR="0052098F" w:rsidRDefault="0052098F" w:rsidP="0052098F">
      <w:pPr>
        <w:pStyle w:val="Extracto"/>
      </w:pPr>
    </w:p>
    <w:p w:rsidR="0052098F" w:rsidRDefault="0052098F" w:rsidP="0052098F">
      <w:pPr>
        <w:pStyle w:val="Extracto"/>
      </w:pPr>
      <w:r>
        <w:t>3.</w:t>
      </w:r>
      <w:r>
        <w:tab/>
        <w:t>Una renuncia a ejercer el control de constitucionalidad de la Ley Orgánica del Tribunal Constitucional, nos llevaría a dejar sin garantía jurisdiccional algunos de los preceptos constitucionales que más contribuyen a la realización del principio de supremacía constitucional [FJ 4].</w:t>
      </w:r>
    </w:p>
    <w:p w:rsidR="0052098F" w:rsidRDefault="0052098F" w:rsidP="0052098F">
      <w:pPr>
        <w:pStyle w:val="Extracto"/>
      </w:pPr>
    </w:p>
    <w:p w:rsidR="0052098F" w:rsidRDefault="0052098F" w:rsidP="0052098F">
      <w:pPr>
        <w:pStyle w:val="Extracto"/>
      </w:pPr>
      <w:r>
        <w:t>4.</w:t>
      </w:r>
      <w:r>
        <w:tab/>
        <w:t>Una reserva de ley orgánica tan amplia y con vocación de plenitud como la contenida en el art. 165 CE, refuerza la necesidad de controlar que el legislador respete el modelo constitucional de nuestra jurisdicción, puesto que de ello depende en buena medida la efectividad del orden constitucional en todos los ámbitos [FJ 3].</w:t>
      </w:r>
    </w:p>
    <w:p w:rsidR="0052098F" w:rsidRDefault="0052098F" w:rsidP="0052098F">
      <w:pPr>
        <w:pStyle w:val="Extracto"/>
      </w:pPr>
    </w:p>
    <w:p w:rsidR="0052098F" w:rsidRDefault="0052098F" w:rsidP="0052098F">
      <w:pPr>
        <w:pStyle w:val="Extracto"/>
      </w:pPr>
      <w:r>
        <w:t>5.</w:t>
      </w:r>
      <w:r>
        <w:tab/>
        <w:t>El legislador goza de una libertad de configuración del Tribunal Constitucional derivada del principio democrático y protegida a través de las diversas reservas de Ley Orgánica, sin embargo, tal libertad no es absoluta, sino que tiene límites materiales y formales que tienen su origen en dichas reservas, en los restantes preceptos que integran el Título IX CE, y en una interpretación sistemática de todo el texto constitucional (STC 66/1985) [FJ 3].</w:t>
      </w:r>
    </w:p>
    <w:p w:rsidR="0052098F" w:rsidRDefault="0052098F" w:rsidP="0052098F">
      <w:pPr>
        <w:pStyle w:val="Extracto"/>
      </w:pPr>
    </w:p>
    <w:p w:rsidR="0052098F" w:rsidRDefault="0052098F" w:rsidP="0052098F">
      <w:pPr>
        <w:pStyle w:val="Extracto"/>
      </w:pPr>
      <w:r>
        <w:lastRenderedPageBreak/>
        <w:t>6.</w:t>
      </w:r>
      <w:r>
        <w:tab/>
        <w:t>Doctrina sobre el control de constitucionalidad de la Ley Orgánica del Tribunal Constitucional (SSTC 66/1985, 38/2007) [FJ 2].</w:t>
      </w:r>
    </w:p>
    <w:p w:rsidR="0052098F" w:rsidRDefault="0052098F" w:rsidP="0052098F">
      <w:pPr>
        <w:pStyle w:val="Extracto"/>
      </w:pPr>
    </w:p>
    <w:p w:rsidR="0052098F" w:rsidRDefault="0052098F" w:rsidP="0052098F">
      <w:pPr>
        <w:pStyle w:val="Extracto"/>
      </w:pPr>
      <w:r>
        <w:t>7.</w:t>
      </w:r>
      <w:r>
        <w:tab/>
        <w:t>El legislador no está constitucionalmente obligado a justificar sus opciones legislativas en las exposiciones de motivos o preámbulos de las leyes [FJ 5].</w:t>
      </w:r>
    </w:p>
    <w:p w:rsidR="0052098F" w:rsidRDefault="0052098F" w:rsidP="0052098F">
      <w:pPr>
        <w:pStyle w:val="Extracto"/>
      </w:pPr>
    </w:p>
    <w:p w:rsidR="0052098F" w:rsidRDefault="0052098F" w:rsidP="0052098F">
      <w:pPr>
        <w:pStyle w:val="Extracto"/>
      </w:pPr>
      <w:r>
        <w:t>8.</w:t>
      </w:r>
      <w:r>
        <w:tab/>
        <w:t>la Constitución no se limita a ser un conjunto de normas que deben ser ejecutadas o un programa que debe ser desarrollado, sino un marco de coincidencias lo suficientemente amplio como para que dentro del mismo quepan opciones políticas de diverso signo (SSTC 11/1981, 236/2007) [FJ 12].</w:t>
      </w:r>
    </w:p>
    <w:p w:rsidR="0052098F" w:rsidRDefault="0052098F" w:rsidP="0052098F">
      <w:pPr>
        <w:pStyle w:val="Extracto"/>
      </w:pPr>
    </w:p>
    <w:p w:rsidR="0052098F" w:rsidRDefault="0052098F" w:rsidP="0052098F">
      <w:pPr>
        <w:pStyle w:val="Extracto"/>
      </w:pPr>
      <w:r>
        <w:t>9.</w:t>
      </w:r>
      <w:r>
        <w:tab/>
        <w:t>La legítima discrepancia política respecto de los preceptos cuestionados no debe confundirse con un motivo de impugnación tan importante como la interdicción de la arbitrariedad cuando, ni existe una carencia absoluta de justificación de los preceptos impugnados, ni pueden éstos ser considerados en ningún caso discriminatorios [FJ 5].</w:t>
      </w:r>
    </w:p>
    <w:p w:rsidR="0052098F" w:rsidRDefault="0052098F" w:rsidP="0052098F">
      <w:pPr>
        <w:pStyle w:val="Extracto"/>
      </w:pPr>
    </w:p>
    <w:p w:rsidR="0052098F" w:rsidRDefault="0052098F" w:rsidP="0052098F">
      <w:pPr>
        <w:pStyle w:val="Extracto"/>
      </w:pPr>
      <w:r>
        <w:t>10.</w:t>
      </w:r>
      <w:r>
        <w:tab/>
        <w:t>Doctrina sobre los requisitos que se exigen a quien invoca la interdicción de la arbitrariedad de la ley (SSTC 66/1985, 239/1992, 47/2005) [FJ 5].</w:t>
      </w:r>
    </w:p>
    <w:p w:rsidR="0052098F" w:rsidRDefault="0052098F" w:rsidP="0052098F">
      <w:pPr>
        <w:pStyle w:val="Extracto"/>
      </w:pPr>
    </w:p>
    <w:p w:rsidR="0052098F" w:rsidRDefault="0052098F" w:rsidP="0052098F">
      <w:pPr>
        <w:pStyle w:val="Extracto"/>
      </w:pPr>
      <w:r>
        <w:t>11.</w:t>
      </w:r>
      <w:r>
        <w:tab/>
        <w:t>Si bien toda inconstitucionalidad puede contemplarse de algún modo como un intento de alterar la Constitución, desde una perspectiva estrictamente jurídica, ésta sólo puede respetarse, pudiendo el legislador orgánico únicamente cumplirla, pero nunca alterarla (ATC 85/2006) [FJ 7].</w:t>
      </w:r>
    </w:p>
    <w:p w:rsidR="0052098F" w:rsidRDefault="0052098F" w:rsidP="0052098F">
      <w:pPr>
        <w:pStyle w:val="Extracto"/>
      </w:pPr>
    </w:p>
    <w:p w:rsidR="0052098F" w:rsidRDefault="0052098F" w:rsidP="0052098F">
      <w:pPr>
        <w:pStyle w:val="Extracto"/>
      </w:pPr>
      <w:r>
        <w:t>12.</w:t>
      </w:r>
      <w:r>
        <w:tab/>
        <w:t>La Constitución española contiene una regulación detallada de la elección de los miembros del Tribunal Constitucional, ello, sin embargo, no cierra las puertas de modo absoluto a que otras normas puedan desarrollar una regulación constitucional que guarda silencio sobre el procedimiento a seguir en dicha elección [FFJJ 7 a), 10].</w:t>
      </w:r>
    </w:p>
    <w:p w:rsidR="0052098F" w:rsidRDefault="0052098F" w:rsidP="0052098F">
      <w:pPr>
        <w:pStyle w:val="Extracto"/>
      </w:pPr>
    </w:p>
    <w:p w:rsidR="0052098F" w:rsidRDefault="0052098F" w:rsidP="0052098F">
      <w:pPr>
        <w:pStyle w:val="Extracto"/>
      </w:pPr>
      <w:r>
        <w:t>13.</w:t>
      </w:r>
      <w:r>
        <w:tab/>
        <w:t>La opción del constituyente basada en la participación de diversos órganos constitucionales en la elección de los Magistrados del Tribunal Constitucional, no tiene ninguna incidencia en el estatuto personal de estos últimos [FJ 7 b)].</w:t>
      </w:r>
    </w:p>
    <w:p w:rsidR="0052098F" w:rsidRDefault="0052098F" w:rsidP="0052098F">
      <w:pPr>
        <w:pStyle w:val="Extracto"/>
      </w:pPr>
    </w:p>
    <w:p w:rsidR="0052098F" w:rsidRDefault="0052098F" w:rsidP="0052098F">
      <w:pPr>
        <w:pStyle w:val="Extracto"/>
      </w:pPr>
      <w:r>
        <w:t>14.</w:t>
      </w:r>
      <w:r>
        <w:tab/>
        <w:t>Al Gobierno, al Consejo General del Poder Judicial, al Congreso y al Senado les corresponde la elección de los Magistrados, y no la mera formulación de propuestas, y al Monarca su nombramiento [FFJJ 7 b), 8].</w:t>
      </w:r>
    </w:p>
    <w:p w:rsidR="0052098F" w:rsidRDefault="0052098F" w:rsidP="0052098F">
      <w:pPr>
        <w:pStyle w:val="Extracto"/>
      </w:pPr>
    </w:p>
    <w:p w:rsidR="0052098F" w:rsidRDefault="0052098F" w:rsidP="0052098F">
      <w:pPr>
        <w:pStyle w:val="Extracto"/>
      </w:pPr>
      <w:r>
        <w:t>15.</w:t>
      </w:r>
      <w:r>
        <w:tab/>
        <w:t>La facultad de elegir Magistrados del Tribunal Constitucional tiene una dimensión de deber constitucional e institucional que se relaciona con la lealtad constitucional que obliga a todos (STC 209/1990) [FFJJ 7 b), 9, 14].</w:t>
      </w:r>
    </w:p>
    <w:p w:rsidR="0052098F" w:rsidRDefault="0052098F" w:rsidP="0052098F">
      <w:pPr>
        <w:pStyle w:val="Extracto"/>
      </w:pPr>
    </w:p>
    <w:p w:rsidR="0052098F" w:rsidRDefault="0052098F" w:rsidP="0052098F">
      <w:pPr>
        <w:pStyle w:val="Extracto"/>
      </w:pPr>
      <w:r>
        <w:t>16.</w:t>
      </w:r>
      <w:r>
        <w:tab/>
        <w:t>La elección de los miembros del Tribunal Constitucional no puede desvincularse de los requisitos de elegibilidad, capacidad e independencia que se derivan de los apartados segundo, cuarto y quinto del art. 159 CE [FFJJ 7 c), 9, 10].</w:t>
      </w:r>
    </w:p>
    <w:p w:rsidR="0052098F" w:rsidRDefault="0052098F" w:rsidP="0052098F">
      <w:pPr>
        <w:pStyle w:val="Extracto"/>
      </w:pPr>
    </w:p>
    <w:p w:rsidR="0052098F" w:rsidRDefault="0052098F" w:rsidP="0052098F">
      <w:pPr>
        <w:pStyle w:val="Extracto"/>
      </w:pPr>
      <w:r>
        <w:lastRenderedPageBreak/>
        <w:t>17.</w:t>
      </w:r>
      <w:r>
        <w:tab/>
        <w:t>La presentación de candidaturas por parte de los Parlamentos autonómicos y la elección de los Magistrados de entre dichos candidatos, configuran un deber, siendo los Reglamentos del Senado y de cada Parlamento autonómico los que deben concretar el régimen jurídico del mismo [FJ 9].</w:t>
      </w:r>
    </w:p>
    <w:p w:rsidR="0052098F" w:rsidRDefault="0052098F" w:rsidP="0052098F">
      <w:pPr>
        <w:pStyle w:val="Extracto"/>
      </w:pPr>
    </w:p>
    <w:p w:rsidR="0052098F" w:rsidRDefault="0052098F" w:rsidP="0052098F">
      <w:pPr>
        <w:pStyle w:val="Extracto"/>
      </w:pPr>
      <w:r>
        <w:t>18.</w:t>
      </w:r>
      <w:r>
        <w:tab/>
        <w:t>No puede considerarse que el precepto impugnado desapodere al Senado del ejercicio material de una de sus funciones constitucionales, ni tampoco que se produzca una renuncia, traslado o sustitución del Senado por parte de los Parlamentos autonómicos, o la sustracción de una facultad constitucional mínima [FJ 9].</w:t>
      </w:r>
    </w:p>
    <w:p w:rsidR="0052098F" w:rsidRDefault="0052098F" w:rsidP="0052098F">
      <w:pPr>
        <w:pStyle w:val="Extracto"/>
      </w:pPr>
    </w:p>
    <w:p w:rsidR="0052098F" w:rsidRDefault="0052098F" w:rsidP="0052098F">
      <w:pPr>
        <w:pStyle w:val="Extracto"/>
      </w:pPr>
      <w:r>
        <w:t>19.</w:t>
      </w:r>
      <w:r>
        <w:tab/>
        <w:t>Ningún precepto constitucional impide expresamente que las Asambleas de las Comunidades Autónomas puedan intervenir en la elección de Magistrados del Tribunal Constitucional presentando candidatos al Senado [FJ 12].</w:t>
      </w:r>
    </w:p>
    <w:p w:rsidR="0052098F" w:rsidRDefault="0052098F" w:rsidP="0052098F">
      <w:pPr>
        <w:pStyle w:val="Extracto"/>
      </w:pPr>
    </w:p>
    <w:p w:rsidR="0052098F" w:rsidRDefault="0052098F" w:rsidP="0052098F">
      <w:pPr>
        <w:pStyle w:val="Extracto"/>
      </w:pPr>
      <w:r>
        <w:t>20.</w:t>
      </w:r>
      <w:r>
        <w:tab/>
        <w:t>De la interpretación conjunta de los arts. 69 y 159.1 CE puede derivarse un principio de participación autonómica en la composición del Tribunal Constitucional, ya que la decisión constitucional de atribuir la elección de cuatro Magistrados a la Cámara de representación territorial denota una voluntad constitucional inequívoca de integrar la estructura territorial del Estado en la composición del órgano que tiene la facultad de conocer de los conflictos de competencia entre el Estado y las Comunidades Autónomas [FJ 13].</w:t>
      </w:r>
    </w:p>
    <w:p w:rsidR="0052098F" w:rsidRDefault="0052098F" w:rsidP="0052098F">
      <w:pPr>
        <w:pStyle w:val="Extracto"/>
      </w:pPr>
    </w:p>
    <w:p w:rsidR="0052098F" w:rsidRDefault="0052098F" w:rsidP="0052098F">
      <w:pPr>
        <w:pStyle w:val="Extracto"/>
      </w:pPr>
      <w:r>
        <w:t>21.</w:t>
      </w:r>
      <w:r>
        <w:tab/>
        <w:t>El tenor literal del art. 16.1 LOTC permite que el Reglamento del Senado pueda prever mecanismos que hagan posible que sea la propia Cámara la que proponga candidatos a Magistrados del Tribunal Constitucional en el supuesto excepcional de que el sistema de elección previsto con carácter general no culmine con esta elección, garantizando así que la Cámara Alta cumpla con su obligación constitucional [FJ 14].</w:t>
      </w:r>
    </w:p>
    <w:p w:rsidR="0052098F" w:rsidRDefault="0052098F" w:rsidP="0052098F">
      <w:pPr>
        <w:pStyle w:val="Extracto"/>
      </w:pPr>
    </w:p>
    <w:p w:rsidR="0052098F" w:rsidRDefault="0052098F" w:rsidP="0052098F">
      <w:pPr>
        <w:pStyle w:val="Extracto"/>
      </w:pPr>
      <w:r>
        <w:t>22.</w:t>
      </w:r>
      <w:r>
        <w:tab/>
        <w:t>Desde el punto de vista del sistema de fuentes, una norma que remite a los Reglamentos parlamentarios la concreción de un principio participativo no puede considerarse contraria al art. 72.1 CE si deja abierta diversas posibilidades para realizar dicho desarrollo [FJ 15].</w:t>
      </w:r>
    </w:p>
    <w:p w:rsidR="0052098F" w:rsidRDefault="0052098F" w:rsidP="0052098F">
      <w:pPr>
        <w:pStyle w:val="Extracto"/>
      </w:pPr>
    </w:p>
    <w:p w:rsidR="0052098F" w:rsidRDefault="0052098F" w:rsidP="0052098F">
      <w:pPr>
        <w:pStyle w:val="Extracto"/>
      </w:pPr>
      <w:r>
        <w:t>23.</w:t>
      </w:r>
      <w:r>
        <w:tab/>
        <w:t>No sería posible que el Reglamento del Senado introdujese unilateralmente la obligación de las Asambleas autonómicas de presentar candidatos a Magistrado del Tribunal Constitucional, porque excede claramente la vida interna del Senado [FJ 15].</w:t>
      </w:r>
    </w:p>
    <w:p w:rsidR="0052098F" w:rsidRDefault="0052098F" w:rsidP="0052098F">
      <w:pPr>
        <w:pStyle w:val="Extracto"/>
      </w:pPr>
    </w:p>
    <w:p w:rsidR="0052098F" w:rsidRDefault="0052098F" w:rsidP="0052098F">
      <w:pPr>
        <w:pStyle w:val="Extracto"/>
      </w:pPr>
      <w:r>
        <w:t>24.</w:t>
      </w:r>
      <w:r>
        <w:tab/>
        <w:t>Doctrina constitucional sobre la autonomía parlamentaria (SSTC 234/2000, 141/2007) [FJ 15].</w:t>
      </w:r>
    </w:p>
    <w:p w:rsidR="0052098F" w:rsidRDefault="0052098F" w:rsidP="0052098F">
      <w:pPr>
        <w:pStyle w:val="Extracto"/>
      </w:pPr>
    </w:p>
    <w:p w:rsidR="0052098F" w:rsidRDefault="0052098F" w:rsidP="0052098F">
      <w:pPr>
        <w:pStyle w:val="Extracto"/>
      </w:pPr>
      <w:r>
        <w:t>25.</w:t>
      </w:r>
      <w:r>
        <w:tab/>
        <w:t>No cabe trasladar a la Ley Orgánica del Tribunal Constitucional la doctrina sobre el carácter estricto de las reservas de leyes orgánicas, ya que únicamente la LOTC y no cualquier otra ley puede desarrollar la institución del Tribunal Constitucional en todos los ámbitos en que quepa tal desarrollo [FJ 16].</w:t>
      </w:r>
    </w:p>
    <w:p w:rsidR="0052098F" w:rsidRDefault="0052098F" w:rsidP="0052098F">
      <w:pPr>
        <w:pStyle w:val="Extracto"/>
      </w:pPr>
    </w:p>
    <w:p w:rsidR="0052098F" w:rsidRDefault="0052098F" w:rsidP="0052098F">
      <w:pPr>
        <w:pStyle w:val="Extracto"/>
      </w:pPr>
      <w:r>
        <w:lastRenderedPageBreak/>
        <w:t>26.</w:t>
      </w:r>
      <w:r>
        <w:tab/>
        <w:t>La participación de las Comunidades Autónomas en la elección de los Magistrados que corresponde al Senado, ni vulnera el principio de representación nacional que se deriva del art. 66.1 CE ni produce una discriminación respecto del Congreso de los Diputados, Cámara que carece del carácter de representación territorial [FJ 17].</w:t>
      </w:r>
    </w:p>
    <w:p w:rsidR="0052098F" w:rsidRDefault="0052098F" w:rsidP="0052098F">
      <w:pPr>
        <w:pStyle w:val="Extracto"/>
      </w:pPr>
    </w:p>
    <w:p w:rsidR="0052098F" w:rsidRDefault="0052098F" w:rsidP="0052098F">
      <w:pPr>
        <w:pStyle w:val="Extracto"/>
      </w:pPr>
      <w:r>
        <w:t>27.</w:t>
      </w:r>
      <w:r>
        <w:tab/>
        <w:t>La participación de las Comunidades Autónomas en la elección de los Magistrados que corresponde al Senado, no altera el sistema de distribución de competencias entre el Estado y las Comunidades Autónomas, ya que no puede hablarse de una sustitución del Senado por parte de los Parlamentos autonómicos, ni de una vulneración del art. 81.1 CE, ni de una ampliación de las competencias de sus Asambleas Legislativas previstas constitucionalmente [FJ 17].</w:t>
      </w:r>
    </w:p>
    <w:p w:rsidR="0052098F" w:rsidRDefault="0052098F" w:rsidP="0052098F">
      <w:pPr>
        <w:pStyle w:val="Extracto"/>
      </w:pPr>
    </w:p>
    <w:p w:rsidR="0052098F" w:rsidRDefault="0052098F" w:rsidP="0052098F">
      <w:pPr>
        <w:pStyle w:val="Extracto"/>
      </w:pPr>
      <w:r>
        <w:t>28.</w:t>
      </w:r>
      <w:r>
        <w:tab/>
        <w:t>La regulación impugnada no ha producido una vulneración del estatuto constitucional de los Senadores porque dicho estatuto admite que se regule y limite el ejercicio de sus funciones parlamentarias, ni vulnera la prohibición constitucional de mandato imperativo (67.2 CE) al atribuir a los Senadores la facultad de elegir a los Magistrados del Tribunal Constitucional al final de un procedimiento en el que se ha previsto la participación autonómica [FJ 17].</w:t>
      </w:r>
    </w:p>
    <w:p w:rsidR="0052098F" w:rsidRDefault="0052098F" w:rsidP="0052098F">
      <w:pPr>
        <w:pStyle w:val="Extracto"/>
      </w:pPr>
    </w:p>
    <w:p w:rsidR="0052098F" w:rsidRDefault="0052098F" w:rsidP="0052098F">
      <w:pPr>
        <w:pStyle w:val="Extracto"/>
      </w:pPr>
      <w:r>
        <w:t>29.</w:t>
      </w:r>
      <w:r>
        <w:tab/>
        <w:t>La regulación constitucional de la Presidencia no es completa ni impide la intervención de la Ley Orgánica del Tribunal Constitucional para desarrollarla y concretarla [FJ 18].</w:t>
      </w:r>
    </w:p>
    <w:p w:rsidR="0052098F" w:rsidRDefault="0052098F" w:rsidP="0052098F">
      <w:pPr>
        <w:pStyle w:val="Extracto"/>
      </w:pPr>
    </w:p>
    <w:p w:rsidR="0052098F" w:rsidRDefault="0052098F" w:rsidP="0052098F">
      <w:pPr>
        <w:pStyle w:val="Extracto"/>
      </w:pPr>
      <w:r>
        <w:t>30.</w:t>
      </w:r>
      <w:r>
        <w:tab/>
        <w:t>El propósito de la reforma del art. 16.3 LOTC radica en hacer coincidir la elección de la Presidencia con la renovación parcial del Tribunal, extremo éste que obedece a la propia lógica constitucional, puesto que tanto el art. 160 CE como el 159.3 CE prevén el mismo plazo temporal, de tres años, para ambas figuras, no pudiendo considerarse arbitraria ni vulneradora de ningún precepto constitucional [FFJJ 19, 20].</w:t>
      </w:r>
    </w:p>
    <w:p w:rsidR="0052098F" w:rsidRDefault="0052098F" w:rsidP="0052098F">
      <w:pPr>
        <w:pStyle w:val="Extracto"/>
      </w:pPr>
    </w:p>
    <w:p w:rsidR="0052098F" w:rsidRDefault="0052098F" w:rsidP="0052098F">
      <w:pPr>
        <w:pStyle w:val="Extracto"/>
      </w:pPr>
      <w:r>
        <w:t>31.</w:t>
      </w:r>
      <w:r>
        <w:tab/>
        <w:t>El ejercicio de las funciones representativas y directivas de la Presidencia y el funcionamiento del propio Tribunal puede verse favorecido por el hecho que la Presidencia esté desempeñada en todo momento por un miembro elegido con el concurso de todos los Magistrados que lo integran y, mientras la renovación no se produzca, por quien ha venido ejerciendo las funciones de Presidente [FJ 20].</w:t>
      </w:r>
    </w:p>
    <w:p w:rsidR="0052098F" w:rsidRDefault="0052098F" w:rsidP="0052098F">
      <w:pPr>
        <w:pStyle w:val="Extracto"/>
      </w:pPr>
    </w:p>
    <w:p w:rsidR="0052098F" w:rsidRDefault="0052098F" w:rsidP="0052098F">
      <w:pPr>
        <w:pStyle w:val="Extracto"/>
      </w:pPr>
      <w:r>
        <w:t>32.</w:t>
      </w:r>
      <w:r>
        <w:tab/>
        <w:t>La regulación impugnada no vulnera el art. 160 CE, puesto que establece una prórroga del mandato presidencial vigente y no un nuevo nombramiento, que supondría el desapoderamiento del Pleno, siendo el criterio adoptado el mismo que el empleado por el Tribunal en ausencia de una previsión legal de prórroga [FJ 21].</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El Pleno del Tribunal Constitucional, presidido en funciones por don Vicente Conde Martín de Hijas e integrado por los Magistrados don Javier Delgado Barrio, doña Elisa Pérez Vera, don Eugeni Gay Montalvo, don Ramón Rodríguez Arribas, don Pascual Sala Sánchez, don Manuel Aragón Reyes y don Pablo Pérez Tremps,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inconstitucionalidad núm. 6729-2007, interpuesto por don Ignacio Astarloa Huarte-Mendicoa, Diputado del Grupo Popular del Congreso de los Diputados y comisionado por más de cincuenta Diputados de dicho Grupo para actuar en su representación ante este Tribunal. Han comparecido y formulado alegaciones el Abogado del Estado en representación del Gobierno. Ha sido Ponente el Magistrado don Pablo Pérez Tremps, quien expresa el parecer del Tribunal.</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Mediante escrito registrado en este Tribunal el 27 de julio de 2007 don Ignacio Astarloa Huarte-Mendicoa, en su condición de Comisionado de otros sesenta y siete Diputados del Grupo Parlamentario Popular del Congreso, interpuso recurso de inconstitucionalidad contra el artículo único, apartados seis y siete, de la Ley Orgánica 6/2007, de 24 de mayo, por la que se modifica la Ley Orgánica 2/1979, de 3 de octubre, del Tribunal Constitucional. La impugnación de dichos apartados, que dan una nueva redacción a los arts. 16.1 y 16.3 LOTC, respectivamente, se basa en las siguientes consideraciones: </w:t>
      </w:r>
    </w:p>
    <w:p w:rsidR="0052098F" w:rsidRDefault="0052098F" w:rsidP="0052098F">
      <w:pPr>
        <w:pStyle w:val="TextoNormal"/>
      </w:pPr>
      <w:r>
        <w:t xml:space="preserve">a) En el apartado de hechos y tras referirse a los objetivos perseguidos por la reforma legal, los recurrentes circunscriben sus quejas al párrafo segundo del art. 16.1 LOTC, que es el introducido por la Ley recurrida, y a la alteración de la duración del cargo de Presidente(a) del Tribunal Constitucional que se deriva de la nueva redacción del art. 16.3 LOTC. En su opinión, ambas modificaciones, ajenas a la finalidad original del proyecto, vulneran los arts. 159.1 y 160 CE, respectivamente, y, como consecuencia de ello, afectan a otros preceptos constitucionales que se detallan en los fundamentos jurídicos de la demanda. </w:t>
      </w:r>
    </w:p>
    <w:p w:rsidR="0052098F" w:rsidRDefault="0052098F" w:rsidP="0052098F">
      <w:pPr>
        <w:pStyle w:val="TextoNormal"/>
      </w:pPr>
      <w:r>
        <w:t xml:space="preserve">b) La impugnación del párrafo añadido al art. 16.1 LOTC, en virtud del cual “los Magistrados propuestos por el Senado serán elegidos entre los candidatos presentados por las Asambleas Legislativas de las Comunidades Autónomas en los términos que determine el Reglamento de la Cámara”, se basa en que supone un desapoderamiento de las competencias del Senado, una desnaturalización de sus atribuciones constitucionales y una alteración sustancial de esta institución, circunstancias todas ellas que se traducen en diversas tachas de inconstitucionalidad. </w:t>
      </w:r>
    </w:p>
    <w:p w:rsidR="0052098F" w:rsidRDefault="0052098F" w:rsidP="0052098F">
      <w:pPr>
        <w:pStyle w:val="TextoNormal"/>
      </w:pPr>
      <w:r>
        <w:t xml:space="preserve">En primer lugar, y en el ámbito de las fuentes del Derecho, los recurrentes aducen que la técnica empleada —la reforma de la LOTC— no puede ser utilizada para imponer a un órgano constitucional como el Senado el modo de ejercer una facultad propia reconocida en el art. 159.1 CE. En su caso, dicha reforma debería haberse introducido a través del Reglamento de la Cámara Alta. De ahí que el cauce normativo empleado se considere extravagante e invasivo de la reserva constitucionalmente asignada al Reglamento parlamentario (art. 72 CE), tal y como, por otra parte, pondría de manifiesto la necesidad de adaptar el Reglamento del Senado a lo dispuesto en el nuevo art. 16.1 LOTC. </w:t>
      </w:r>
    </w:p>
    <w:p w:rsidR="0052098F" w:rsidRDefault="0052098F" w:rsidP="0052098F">
      <w:pPr>
        <w:pStyle w:val="TextoNormal"/>
      </w:pPr>
      <w:r>
        <w:t xml:space="preserve">En segundo lugar, y todavía en el ámbito de las fuentes del Derecho, los recurrentes también consideran que la reforma excede la reserva específica de ley orgánica contenida </w:t>
      </w:r>
      <w:r>
        <w:lastRenderedPageBreak/>
        <w:t xml:space="preserve">en el art. 165 CE. Aducen para ello que reglamenta el comportamiento al que debe ajustarse el Senado, lo cual no puede considerarse integrado en la regulación ni en el funcionamiento del Tribunal Constitucional (puesto que se trata de la elección previa de los Magistrados), ni en el estatuto de sus miembros (ya que éste arranca a partir de su propuesta y nombramiento, y no antes), ni en el Derecho procesal constitucional (puesto que se trata de una cuestión orgánica). Los recurrentes califican la técnica seguida de “desastrosa”, puesto que permitiría, por ejemplo, que la Ley Orgánica del Poder Judicial ordenase al Congreso de los Diputados no sólo los requisitos que deben cumplir los vocales del Consejo General del Poder Judicial que derivan de la Constitución, sino que su elección se realizase a partir de las propuestas de cualquier órgano autonómico o corporación profesional. Y también posibilitaría que la propia LOTC obligase al Gobierno a que sus propuestas de Magistrados fuesen determinadas por las mayorías parlamentarias. En todo caso, la jurisprudencia constitucional relativa a la reserva de ley orgánica (SSTC 5/1981, 76/1983, 169/1987 o 124/2003) impide, en opinión de los recurrentes, que la ley orgánica que desarrolla una determinada institución pueda determinar parcelas fundamentales del núcleo de decisión y actuación de otra institución, y mucho menos de una Cámara representativa como el Senado. </w:t>
      </w:r>
    </w:p>
    <w:p w:rsidR="0052098F" w:rsidRDefault="0052098F" w:rsidP="0052098F">
      <w:pPr>
        <w:pStyle w:val="TextoNormal"/>
      </w:pPr>
      <w:r>
        <w:t xml:space="preserve">A mayor abundamiento, también se denuncia la utilización de una Ley Orgánica como la del Tribunal Constitucional para otorgar a las Asambleas autonómicas competencias que la Constitución no ha previsto. La insuficiencia de dicha Ley para modificar la estructura territorial derivada de la Constitución es para los recurrentes evidente, puesto que una ley orgánica del art. 81 CE no puede alterar la distribución de competencias ni desapoderar un órgano constitucional del Estado depositario de la representación de la Nación para sustituirlo por ámbitos parciales de representación de cada Asamblea autonómica. </w:t>
      </w:r>
    </w:p>
    <w:p w:rsidR="0052098F" w:rsidRDefault="0052098F" w:rsidP="0052098F">
      <w:pPr>
        <w:pStyle w:val="TextoNormal"/>
      </w:pPr>
      <w:r>
        <w:t xml:space="preserve">En cuanto al fondo de la impugnación, se insiste en que la reforma del art. 16.1 LOTC vulnera frontalmente lo dispuesto en el art. 159.1 CE, precepto que atribuye la designación de algunos Magistrados del Tribunal Constitucional directa, exclusiva y libremente al Senado, sin que esta facultad pueda ser limitada o condicionada por las propuestas de los Parlamentos autonómicos. Los recurrentes señalan, a este respecto, que la reforma impugnada sustituye en el fondo una elección de primer orden por una de segundo orden, que opera a partir de las propuestas de las Asambleas autonómicas. En su opinión, no es constitucionalmente posible sustituir un procedimiento en el que un órgano constitucional debe adoptar una decisión de alcance nacional por otro en el que se limita a escoger entre candidatos propuestos por los Parlamentos autonómicos en clave territorial. De confirmase la constitucionalidad de la reforma, este sistema podría extenderse a la designación de otros Magistrados del Tribunal Constitucional, de los vocales del Consejo General del Poder Judicial o a la designación de Ministros o de los propios miembros de las Cámaras. </w:t>
      </w:r>
    </w:p>
    <w:p w:rsidR="0052098F" w:rsidRDefault="0052098F" w:rsidP="0052098F">
      <w:pPr>
        <w:pStyle w:val="TextoNormal"/>
      </w:pPr>
      <w:r>
        <w:t xml:space="preserve">Los recurrentes también rechazan la posibilidad de salvar la constitucionalidad del precepto a partir de una interpretación literal del art. 159 CE que admita que el Senado puede proponer una serie de Magistrados tras una elección limitada por los deseos de los Parlamentos autonómicos, órganos también mencionados en el texto constitucional. Una interpretación de este tipo se califica de “despropósito” que reconduciría la actuación del Senado a poco más que una formalidad. También se rechaza que la Constitución o la interpretación constitucional puedan avalar un condicionamiento legislativo de una facultad constitucional clara y contundente como la contenida en el art. 159.1 CE. En opinión de los recurrentes, no estaríamos ante un conflicto constitucional entre el Senado y otro órgano constitucional en torno al ejercicio de sus atribuciones como el resuelto por la STC 45/1986, de 17 de abril, ni ante una modulación permisible de la autonomía la propia Cámara como la reconocida </w:t>
      </w:r>
      <w:r>
        <w:lastRenderedPageBreak/>
        <w:t xml:space="preserve">en la STC 234/2000, de 3 de octubre, que podrían justificar la reforma. Tampoco la definición del Senado como Cámara de representación territorial resulta suficiente, puesto que no autoriza al legislador a desnaturalizar las atribuciones que le corresponden como parte constitutiva de las Cortes Generales representantes del pueblo español (art. 66 CE). Con la misma lógica cabría aceptar que una ley restringiese la función legislativa de la Cámara Alta a las enmiendas propuestas por los Parlamentos autonómicos, o la función presupuestaria a las partidas propuestas desde dicha instancia territorial. </w:t>
      </w:r>
    </w:p>
    <w:p w:rsidR="0052098F" w:rsidRDefault="0052098F" w:rsidP="0052098F">
      <w:pPr>
        <w:pStyle w:val="TextoNormal"/>
      </w:pPr>
      <w:r>
        <w:t xml:space="preserve">En opinión de los recurrentes, tampoco es irrelevante que el desapoderamiento de un órgano constitucional del Estado como el Senado se produzca a favor de los Parlamentos autonómicos. De hecho, la norma impugnada supone condicionar el ejercicio de atribuciones estatales a decisiones de órganos autonómicos. Y al igual que el legislador estatal no puede condicionar las designaciones que corresponde realizar a las instituciones autonómicas conforme a las previsiones estatutarias, no es posible que una norma como la impugnada venga a modificar el reparto de ámbitos entre lo estatal y lo autonómico previsto por la Constitución. En el fondo, se trata de una sustitución de los poderes del Estado por las instituciones autonómicas y una autodisolución de los órganos de representación nacional. Ello carece de fundamento constitucional alguno al romper la configuración del Senado como Cámara integrada en las Cortes Generales y trasladar el contenido del acto decisor a otros órganos, las Asambleas autonómicas, cuya mención constitucional en los arts. 147.2 c) y 152.1 CE en ningún caso incluye la capacidad de elevar al Senado candidaturas de miembros del Tribunal Constitucional. Y mucho menos podría justificarse que, una vez promovidas, el Senado se vea obligado a aceptarlas sin barajar otras propuestas de sus miembros. </w:t>
      </w:r>
    </w:p>
    <w:p w:rsidR="0052098F" w:rsidRDefault="0052098F" w:rsidP="0052098F">
      <w:pPr>
        <w:pStyle w:val="TextoNormal"/>
      </w:pPr>
      <w:r>
        <w:t xml:space="preserve">De todo ello se derivaría la infracción no sólo del art. 159.1 CE, sino también de todo el título III CE y, en especial, de los arts. 66, 67, 69, 70, 71, 72, 73, 74, 75, 76, 77, 78, 79, 80, 82, 87, 89, 90 y 91 CE, preceptos todos ellos que delimitan la posición constitucional del Senado. El escrito de interposición desarrolla la pretendida vulneración de algunos de estos preceptos. Así, en el caso del art. 66.2 CE se señala que el precepto impugnado desapodera al Senado de una de sus facultades constitucionales como la designación de Magistrados del Tribunal Constitucional. Por lo que respecta al art. 66.1 CE, se aduce que los Senadores ven disminuida su capacidad de representar al pueblo español en su conjunto, al tener que partir necesariamente de los intereses territoriales contenidos en las propuestas autonómicas. A ello se añade que un desapoderamiento de tal envergadura no puede justificarse a partir del carácter imperfecto del bicameralismo español, resultando también discriminatorio respecto del Congreso de los Diputados. </w:t>
      </w:r>
    </w:p>
    <w:p w:rsidR="0052098F" w:rsidRDefault="0052098F" w:rsidP="0052098F">
      <w:pPr>
        <w:pStyle w:val="TextoNormal"/>
      </w:pPr>
      <w:r>
        <w:t xml:space="preserve">Asimismo, se considera infringida la prohibición de mandato imperativo contenida en el art. 67.2 CE, al obligar a los Senadores a obedecer las propuestas llegadas de los Parlamentos autonómicos sin poder decidir con libertad los candidatos que cumplan con las exigencias constitucionales. A su vez, el hecho de no dejar ningún margen de elección a los Senadores también supone para los recurrentes una afectación de su estatuto constitucional y, en concreto, del ejercicio de su capacidad de propuesta de candidatos a Magistrado del Tribunal Constitucional vulneradora del art. 23.2 CE y, por extensión, del derecho de participación política de los ciudadanos representados (art. 23.1 CE). </w:t>
      </w:r>
    </w:p>
    <w:p w:rsidR="0052098F" w:rsidRDefault="0052098F" w:rsidP="0052098F">
      <w:pPr>
        <w:pStyle w:val="TextoNormal"/>
      </w:pPr>
      <w:r>
        <w:t xml:space="preserve">c) Respecto al nuevo art. 16.3 LOTC, introducido por el apartado siete de la Ley Orgánica 6/2007, los recurrentes entienden que la prórroga del mandato de la Presidencia del Tribunal Constitucional prevista en dicho precepto vulnera el art. 160 CE, el cual prevé expresa y unívocamente que la duración del cargo de Presidente es de tres años. En opinión de los recurrentes, de este precepto constitucional se derivan cuatro aspectos de la Presidencia del Tribunal que no son susceptibles de desarrollo legal: que el nombramiento corresponde al </w:t>
      </w:r>
      <w:r>
        <w:lastRenderedPageBreak/>
        <w:t xml:space="preserve">Rey, que la propuesta de nombramiento compete al Pleno, que el Presidente debe ser miembro del Tribunal, y que la duración de su mandato es de tres años. Otros extremos de la Presidencia se consideran susceptibles de desarrollo y complemento. Así, se esgrime que la LOTC podría admitir una renovación de la Presidencia no automática, sino previa elección entre los miembros del Tribunal. En el caso de la Vicepresidencia se alude a la prórroga automática del cargo, posibilidad que, sin embargo, se califica de “ilógica”. Pero lo que no resulta aceptable es introducir una prórroga automática de la Presidencia cuando el art. 160 CE delimita unívocamente su duración y cuando la elección del Presidente es una competencia del Pleno. La falta de coincidencia entre los períodos presidenciales y la renovación parcial del Tribunal tiene para los recurrentes una respuesta constitucional clara: son los miembros que compongan el Tribunal en cada momento quienes deben elegir a un Presidente cada tres años, sin que el legislador pueda sustraer al Pleno dicha competencia, como tampoco podría fraccionar los períodos de mandato o restringir el número de elegibles. El argumento de la falta de representatividad de un Presidente elegido por Magistrados que ya no forman parte del Tribunal al haberse renovado parcialmente su composición es rechazado por los recurrentes señalando que sólo ocurriría si el elegido no está entre los que han de ser renovados inmediatamente. Pero sobre todo se rechaza por tratarse de un argumento que identifica al Tribunal Constitucional con una institución de naturaleza político-representativa, algo que pretende impedir la propia renovación parcial del Tribunal y que no se corresponde con las funciones representativas y de coordinación interna de la Presidencia. </w:t>
      </w:r>
    </w:p>
    <w:p w:rsidR="0052098F" w:rsidRDefault="0052098F" w:rsidP="0052098F">
      <w:pPr>
        <w:pStyle w:val="TextoNormal"/>
      </w:pPr>
      <w:r>
        <w:t xml:space="preserve">d) Por último, los diputados recurrentes también señalan que las dos disposiciones cuestionadas alteran sustancialmente el modelo organizativo del Tribunal Constitucional derivado del título IX CE, sin que el legislador haya justificado lo más mínimo dichos cambios en la exposición de motivos de la Ley Orgánica 6/2007. A partir de esta nota común a los dos preceptos impugnados, se concluye que la actuación del legislador es puramente arbitraria, carente de cualquier justificación jurídica, y derivada de criterios de oportunismo político que ni admiten explicación ni tienen anclaje constitucional. En este sentido, también se señala que el legislador ha ocultado los motivos que le han llevado a aprobar los preceptos impugnados. </w:t>
      </w:r>
    </w:p>
    <w:p w:rsidR="0052098F" w:rsidRDefault="0052098F" w:rsidP="0052098F">
      <w:pPr>
        <w:pStyle w:val="TextoNormal"/>
      </w:pPr>
      <w:r>
        <w:t>e) El escrito de los recurrentes se cierra suplicando que en su día se dicte sentencia estimando íntegramente el recurso. Mediante otrosí se solicita que se acuerde la tramitación prioritaria y urgente del mismo en atención a las circunstancias extraordinarias del caso, puesto que los preceptos impugnados forman parte de la norma estructural de organización y funcionamiento del propio Tribunal, y puesto que el segundo motivo del recurso afecta a la prolongación del mandato de la actual Presidencia.</w:t>
      </w:r>
    </w:p>
    <w:p w:rsidR="0052098F" w:rsidRDefault="0052098F" w:rsidP="0052098F">
      <w:pPr>
        <w:pStyle w:val="TextoNormal"/>
      </w:pPr>
    </w:p>
    <w:p w:rsidR="0052098F" w:rsidRDefault="0052098F" w:rsidP="0052098F">
      <w:pPr>
        <w:pStyle w:val="TextoNormal"/>
      </w:pPr>
      <w:r w:rsidRPr="0052098F">
        <w:rPr>
          <w:rStyle w:val="NumeroAFNegritaCaracter"/>
        </w:rPr>
        <w:t>2</w:t>
      </w:r>
      <w:r>
        <w:t>. Por diligencia de ordenación de 6 de septiembre de 2007 la Secretaria de Justicia del Pleno hizo constar la recepción de sendos escritos de la Excma. Sra. Presidenta y del Excmo. Sr. Vicepresidente manifestando su voluntad de abstenerse del conocimiento del presente recurso con base en el art. 219.10 LOPJ por la posible apariencia de pérdida de imparcialidad a la vista que uno de los preceptos recurridos se refiere al mandato del Presidente y del Vicepresidente. Por Auto 387/2007, de 16 de octubre, el Pleno del Tribunal, por mayoría, acordó estimar justificadas ambas abstenciones</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Por providencia de 16 de octubre de 2007, el Pleno del Tribunal, a propuesta de la Sección Segunda, acordó admitir a trámite el recurso y, de conformidad con lo dispuesto en el art. 34 LOTC, dar traslado de la demanda y la documentación presentada al Congreso de </w:t>
      </w:r>
      <w:r>
        <w:lastRenderedPageBreak/>
        <w:t>los Diputados, al Senado y al Gobierno a fin de poder personarse en el proceso y formular las alegaciones que consideren pertinentes en el plazo de quince días.</w:t>
      </w:r>
    </w:p>
    <w:p w:rsidR="0052098F" w:rsidRDefault="0052098F" w:rsidP="0052098F">
      <w:pPr>
        <w:pStyle w:val="TextoNormal"/>
      </w:pPr>
    </w:p>
    <w:p w:rsidR="0052098F" w:rsidRDefault="0052098F" w:rsidP="0052098F">
      <w:pPr>
        <w:pStyle w:val="TextoNormal"/>
      </w:pPr>
      <w:r w:rsidRPr="0052098F">
        <w:rPr>
          <w:rStyle w:val="NumeroAFNegritaCaracter"/>
        </w:rPr>
        <w:t>4</w:t>
      </w:r>
      <w:r>
        <w:t>. El día 19 de octubre de 2007 fue registrado en este Tribunal escrito del Abogado General del Estado formulando, en nombre del Gobierno de la Nación, la recusación de los Magistrados don Roberto García-Calvo y Montiel y don Jorge Rodríguez-Zapata Pérez por concurrir las causas de recusación previstas en los arts. 219.10, 219.13 y 219.16 LOPJ. Por providencia de 3 de diciembre de 2007 el Pleno acordó unir este escrito a las actuaciones, formar la correspondiente pieza separada de recusación, y nombrar Instructor del incidente a la Magistrada doña Elisa Pérez Vera y Ponente al Magistrado don Manuel Aragón Reyes. De conformidad con el art. 225.4 LOPJ también se acordó suspender el curso del procedimiento hasta la resolución del incidente. Tras los trámites procesales oportunos, el Pleno del Tribunal acordó mediante ATC 81/2008, de 12 de marzo, estimar las citadas recusaciones. Por providencia de 13 de marzo de 2008 el Pleno acordó unir a las actuaciones testimonio del citado Auto y levantar la suspensión del procedimiento acordada por providencia de 3 de diciembre de 2007.</w:t>
      </w:r>
    </w:p>
    <w:p w:rsidR="0052098F" w:rsidRDefault="0052098F" w:rsidP="0052098F">
      <w:pPr>
        <w:pStyle w:val="TextoNormal"/>
      </w:pPr>
    </w:p>
    <w:p w:rsidR="0052098F" w:rsidRDefault="0052098F" w:rsidP="0052098F">
      <w:pPr>
        <w:pStyle w:val="TextoNormal"/>
      </w:pPr>
      <w:r w:rsidRPr="0052098F">
        <w:rPr>
          <w:rStyle w:val="NumeroAFNegritaCaracter"/>
        </w:rPr>
        <w:t>5</w:t>
      </w:r>
      <w:r>
        <w:t>. El día 24 de octubre de 2007 fue registrado en este Tribunal escrito del Presidente del Congreso de los Diputados comunicando el acuerdo de la Mesa de dar por personada a la Cámara en el procedimiento y por ofrecida su colaboración a los efectos del art. 88.1 LOTC.</w:t>
      </w:r>
    </w:p>
    <w:p w:rsidR="0052098F" w:rsidRDefault="0052098F" w:rsidP="0052098F">
      <w:pPr>
        <w:pStyle w:val="TextoNormal"/>
      </w:pPr>
    </w:p>
    <w:p w:rsidR="0052098F" w:rsidRDefault="0052098F" w:rsidP="0052098F">
      <w:pPr>
        <w:pStyle w:val="TextoNormal"/>
      </w:pPr>
      <w:r w:rsidRPr="0052098F">
        <w:rPr>
          <w:rStyle w:val="NumeroAFNegritaCaracter"/>
        </w:rPr>
        <w:t>6</w:t>
      </w:r>
      <w:r>
        <w:t>. El día 24 de octubre de 2007 fue registrado el escrito del Presidente del Senado comunicando el acuerdo de la Mesa de dar por personada a la Cámara en el procedimiento y por ofrecida su colaboración a los efectos del art. 88.1 LOTC.</w:t>
      </w:r>
    </w:p>
    <w:p w:rsidR="0052098F" w:rsidRDefault="0052098F" w:rsidP="0052098F">
      <w:pPr>
        <w:pStyle w:val="TextoNormal"/>
      </w:pPr>
    </w:p>
    <w:p w:rsidR="0052098F" w:rsidRDefault="0052098F" w:rsidP="0052098F">
      <w:pPr>
        <w:pStyle w:val="TextoNormal"/>
      </w:pPr>
      <w:r w:rsidRPr="0052098F">
        <w:rPr>
          <w:rStyle w:val="NumeroAFNegritaCaracter"/>
        </w:rPr>
        <w:t>7</w:t>
      </w:r>
      <w:r>
        <w:t>. El día 26 de octubre de 2007 los recurrentes presentaron escrito de recusación de los Magistrados don Pascual Sala Sánchez, don Pablo Pérez Tremps y don Manuel Aragón Reyes por concurrir las causas de recusación contempladas en los arts. 219.10 y 219.13 LOPJ, solicitando por otrosí su acumulación con la recusación instada por el Abogado del Estado. Por diligencia de ordenación de 31 de octubre la Secretaria del Pleno hizo constar la entrega, por parte del Presidente en funciones, del escrito de 29 de octubre de 2007 de los Magistrados don Pablo Pérez Tremps, don Manuel Aragón Reyes, don Pascual Sala Sánchez, don Ramón Rodríguez Arribas, don Guillermo Jiménez Sánchez y doña María Emilia Casas Baamonde, en relación con la información recogida en el diario “El Mundo” del día 25 de octubre, así como la manifestación in voce del Presidente en funciones para unirlo a las actuaciones principales y a la pieza de consulta del mismo. Por providencia de 15 de noviembre el Pleno acordó, por mayoría, unir a las actuaciones el escrito de recusación de los recurrentes, así como dar vista a las partes de la pieza de consulta abierta por Acuerdo de 31 de octubre. También se acordó unir a las actuaciones el escrito de 29 de octubre de los mencionados Magistrados, así como las comunicaciones sobre el mismo obrantes en la pieza de consulta, dando traslado de todo ello a las partes para, de acuerdo con lo dispuesto en el art. 84 LOTC, manifestar lo que consideren oportuno. Por escrito registrado el 23 de noviembre los recurrentes reiteraron su solicitud de acumulación de las dos recusaciones presentadas. La recusación pretendida por los recurrentes fue inadmitida a trámite por el Auto 443/2007, de 27 de noviembre.</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8</w:t>
      </w:r>
      <w:r>
        <w:t>. Por escrito registrado en este Tribunal el 2 de noviembre de 2007 el Abogado del Estado solicitó una prórroga de ocho días en el plazo para formular alegaciones. Por providencia de 5 de noviembre de 2007 el Pleno lo tuvo por personado y le concedió dicha prórroga.</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22 de noviembre de 2007 fue registrado en este Tribunal el escrito de alegaciones presentado por el Abogado del Estado en representación del Gobierno. Dichas alegaciones, que concluyen con una petición de desestimación total del recurso, pueden resumirse del siguiente modo: </w:t>
      </w:r>
    </w:p>
    <w:p w:rsidR="0052098F" w:rsidRDefault="0052098F" w:rsidP="0052098F">
      <w:pPr>
        <w:pStyle w:val="TextoNormal"/>
      </w:pPr>
      <w:r>
        <w:t xml:space="preserve">a) En primer lugar, se realiza una consideración previa sobre el plazo de presentación de alegaciones. Señala el Abogado del Estado que el planteamiento de diversas recusaciones en el proceso no ha suspendido el plazo de alegaciones previsto en el art. 34.2 LOTC, puesto que la interpretación más razonable del art. 225.4 LOPJ es que dicha suspensión no se produce por la simple presentación de un escrito recusatorio, sino con su admisión a trámite. En defensa de esta interpretación se aduce que la suspensión del proceso tiene por finalidad evitar que el recusado intervenga en ningún acto procesal mientras no se decida el punto relativo a su imparcialidad. Pero en caso de ser estimada, la recusación no priva de eficacia a las resoluciones dictadas antes de proponerse la misma en las que haya intervenido el Magistrado recusado. Habiéndose dictado, con la participación de los Magistrados posteriormente recusados, la providencia de 16 de octubre de 2007 emplazando a las partes a personarse y presentar alegaciones, la ulterior elevación de escritos de recusación contra algunos Magistrados no privaría de eficacia a dicha providencia, incluido el efecto preclusivo ligado a la inactividad de la parte durante el plazo otorgado por la misma. Esta tesis también habría sido corroborada, según el Abogado del Estado, por la providencia de 5 de noviembre de 2007, por la que se le tuvo por personado y se le prorrogó el plazo para presentar alegaciones. No habiéndose puesto de manifiesto la suspensión del proceso y no habiéndose denegado la solicitud de prórroga cuando las recusaciones ya habían sido presentadas parece razonable, según esta parte, suponer que el Pleno entiende que el plazo alegatorio ha seguido corriendo. </w:t>
      </w:r>
    </w:p>
    <w:p w:rsidR="0052098F" w:rsidRDefault="0052098F" w:rsidP="0052098F">
      <w:pPr>
        <w:pStyle w:val="TextoNormal"/>
      </w:pPr>
      <w:r>
        <w:t xml:space="preserve">b) En su primera alegación, el Abogado del Estado delimita el objeto del recurso circunscribiéndolo al segundo párrafo del art. 16.1 LOTC añadido por la Ley Orgánica recurrida, así como al tercer inciso del art. 16.3 LOTC en lo que se refiere a la Presidencia del Tribunal Constitucional. En el primer aspecto no habría duda de la pretensión de los recurrentes de declarar la inconstitucionalidad del todo el apartado seis del artículo único de la Ley impugnada. Esta pretensión se basaría, según el representante del Gobierno, en una infracción originaria o troncal —la del art. 159.1 CE— y en una serie de infracciones consecuenciales o derivadas, que afectarían al art. 165 CE (reserva de LOTC), a los preceptos constitucionales reguladores de la posición del Senado, aunque insistiendo especialmente en la vulneración de los dos apartados del art. 66 CE y de los arts. 67.2 y 72.1 CE, así como de los dos apartados del art. 23 CE. En el caso del art. 16.3 LOTC la impugnación no tendría por objeto los dos primeros incisos, que se refieren al mandato de los Magistrados, la renovación parcial del Tribunal y al momento en que debe producirse la elección de su Presidente y de su Vicepresidente —aspectos sobre los que el recurso no contiene ningún argumento para fundamentar su inconstitucionalidad—, sino únicamente el tercer inciso, que es el relativo a la prórroga de estos últimos mandatos. En la medida, sin embargo, en que el art. 160 CE sólo se refiere al Presidente del Tribunal y no al Vicepresidente, que es una figura creada por la LOTC, esta segunda impugnación debería entenderse limitada a la prórroga del mandato </w:t>
      </w:r>
      <w:r>
        <w:lastRenderedPageBreak/>
        <w:t xml:space="preserve">presidencial, sin que las dos breves referencias al mandato del Vicepresidente resulten suficientes para considerar cumplida la doctrina jurisprudencial que exige que sea la parte recurrente la que fundamente su impugnación. Esta primera alegación sobre el objeto del recurso concluye con una breve mención a que el sometimiento del Tribunal Constitucional a su Ley Orgánica (art. 1.1 LOTC) no impide que los preceptos recurridos sean objeto de un proceso declarativo de inconstitucionalidad [arts. 161.1 a) CE y 27.2 a) LOTC], puesto que el Tribunal sólo queda sometido a la LOTC si la regulación contenida en la misma no resulta contraria a los preceptos constitucionales (STC 223/2006, de 6 de julio, FJ 2), únicas normas a las que el Tribunal está incondicional y absolutamente vinculado. </w:t>
      </w:r>
    </w:p>
    <w:p w:rsidR="0052098F" w:rsidRDefault="0052098F" w:rsidP="0052098F">
      <w:pPr>
        <w:pStyle w:val="TextoNormal"/>
      </w:pPr>
      <w:r>
        <w:t xml:space="preserve">c) En su segunda alegación, el Abogado del Estado defiende la plena constitucionalidad del nuevo párrafo segundo del art. 16.1 LOTC. Para ello parte de que el precepto se limita a atribuir a las Asambleas autonómicas un derecho exclusivo de presentación de candidatos a ser propuestos Magistrados del Tribunal Constitucional por el Senado. Tras recordar los preceptos del Reglamento del Senado que regulan la elección de los miembros del Tribunal Constitucional, el representante del Gobierno señala que en el momento de entrar en vigor la reforma impugnada el derecho de presentación de candidatos se atribuye a los grupos parlamentarios de la Cámara Alta, lo cual, desde un punto de vista de la sociología política, quiere decir que son las direcciones de los partidos y fuerzas políticas con representación parlamentaria los que realmente ejercen tal derecho a través de los grupos parlamentarios. Con la reforma recurrida la titularidad inicial del derecho de presentación de candidatos a Magistrado pasa a corresponder a las Asambleas autonómicas en exclusiva, aunque desde un punto de vista de sociología política no resulte difícil predecir que serán las direcciones de los dos grandes partidos estatales las que, a través de sus parlamentarios en las distintas Comunidades Autónomas, podrán seguir proponiendo a los candidatos que consideren oportunos. Hecha esta consideración general, las alegaciones del Abogado del Estado desde una perspectiva jurídico-constitucional parten de la imposibilidad que la Ley recurrida “altere” la Constitución, como en algún momento se señala en el recurso. </w:t>
      </w:r>
    </w:p>
    <w:p w:rsidR="0052098F" w:rsidRDefault="0052098F" w:rsidP="0052098F">
      <w:pPr>
        <w:pStyle w:val="TextoNormal"/>
      </w:pPr>
      <w:r>
        <w:t xml:space="preserve">Por lo que respecta a la primera vulneración que denuncian los recurrentes —la del art. 159.1 CE—, el representante del Gobierno comienza señalando, aunque reconozca que no es un argumento de constitucionalidad, que ha sido el propio Senado el que ha consentido lo que los recurrentes consideran un desapoderamiento de sus funciones constitucionales. En todo caso, tal desapoderamiento no se habría producido por diversos motivos. Por un lado, porque dicho precepto no se pronuncia sobre la cuestión regulada en el precepto impugnado, esto es, sobre quién debe presentar a los juristas entre los que el Senado debe elegir los que proponga al Rey. El art. 159.1 CE sólo identifica al titular de la facultad de proponer, pero no se pronuncia en absoluto sobre quiénes pueden quedar legalmente legitimados para presentar candidatos ante el Senado para que la Cámara ejerza su facultad de propuesta, correspondiendo al legislador orgánico desarrollar este punto como le parezca más razonable y conveniente. </w:t>
      </w:r>
    </w:p>
    <w:p w:rsidR="0052098F" w:rsidRDefault="0052098F" w:rsidP="0052098F">
      <w:pPr>
        <w:pStyle w:val="TextoNormal"/>
      </w:pPr>
      <w:r>
        <w:t xml:space="preserve">Según el Abogado del Estado, la idea que subyace a la interpretación del art. 159.1 CE que patrocinan los recurrentes es que este precepto exige una libertad omnímoda en la presentación de candidatos y prohíbe cualquier tipo de ordenación, lo cual no sólo llevaría a considerar inconstitucional la anterior regulación, sino también cualquier norma que circunscribiese la iniciativa de presentar candidatos a un número tasado de instituciones, organizaciones, grupos o personas. Tampoco la pretendida exclusividad de la facultad de propuesta de Magistrados del Tribunal Constitucional por parte de los Parlamentos autonómicos podría servir, según esta parte, para fundamentar la vulneración del art. 159.1 CE. Por </w:t>
      </w:r>
      <w:r>
        <w:lastRenderedPageBreak/>
        <w:t xml:space="preserve">un lado, porque el precepto recurrido se remite de un modo muy amplio al propio Reglamento del Senado para modular el derecho de presentación de candidatos, existiendo múltiples posibilidades, entre las que se encuentra la que ha sido aprobada, para concretar la regulación impugnada. Y por otro, porque también las propuestas de los Parlamentos autonómicos serán el resultado de un procedimiento —regulado por normas autonómicas— que debe contemplar la iniciativa para proponer candidatos. A partir de estas consideraciones no resulta posible, según el Abogado del Estado, considerar que la facultad de propuesta que el art. 159.1 CE atribuye al Senado queda excesiva o abusivamente limitada por la reforma impugnada, puesto que dependerá del propio Senado configurar el derecho o facultad de presentación atribuidos por el legislador orgánico a las Asambleas autonómicas. Ante el silencio del art. 159.1 CE en lo relativo a la presentación de candidatos a ser propuestos por el Senado, el precepto impugnado constituiría una opción lícita de desarrollo de dicha norma, que, además, contaría a su favor con justificaciones constitucionales positivas y que estaría dentro de las materias reservadas a la LOTC. </w:t>
      </w:r>
    </w:p>
    <w:p w:rsidR="0052098F" w:rsidRDefault="0052098F" w:rsidP="0052098F">
      <w:pPr>
        <w:pStyle w:val="TextoNormal"/>
      </w:pPr>
      <w:r>
        <w:t xml:space="preserve">Por lo que respecta a lo primero, el artículo impugnado vendría a potenciar el carácter de Cámara de representación territorial del Senado (art. 69.1 CE) al dar participación a los Parlamentos autonómicos en la actividad senatorial de propuesta de Magistrados del Tribunal Constitucional. Favorecer dicha participación en una actividad del Senado no puede ser inconstitucional, pues el propio Constituyente ha optado no sólo por la definición constitucional del Senado que acaba de recordarse, sino también por la participación de dichos Parlamentos en la propia composición de la Cámara Alta de acuerdo con las respectivas previsiones estatutarias (art. 69.5 CE). En este sentido, el representante del Gobierno cita la jurisprudencia constitucional [concretamente, las SSTC 40/1981, de 16 de diciembre, FJ 1 d) y 76/1989, de 27 de diciembre, FJ 3] y recuerda que el art. 122 de la Constitución de 1931 ya previó que el Tribunal de Garantías Constitucionales estuviese integrado, entre otros, por un representante de cada una de las Regiones españolas, previsión que fue desarrollada por el art. 10.2 de la Ley de dicho Tribunal, que estableció que en el caso de las Regiones ya constituidas sería el organismo que ejerciese la potestad legislativa el que designase dicho representante. Más allá de estas consideraciones, el Abogado del Estado también aduce en defensa de su posición que algunos de los Estatutos de Autonomía recientemente reformados (art. 180 del Estatuto de Cataluña y art. 224 del Estatuto de Andalucía) prevén expresamente la participación autonómica en la designación de Magistrados del Tribunal Constitucional. Aunque no es este el momento de dilucidar la eficacia jurídica de tales previsiones, que en ningún caso pueden vincular, predeterminar o condicionar indebidamente la libertad del legislador orgánico, para el representante del Gobierno el precepto impugnado vendría a satisfacer las aspiraciones participativas de las Comunidades Autónomas recogidas en tales preceptos estatutarios. </w:t>
      </w:r>
    </w:p>
    <w:p w:rsidR="0052098F" w:rsidRDefault="0052098F" w:rsidP="0052098F">
      <w:pPr>
        <w:pStyle w:val="TextoNormal"/>
      </w:pPr>
      <w:r>
        <w:t xml:space="preserve">Las alegaciones del Abogado del Estado también rechazan que la reforma plantee problemas de constitucionalidad desde la perspectiva de las fuentes del Derecho. La vulneración de la reserva de ley orgánica del art. 165 CE que aducen los recurrentes no se produciría por cuanto el precepto impugnado se subsume sin esfuerzo en el concepto “estatuto de sus miembros” mencionado en dicho precepto. Se alega para ello, en primer lugar, que la norma impugnada afecta a la presentación de candidaturas, es decir, a una fase inicial del procedimiento de selección de personas que reúnen los requisitos de idoneidad precisos para adquirir la condición de Magistrado. En segundo lugar, se cita la propia jurisprudencia constitucional, que ha considerado que la regulación de la adquisición y pérdida de la condición de funcionario se incluye en el régimen estatutario funcionarial señalado en el art. 103.3 CE [STC 99/1987, de 11 de junio, FJ 3 c)]. También se esgrime, por último, el contenido de los </w:t>
      </w:r>
      <w:r>
        <w:lastRenderedPageBreak/>
        <w:t xml:space="preserve">estatutos personales de diversas instituciones. Este es el caso, por un lado, del estatuto de los miembros del Consejo General del Poder Judicial (art. 122.2 CE), que incluye la presentación de candidatos ante el Congreso y el Senado por parte de las asociaciones profesionales de Jueces y Magistrados (art. 112.3 LOPJ), y, por otro, de los Jueces y Magistrados de carrera, que incluye las reglas que rigen la adquisición de tal condición incluido el ingreso en la carrera judicial (arts. 301 y ss. LOPJ), así como la presentación de ternas por parte de los Parlamentos autonómicos respecto del tercio de las plazas de Magistrados de las Salas de lo Civil y de lo Penal de los Tribunales Superiores de Justicia de las Comunidades Autónomas (art. 330.4 LOPJ). </w:t>
      </w:r>
    </w:p>
    <w:p w:rsidR="0052098F" w:rsidRDefault="0052098F" w:rsidP="0052098F">
      <w:pPr>
        <w:pStyle w:val="TextoNormal"/>
      </w:pPr>
      <w:r>
        <w:t xml:space="preserve">Por su parte, la pretendida vulneración de la autonomía normativa del Senado reconocida en el art. 72.1 CE no se produciría, en opinión del Abogado del Estado, por cuanto dicha autonomía se circunscribe al procedimiento parlamentario y al régimen interno, tal y como ha reconocido la jurisprudencia constitucional (SSTC 44/1995, de 13 de febrero, FJ 3, y 227/2003, de 29 de noviembre, FJ 2). En este sentido, la regulación de un derecho de presentación de candidatos, sea por las asociaciones de jueces o por los Parlamentos autonómicos, sería una cuestión previa y ajena a la vida de la Cámara, es decir, una iniciativa exterior a partir de la cual comenzaría el campo propio de la autonomía reglamentaria del Senado, autonomía que, además, sería perfectamente respetada mediante la amplia remisión al Reglamento de la Cámara contenida en el precepto impugnado. </w:t>
      </w:r>
    </w:p>
    <w:p w:rsidR="0052098F" w:rsidRDefault="0052098F" w:rsidP="0052098F">
      <w:pPr>
        <w:pStyle w:val="TextoNormal"/>
      </w:pPr>
      <w:r>
        <w:t xml:space="preserve">Descartada la vulneración del art. 159.1 CE desde un punto de vista formal y material, el representante del Gobierno insta el rechazo de las restantes infracciones constitucionales señaladas por los recurrentes por tener, en su opinión, un carácter meramente derivado, secundario o secuencial. Así, la alegación de los recurrentes en el sentido de que la norma impugnada otorga a las Asambleas autonómicas competencias que la Constitución no ha previsto es rechazada de plano aduciendo que la concesión de un derecho de presentación de candidatos no puede considerarse en ningún caso una competencia en el sentido y a los efectos de los arts. 147.2 d) CE o 150.1 y 2 CE. Por su parte, y contra lo que pretenden los recurrentes, la pregunta pertinente no sería si una ley estatal puede condicionar los nombramientos que corresponde hacer a las instituciones autonómicas, sino si puede hacerlo el órgano autonómico competente dentro de los márgenes que le atribuye su Estatuto de Autonomía. Y es que en el presente supuesto es el legislador orgánico el que, en el marco del art. 165 CE, ha regulado la propuesta de nombramiento de algunos Magistrados por parte de los Parlamentos autonómicos. También se rechaza, contra lo esgrimido por los recurrentes, que la norma impugnada sustituya una elección de primer orden por una de segundo orden. De entrada, porque dicha norma no dispone, como debería de ser en una elección de segundo grado, que el Senado deba realizar su propuesta necesariamente a partir de todos los electos por los Parlamentos autonómicos. Y, por otro, porque, aunque se tratase de una elección de segundo grado, se trataría de una forma distinta de formular la ya descartada vulneración del art. 159.1 CE. </w:t>
      </w:r>
    </w:p>
    <w:p w:rsidR="0052098F" w:rsidRDefault="0052098F" w:rsidP="0052098F">
      <w:pPr>
        <w:pStyle w:val="TextoNormal"/>
      </w:pPr>
      <w:r>
        <w:t xml:space="preserve">En este mismo orden de consideraciones, el representante del Gobierno también descarta que la norma impugnada suponga una vulneración de los dos apartados del art. 66 CE y de la prohibición de mandato imperativo contenida en el art. 67.2 CE. En relación con este último mandato se recuerda que los Senadores no son mandatarios de las Asambleas autonómicas y que existe un empleo impropio del concepto de mandato imperativo cuando se aplica a cualquier tipo de restricción o condicionamiento, real o supuesto, de una pretendida libertad omnímoda de decidir. Por su parte, y en relación con lo dos apartados del art. 23 CE, se señala que la norma impugnada no vulnera ni los derechos de status de los Senadores ni el derecho de participación política de los electores, puesto que se limita a reconocer un </w:t>
      </w:r>
      <w:r>
        <w:lastRenderedPageBreak/>
        <w:t xml:space="preserve">derecho de presentación de candidatos que es compatible con lo dispuesto en el art. 159.1 CE. </w:t>
      </w:r>
    </w:p>
    <w:p w:rsidR="0052098F" w:rsidRDefault="0052098F" w:rsidP="0052098F">
      <w:pPr>
        <w:pStyle w:val="TextoNormal"/>
      </w:pPr>
      <w:r>
        <w:t xml:space="preserve">d) La tercera alegación del Abogado del Estado defiende la plena constitucionalidad del tercer inciso del art. 16.3 LOTC en lo que se refiere a la prórroga del mandato de Presidente del Tribunal Constitucional. Para ello se parte de un repaso exhaustivo de las sucesivas Presidencias y Vicepresidencias del Tribunal desde la puesta en funcionamiento de esta institución que pone de relieve que algunos Presidentes y Vicepresidentes no pudieron completar los tres años de mandato previstos en el art. 160 CE debido a su cese como Magistrados. En dos supuestos, en cambio, concretamente en los mandatos de don Francisco Tomás y Valiente y don Francisco Rubio Llorente en el período 1989-1992, y de don Álvaro Rodríguez Bereijo y don José Gabaldón López en el período 1995-1998, el Presidente y el Vicepresidente continuaron en sus funciones durante un período superior a tres años. Más allá de la existencia de precedentes de prórroga presidencial, lo que el representante del Gobierno considera constante, con la única excepción al comienzo de la vida del Tribunal, es la observación del criterio o regla según la cual los nuevos Presidente y Vicepresidente son elegidos por el Tribunal renovado, es decir, con la participación de los Magistrados entrantes. De ello se deduce cuál ha sido la interpretación constitucional correcta del art. 160 CE para dos colegios de Magistrados distintos: la favorable a la prórroga presidencial y vicepresidencial cuando ello era preciso para asegurar que los Magistrados entrantes pudieran ejercer su facultad de elegir al Presidente y al Vicepresidente del Tribunal. La regla de la prórroga asume, pues, un carácter instrumental y secundario para conseguir el fin de que los Magistrados entrantes participen en la elección de la nueva dirección del Tribunal, fin plasmado en el segundo inciso del art. 16.3 LOTC y que, no habiendo sido atacado por los recurrentes, no permitiría justificar la impugnación del tercer inciso. A este hecho debe añadirse lo que el representante del Gobierno considera una justificación jurídica positiva del precepto impugnado: el art. 160 CE llevaría implícita o, por lo menos, sería compatible con la idea de que la propuesta de nombramiento del Presidente ha de ser posterior a cada renovación parcial, de modo que las vicisitudes de esta última no deben impedir a los Magistrados entrantes participar en la elección de la nueva Presidencia. A este respecto, se señala que los tres años de período presidencial previstos en dicho precepto concuerdan con los tres años de la renovación por tercios contemplada en el art. 159.3 CE, de lo que se deriva la presumible voluntad del Constituyente de hacer coincidir ambos hechos. El Presidente del Tribunal es un primus inter pares, cuya fuente de legitimación sería la elección por el colegio en pleno. De ello se derivaría una suerte de “legitimación ascendente (democrática)” que nada tendría que ver con la representación política, y que estaría al servicio del autogobierno institucional del Tribunal, que es el verdadero interés constitucional que subyace al art. 160 CE. La lógica del autogobierno institucional y de la legitimación ascendente llevan al Abogado del Estado a concluir que el colegio electoral presidencial deben formarlo quienes van a ser gobernados durante los tres años de mandato presidencial, es decir, el colegio integrado por los Magistrados entrantes. Ello evitaría, a su vez, que pueda ser elegido Presidente quien debe abandonar el Tribunal poco tiempo después, así como que los Magistrados entrantes no puedan ser propuestos para desempeñar dicho cargo. </w:t>
      </w:r>
    </w:p>
    <w:p w:rsidR="0052098F" w:rsidRDefault="0052098F" w:rsidP="0052098F">
      <w:pPr>
        <w:pStyle w:val="TextoNormal"/>
      </w:pPr>
      <w:r>
        <w:t xml:space="preserve">Frente a la alegación de los recurrentes en el sentido que es el Pleno del Tribunal quien, en todo caso, debe decidir todo lo relativo a la Presidencia, se aduce que la competencia que se atribuye al Pleno en el art. 160 CE es estrictamente la de proponer un Presidente para el período de tres años. En el tenor literal de este precepto no habría nada, pues, que permita crear una suerte de reserva implícita a favor del Pleno para conceder o denegar libremente la prórroga de dicho mandato cuando se retrase la renovación del Tribunal, es decir, cuando </w:t>
      </w:r>
      <w:r>
        <w:lastRenderedPageBreak/>
        <w:t xml:space="preserve">otros órganos constitucionales no cumplan oportunamente con su deber de renovar el Tribunal. Los precedentes de 1992 y 1998 tendrían para la representación del Gobierno un significado distinto. Y es que, desconociendo si en ambos supuestos medió una decisión expresa del Pleno favorable a dicha prórroga, lo decisivo es que en ambos casos se aplicó el criterio o la regla que se entendió más razonable para interpretar el art. 160 CE en los casos de retraso en la renovación parcial del Tribunal. Ambos precedentes no supondrían que el Pleno se haya autoatribuido una facultad de libre decisión sobre la prórroga, sino que expresan un criterio interpretativo general y abstracto, valedero indefinidamente, según el cual sólo la prórroga presidencial (y no su denegación) es la solución que mejor concuerda con el art. 160 CE para garantizar la facultad electoral de los Magistrados entrantes. Si en dos ocasiones el Pleno del Tribunal ha venido a afirmar implícitamente que la prórroga no sólo no es contraria al art. 160 CE, sino que es la única solución que concuerda con dicho precepto constitucional, no se puede negar al legislador orgánico la libertad de elevar esa práctica a norma legal del estatuto del Presidente y del Vicepresidente, dotándola de generalidad y vigencia indefinidas y prestando con ello un servicio a la seguridad jurídica (art. 9.3 CE). </w:t>
      </w:r>
    </w:p>
    <w:p w:rsidR="0052098F" w:rsidRDefault="0052098F" w:rsidP="0052098F">
      <w:pPr>
        <w:pStyle w:val="TextoNormal"/>
      </w:pPr>
      <w:r>
        <w:t xml:space="preserve">Finalmente, se esgrime que la literalidad del art. 160 CE tampoco impide que el legislador orgánico pueda prever la prórroga presidencial y vicepresidencial, del mismo modo que el art. 159.3 CE no convierte en inconstitucional la prórroga legal del mandato de los Magistrados del Tribunal Constitucional prevista en el art. 17.2 LOTC. Los tres o nueve años a los que aluden ambos preceptos constitucionales comportan que, cumplidos dichos períodos, se produce la expiración del plazo legal del nombramiento. Cuestión distinta es la prórroga de tales mandatos, que en el caso del cargo de Magistrado se justifica constitucionalmente por la necesidad de garantizar la continuidad de la actividad del Tribunal, mientras que en el caso de los mandatos de Presidente y Vicepresidente se trata de asegurar que ambos serán propuestos por el Pleno renovado. </w:t>
      </w:r>
    </w:p>
    <w:p w:rsidR="0052098F" w:rsidRDefault="0052098F" w:rsidP="0052098F">
      <w:pPr>
        <w:pStyle w:val="TextoNormal"/>
      </w:pPr>
      <w:r>
        <w:t xml:space="preserve">e) El escrito del Abogado del Estado finaliza con unas referencias a la última alegación del recurso sobre la pretendida arbitrariedad de la reforma aprobada y a la ausencia de cualquier justificación jurídica de la misma. Se aduce a este respecto que, aunque hubiese sido deseable que la exposición de motivos de la Ley Orgánica 6/2007 contuviese alguna referencia a los aspectos impugnados, no es infrecuente que las Exposiciones de Motivos no den cuenta de las novedades introducidas durante el procedimiento legislativo. Se estaría ante una imperfección técnico-legislativa que carece de relevancia constitucional y que, de acuerdo con la jurisprudencia constitucional (SSTC 225/1998, de 23 de noviembre, FJ 2, y 9/2001, de 18 de enero, FJ 17), no puede justificar una declaración de inconstitucionalidad. A su vez, no existiría ninguna razón para calificar de arbitrarias las opciones legislativas adoptadas por el legislador orgánico, estando los dos preceptos recurridos fundamentados constitucionalmente, tal y como se ha pretendido demostrar en las anteriores alegaciones. </w:t>
      </w:r>
    </w:p>
    <w:p w:rsidR="0052098F" w:rsidRDefault="0052098F" w:rsidP="0052098F">
      <w:pPr>
        <w:pStyle w:val="TextoNormal"/>
      </w:pPr>
      <w:r>
        <w:t>Por todo ello, el suplico del escrito del representante del Gobierno se limita a solicitar su admisión y la desestimación total del recurso.</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fecha 9 de abril de 2008 se señaló para deliberación y votación de la presente Sentencia el día de hoy.</w:t>
      </w:r>
    </w:p>
    <w:p w:rsidR="0052098F" w:rsidRDefault="0052098F" w:rsidP="0052098F">
      <w:pPr>
        <w:pStyle w:val="TextoNormal"/>
      </w:pPr>
    </w:p>
    <w:p w:rsidR="0052098F" w:rsidRDefault="0052098F" w:rsidP="0052098F">
      <w:pPr>
        <w:pStyle w:val="TextoNormalNegritaCentrado"/>
        <w:keepNext/>
      </w:pPr>
      <w:r>
        <w:lastRenderedPageBreak/>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Con carácter previo a la resolución de las cuestiones de fondo, es necesario realizar algunas consideraciones sobre el objeto del presente proceso. El escrito de interposición del recurso se dirige contra el artículo único, apartados seis y siete, de la Ley Orgánica 6/2007, de 24 de mayo, por la que se modifica la Ley Orgánica 2/1979, de 3 de octubre, del Tribunal Constitucional. El encabezamiento y el suplico de la demanda concretan la impugnación en la modificación de los artículos 16.1 y 16.3 LOTC realizada por dichos preceptos “por su contradicción, respectivamente, con el artículo 159, apartado 1 de la Constitución, y con el artículo 160 de la misma Norma Fundamental”. Pero tanto el contenido de la demanda como los términos en que se ha desarrollado el debate procesal obligan a precisar su concreto objeto.</w:t>
      </w:r>
    </w:p>
    <w:p w:rsidR="0052098F" w:rsidRDefault="0052098F" w:rsidP="0052098F">
      <w:pPr>
        <w:pStyle w:val="TextoNormal"/>
      </w:pPr>
      <w:r>
        <w:t>En primer lugar, y por lo que al apartado seis del artículo único se refiere, no cabe duda que el recurso se dirige contra la totalidad de dicho apartado, que introduce un nuevo párrafo segundo al art. 16.1 LOTC del siguiente tenor: “Los Magistrados propuestos por el Senado serán elegidos entre los candidatos presentados por las Asambleas Legislativas de las Comunidades Autónomas en los términos que determine el Reglamento de la Cámara”. Para los recurrentes, esta regulación vulnera frontalmente el art. 159.1 CE, precepto que, en su opinión, atribuye directa, exclusiva e incondicionadamente la elección de tales Magistrados al Senado. Pero también consideran infringidos otros preceptos constitucionales relacionados con el sistema de fuentes (arts. 72 y 165 CE), con la posición constitucional del Senado (arts. 67, 69, 70, 71, 72, 73, 74, 75, 76, 77, 78, 79, 80, 82, 87, 89, 90 y 91, y, en especial, arts. 66.1 y 2, 67.2 y 23.1 y 2 CE), y con la estructura territorial del Estado, aspecto éste que, a diferencia de los anteriores, se concreta básicamente en la infracción del art. 81.1 CE. En todo caso, y al margen de la exacta identificación de los preceptos constitucionales que deben servir de parámetro en cada momento, desde un principio cabe destacar que los diversos motivos de inconstitucionalidad aducidos están interrelacionados, existiendo unos principales (la pretendida vulneración del art. 159.1 CE y, por lo que respecta al sistema de fuentes, de los arts. 72 y 165 CE) y otros secundarios o, como señala el Abogado del Estado, consecuenciales o derivados, que dependen en gran medida de la vulneración del art. 159.1 CE. Si bien esta consideración deberá ser tenida en cuenta para determinar el orden con que se analizarán las diversas tachas de inconstitucionalidad, resulta evidente que el primer objeto de impugnación lo constituye la totalidad del apartado seis del artículo único de la Ley Orgánica 6/2007 o, lo que es lo mismo, el nuevo párrafo segundo del art.  16.1 LOTC que se acaba de transcribir.</w:t>
      </w:r>
    </w:p>
    <w:p w:rsidR="0052098F" w:rsidRDefault="0052098F" w:rsidP="0052098F">
      <w:pPr>
        <w:pStyle w:val="TextoNormal"/>
      </w:pPr>
      <w:r>
        <w:t xml:space="preserve">No cabe decir lo mismo, en cambio, del apartado siete de dicho artículo único. Aunque el encabezamiento y el suplico de la demanda no lo especifican expresamente, el recurso no se dirige contra los párrafos segundo y tercero del art. 16 LOTC reformados por dicho apartado, ni tampoco contra todo el párrafo tercero, sino únicamente contra la tercera frase del art. 16.3 LOTC, es decir, contra el inciso que prevé que “[S]i el mandato de tres años para el que fueron designados como Presidente y Vicepresidente no coincidiera con la renovación del Tribunal, tal mandato quedará prorrogado para que finalice en el momento en que dicha renovación se produzca y tomen posesión los nuevos Magistrados”. Así se desprende, en efecto, de la fundamentación jurídica de la demanda, a la que se remite expresamente el petitum, así como de los términos en que se ha producido el debate procesal. Además, dos datos corroboran este hecho: por un lado, la invocación del art. 160 CE —que sólo se refiere a la Presidencia del Tribunal Constitucional— como única norma constitucional pretendidamente vulnerada; y, por otro, la aceptación, en la página 17 de la demanda, de que el </w:t>
      </w:r>
      <w:r>
        <w:lastRenderedPageBreak/>
        <w:t>mandato de la Vicepresidencia puede ser prorrogado legalmente, aunque esta posibilidad se califique de “ilógica”. En todo caso, y al margen de la facultad de extender la declaración de inconstitucionalidad y nulidad a otros preceptos por conexión y consecuencia (art. 39.2 LOTC), dos datos deben ser retenidos respecto de la impugnación del art. 16.3 LOTC. En primer lugar, que no se han recurrido las dos primeras frases de este apartado, relativas a la elección de los Magistrados del Tribunal y, lo que puede resultar más relevante, al momento en que debe producirse la elección del Presidente y del Vicepresidente. Y en segundo lugar, que la impugnación de la última frase del precepto debe entenderse referida únicamente a la Presidencia del Tribunal, habida cuenta que la figura de la Vicepresidencia no tiene reflejo constitucional. La eventual dificultad, derivada de la literalidad del precepto impugnado, de limitar una hipotética Sentencia estimatoria al mandato de la Presidencia afectaría al objeto de nuestro pronunciamiento, pero nunca al objeto de control, que debe circunscribirse, por lo tanto, al segundo párrafo del art. 16.1 y a la tercera frase del art. 16.3 LOTC.</w:t>
      </w:r>
    </w:p>
    <w:p w:rsidR="0052098F" w:rsidRDefault="0052098F" w:rsidP="0052098F">
      <w:pPr>
        <w:pStyle w:val="TextoNormal"/>
      </w:pPr>
    </w:p>
    <w:p w:rsidR="0052098F" w:rsidRDefault="0052098F" w:rsidP="0052098F">
      <w:pPr>
        <w:pStyle w:val="TextoNormal"/>
      </w:pPr>
      <w:r w:rsidRPr="0052098F">
        <w:rPr>
          <w:rStyle w:val="NumeroAFNegritaCaracter"/>
        </w:rPr>
        <w:t>2</w:t>
      </w:r>
      <w:r>
        <w:t>. Una vez delimitado el objeto del proceso y con carácter todavía previo, resulta necesario detenerse en una singularidad del mismo que ha sido mencionada brevemente por el Abogado del Estado, pero que debe abordarse con cierto detenimiento. Y es que al dirigirse contra unos preceptos que reforman la Ley Orgánica del Tribunal Constitucional, el presente recurso nos sitúa ante la tesitura de controlar la única Ley a la que, como señala el art. 1.1 LOTC, estamos íntegramente sometidos. Ni la Ley Orgánica 2/1979, de 3 de octubre, ni sus sucesivas reformas (Leyes Orgánicas 8/1984, de 26 de diciembre; 4/1985, de 7 de junio; 6/1988, de 9 de junio; 7/1999, de 21 de abril; y 1/2000, de 7 de enero) han sido impugnadas a través de ningún proceso de control de constitucionalidad, aunque en el segundo caso el proyecto de reforma sí fue recurrido preventivamente por la vía del extinto art. 79 LOTC, dando lugar a la STC 66/1985, de 23 de mayo. Pero al no haberse impugnado directamente ninguna de dichas Leyes Orgánicas ni ninguna de las normas del mismo rango que, en virtud de lo dispuesto en el art. 161.1 d) CE, afectan a las competencias del Tribunal, debemos plantearnos preliminarmente si resulta posible y, en su caso, con qué alcance, controlar la constitucionalidad de la Ley Orgánica que regula al Tribunal Constitucional.</w:t>
      </w:r>
    </w:p>
    <w:p w:rsidR="0052098F" w:rsidRDefault="0052098F" w:rsidP="0052098F">
      <w:pPr>
        <w:pStyle w:val="TextoNormal"/>
      </w:pPr>
      <w:r>
        <w:t>Con los precedentes que acaban de señalarse no es extraño que en la jurisprudencia constitucional recaída hasta el momento no existan pronunciamientos claros al respecto. En la ya mencionada STC 66/1985, de 23 de mayo, que no debe olvidarse que tenía por objeto un proyecto de ley, el Tribunal se limitó a señalar, en su fundamento jurídico 4, que “sea cual sea el lugar que la Ley orgánica de este Tribunal ocupa en el llamado bloque de constitucionalidad, su contenido es disponible para el legislador ”, afirmación que fue precedida, como se verá a continuación, del rechazo de la tesis de los recurrentes según la cual la supresión del recurso previo de inconstitucionalidad era contraria a la necesaria independencia del Tribunal y le dejaba inerme ante una futura reforma inconstitucional de la misma. Recientemente, en la STC 38/2007, de 14 de marzo, ante las dudas de constitucionalidad respecto del art. 27.2 c) LOTC planteadas por el Abogado del Estado en el seno de una cuestión de inconstitucionalidad, también hemos señalado, como obiter dicta, que “[n]o nos corresponde enjuiciar aquí la constitucionalidad de un precepto de nuestra Ley Orgánica que nadie ha puesto formalmente en cuestión; ni nos cabe siquiera pronunciarnos in abstracto sobre la viabilidad procesal de un tal cuestionamiento” (FJ 3). Pero habiéndose impugnado directamente algunos preceptos de nuestra Ley reguladora introducidos por la Ley Orgánica 6/2007, de 24 de mayo, es evidente que ninguno de los anteriores pronunciamientos puede ser reiterado en esta ocasión.</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3</w:t>
      </w:r>
      <w:r>
        <w:t>. En el presente caso, en efecto, el control de constitucionalidad de nuestra Ley no se ha suscitado de forma preventiva o incidental, sino que constituye el objeto directo de un proceso de naturaleza abstracta que busca de nosotros un pronunciamiento sobre la constitucionalidad de los preceptos impugnados, pronunciamiento que en todo caso debe estar al margen de cualquier acto de aplicación de los mismos, que únicamente podría verse afectado por los efectos temporales de una hipotética Sentencia estimatoria (art. 40.1 LOTC). No hay duda que los preceptos impugnados constituyen disposiciones normativas con fuerza de ley [arts. 161.1 a) CE y 33.1 LOTC] y, más concretamente, normas con rango de ley orgánica, y que, como prevé expresamente el art. 27.2 a) LOTC, son susceptibles de ser declaradas inconstitucionales por este Tribunal. Tratándose de una ley formal y habiéndose planteado el recurso en tiempo y forma, no existen motivos procesales, pues, para rechazar la posibilidad de tal control.</w:t>
      </w:r>
    </w:p>
    <w:p w:rsidR="0052098F" w:rsidRDefault="0052098F" w:rsidP="0052098F">
      <w:pPr>
        <w:pStyle w:val="TextoNormal"/>
      </w:pPr>
      <w:r>
        <w:t>Desde una perspectiva material, son diversos los argumentos que también deben llevarnos a la misma conclusión. Por un lado, no cabe duda de que el legislador orgánico del Tribunal Constitucional goza de una libertad de configuración que no sólo se deriva del principio democrático, sino que también está protegida a través de las diversas reservas de ley orgánica previstas en el texto constitucional respecto de esta institución [arts. 161.1 d), 162.2 y 165 CE]. Sin que sea este el momento de pronunciarnos sobre el alcance y la interrelación de tales reservas, debemos partir de la base, como señalamos en la STC 66/1985, de 23 de mayo, FJ 4, de que el contenido de dichas leyes es disponible para el legislador. Al mismo tiempo, sin embargo, y como se deduce de la propia supremacía constitucional (art. 9.1 CE), tal libertad no es absoluta, sino que tiene límites materiales y formales que tienen su origen no sólo en dichas reservas y en los restantes preceptos que integran el título IX de la Constitución, sino en una interpretación sistemática de todo el texto constitucional. Interesa destacar desde un primer momento que si bien la apertura de la jurisdicción constitucional española al legislador orgánico no es homogénea en todos los ámbitos, sus límites constitucionales no proceden únicamente de una interpretación literal del precepto aducido en cada caso, sino del modelo de Tribunal Constitucional que se deriva de una interpretación conjunta de nuestra Norma Suprema y de los principios constitucionales que se proyectan sobre el mismo. Este hecho, comúnmente aceptado en todos los ámbitos, también fue compartido, por lo menos de forma implícita y respecto de los límites materiales del legislador del Tribunal Constitucional, en la STC 66/1985 al añadirse inmediatamente después de la ya mencionada afirmación sobre el carácter disponible del contenido de la LOTC que “en consecuencia, dentro del respeto a las normas constitucionales y a la independencia y función del Tribunal, [el legislador] puede introducir en ella los cambios o modificaciones que entienda oportunos, sin que haya de limitarse a aquellos indispensables para evitar la inconstitucionalidad o asegurar el cumplimiento de los objetivos constitucionales”.</w:t>
      </w:r>
    </w:p>
    <w:p w:rsidR="0052098F" w:rsidRDefault="0052098F" w:rsidP="0052098F">
      <w:pPr>
        <w:pStyle w:val="TextoNormal"/>
      </w:pPr>
      <w:r>
        <w:t>Pues bien, reconocidas la libertad de configuración del legislador orgánico del Tribunal Constitucional y la existencia de límites constitucionales a la misma, corresponde al propio Tribunal, en su función de garante supremo de la Constitución, garantizar ambos aspectos, así como el equilibrio entre los mismos. Así vinimos a entenderlo también en la STC 66/1985, de 23 de mayo, FJ 4, al rechazar el argumento del recurrente de que la supresión del recurso previo de inconstitucionalidad atentaba contra la independencia del Tribunal y le dejaba inerme ante una futura reforma de su estructura, señalando que “[s]i esa hipotética reforma futura de la estructura del Tribunal Constitucional fuera concorde con la Constitución, no podría este mismo Tribunal oponerse a ella; [pero] si no lo fuera, no podría considerarla legítima”.</w:t>
      </w:r>
    </w:p>
    <w:p w:rsidR="0052098F" w:rsidRDefault="0052098F" w:rsidP="0052098F">
      <w:pPr>
        <w:pStyle w:val="TextoNormal"/>
      </w:pPr>
      <w:r>
        <w:lastRenderedPageBreak/>
        <w:t>Lo contrario supondría no sólo admitir una zona inmune al control de constitucionalidad, sino también hacer dejación de nuestra función en un ámbito tan decisivo para la propia supremacía de la Constitución como la jurisdicción de este Tribunal.  La estrecha relación que existe entre la Norma Suprema y la Ley Orgánica del Tribunal Constitucional y que se manifiesta, entre otras cuestiones, en la existencia de una reserva de ley orgánica tan amplia y con vocación de plenitud como la contenida en el art. 165 CE, lejos de debilitarla, refuerza la necesidad de controlar que el legislador respete el modelo constitucional de nuestra jurisdicción, puesto que de ello depende en buena medida la efectividad del orden constitucional en todos los ámbitos.  Dejar en manos del legislador orgánico la concreción de dicho modelo y renunciar a controlarla no se correspondería, en efecto, con la pretensión del constituyente de crear un órgano de control de constitucionalidad con amplias competencias y de garantizar su eficacia.</w:t>
      </w:r>
    </w:p>
    <w:p w:rsidR="0052098F" w:rsidRDefault="0052098F" w:rsidP="0052098F">
      <w:pPr>
        <w:pStyle w:val="TextoNormal"/>
      </w:pPr>
      <w:r>
        <w:t>La vinculación de este Tribunal a su propia Ley Orgánica (art. 1.1 LOTC) condiciona, como se verá a continuación, dicho control, pero no puede impedir que el mismo se lleve a cabo.  De hecho, esta vinculación también se predica expresamente, y en primer lugar, respecto de la propia Constitución. Y al igual que el concepto de bloque de constitucionalidad no nos ha llevado a desconocer la vigencia del principio de supremacía constitucional en su seno (por todas, STC 20/1988, de 18 de febrero, FJ 3), la única vinculación del Tribunal al texto constitucional y a su Ley Orgánica no puede servir de argumento para rechazar la posibilidad de controlar la constitucionalidad de esta última. Lo que no resulta posible, como hemos recordado recientemente al analizar la legitimación de los Gobiernos autonómicos para recurrir normas con rango de ley de su propia Comunidad (STC 223/2006, de 6 de julio, FJ 2), es ampararse en el texto constitucional para desvincularse de un precepto de la Ley Orgánica del Tribunal Constitucional que tiene un contenido claro desde una perspectiva jurídica. La aplicación de nuestra Ley reguladora debe tener muy en cuenta, en efecto, la literalidad de sus preceptos y su interpretación desde las normas y principios constitucionales, pero no puede excepcionarse ad casum amparándose en la doble vinculación que contempla el art. 1.1 LOTC, puesto que ello supondría desconocer el papel de ésta en la legitimación de nuestra actividad. Pero dicha doble vinculación tampoco puede interpretarse en el sentido de impedir el control de constitucionalidad de nuestra Ley reguladora, puesto que ello supondría rechazar la vigencia del principio de supremacía constitucional en la fase creativa del Derecho, es decir, frente al legislador y, con ello, que la legitimidad de éste deriva exclusivamente de la Constitución.  En conclusión, tampoco desde una perspectiva material existen obstáculos para que podamos controlar la constitucionalidad de los preceptos de nuestra Ley Orgánica.</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Cuestión distinta, como se ha avanzado anteriormente, es la del alcance de este control.  Más allá de los límites derivados del concreto proceso utilizado, el examen de la constitucionalidad de nuestra Ley reguladora nos obliga a extremar las consideraciones institucionales y funcionales que siempre acompañan al control del legislador democrático. Por de pronto, es evidente que nuestro enjuiciamiento es exclusivamente de constitucionalidad y no político, de oportunidad o de calidad técnica.  Las intenciones del legislador, su estrategia política o su propósito último no constituyen, como es evidente, objeto de nuestro control, debiendo limitarnos a contrastar con carácter abstracto y, por lo tanto, al margen de su posible aplicación práctica los concretos preceptos impugnados y las normas y principios constitucionales que integran en cada caso el parámetro de control. Por otro lado, tratándose del legislador democrático no podemos perder de vista que la presunción de constitucionalidad ocupa un lugar destacado en el desarrollo de dicho control, correspondiendo al recurrente </w:t>
      </w:r>
      <w:r>
        <w:lastRenderedPageBreak/>
        <w:t>no sólo ponerlo en marcha mediante el ejercicio de su legitimación, sino concretar los motivos de la pretendida inconstitucionalidad y colaborar con la jurisdicción constitucional. Y tampoco debe perderse de vista, como cuestión de principio, que el legislador no debe limitarse a ejecutar la Constitución, sino que está constitucionalmente legitimado para tomar todas aquellas medidas que, en un marco caracterizado por el pluralismo político, no vulneren los límites que se derivan de la Norma fundamental.</w:t>
      </w:r>
    </w:p>
    <w:p w:rsidR="0052098F" w:rsidRDefault="0052098F" w:rsidP="0052098F">
      <w:pPr>
        <w:pStyle w:val="TextoNormal"/>
      </w:pPr>
      <w:r>
        <w:t>Todas estas cautelas, propias, como se ha dicho, de cualquier enjuiciamiento del legislador, deben extremarse en el caso de la Ley Orgánica del Tribunal Constitucional, teniendo en cuenta la ya mencionada vinculación del Tribunal a la misma. En la medida, en efecto, en que dicha vinculación se proyecta sobre la propia legitimidad de este órgano, el control de la Ley Orgánica del Tribunal Constitucional debe limitarse a los supuestos en que existe un conflicto evidente e insalvable entre la misma y el texto constitucional. Lo contrario, es decir, llevar a cabo un control más intenso no sólo supondría debilitar la presunción de constitucionalidad de cualquier norma aprobada por el legislador democrático, sino que situaría al Tribunal en una posición que no se corresponde con el papel que cumple la reserva contenida en el art. 165 CE para que sea el legislador quien, a través de la Ley Orgánica del Tribunal Constitucional, desarrolle directamente y con vocación de complitud el título IX CE, desarrollo legal al que este Tribunal está íntegramente vinculado. En todo caso, estas cautelas en ningún caso pueden suponer una renuncia a ejercer el control de constitucionalidad que este Tribunal tiene encomendada en exclusiva, puesto que ello nos llevaría a dejar sin garantía jurisdiccional algunos de los preceptos constitucionales que más contribuyen a la realización del principio de supremacía constitucional.</w:t>
      </w:r>
    </w:p>
    <w:p w:rsidR="0052098F" w:rsidRDefault="0052098F" w:rsidP="0052098F">
      <w:pPr>
        <w:pStyle w:val="TextoNormal"/>
      </w:pPr>
    </w:p>
    <w:p w:rsidR="0052098F" w:rsidRDefault="0052098F" w:rsidP="0052098F">
      <w:pPr>
        <w:pStyle w:val="TextoNormal"/>
      </w:pPr>
      <w:r w:rsidRPr="0052098F">
        <w:rPr>
          <w:rStyle w:val="NumeroAFNegritaCaracter"/>
        </w:rPr>
        <w:t>5</w:t>
      </w:r>
      <w:r>
        <w:t>. Entrando ya en el análisis de las concretas tachas de inconstitucionalidad, debemos pronunciarnos, en primer lugar, sobre la pretendida arbitrariedad de los preceptos impugnados. Aunque se trata de la última alegación de los recurrentes, su estudio debe anticiparse al ser la única infracción que se predica de los dos preceptos recurridos, lo cual implica que, de confirmarse, haría innecesario el análisis de los demás motivos de impugnación. Como se ha dejado constancia en los antecedentes, esta tacha no se concreta formalmente en la infracción de ningún precepto constitucional, aunque tratándose una actuación pretendidamente arbitraria y carente de cualquier justificación jurídica parece claro que lo que se considera materialmente vulnerado es el mandato de interdicción de la arbitrariedad contenido en el art. 9.3 CE. Los recurrentes fundamentan esta infracción en la trascendencia de los cambios organizativos operados en el seno del Tribunal Constitucional y, sobre todo, en la ausencia de la más mínima justificación de los mismos en la exposición de motivos de la Ley Orgánica 6/2007, lo cual les lleva a afirmar que estamos ante una actuación puramente arbitraria, carente de cualquier justificación jurídica, y derivada de criterios de oportunidad política que no tienen encaje constitucional y no se han podido ni querido explicar. El representante del Gobierno rechaza esta alegación basándose en dos argumentos. Por un lado, en que el silencio de la exposición de motivos carece de trascendencia constitucional y únicamente constituye una imperfección técnico- legislativa que hubiese sido preferible evitar, pero que no es infrecuente en supuestos en que las normas impugnadas son introducidas durante la tramitación parlamentaria. Y por otro, en que los dos preceptos recurridos tienen una justificación constitucional clara, aunque pueda ser discutible, lo cual impide calificarlos de arbitrarios.</w:t>
      </w:r>
    </w:p>
    <w:p w:rsidR="0052098F" w:rsidRDefault="0052098F" w:rsidP="0052098F">
      <w:pPr>
        <w:pStyle w:val="TextoNormal"/>
      </w:pPr>
      <w:r>
        <w:t>Esta pretensión de los recurrentes debe ser rechazada por diversos motivos. Con independencia de la trascendencia de los cambios introducidos —sobre la que no nos corres</w:t>
      </w:r>
      <w:r>
        <w:lastRenderedPageBreak/>
        <w:t>ponde pronunciarnos—, debe recordarse, en primer lugar, que el legislador no está constitucionalmente obligado a justificar sus opciones legislativas en las exposiciones de motivos o preámbulos de las leyes. Sin desconocer su posible papel en la interpretación de los preceptos que presentan (SSTC 36/1981, 12 de de noviembre, FJ 7, y 222/2006, de 6 de julio, FJ 8), no debe olvidarse que las leyes son expresión de la voluntad general y no ejecución de la Constitución (STC 96/2002, de 25 de abril, FJ 6), y que el legislador democrático no tiene el deber de expresar los motivos que le llevan a adoptar una determinada decisión en ejercicio de su libertad de configuración. De hecho, es el Consejo de Ministros quien debe acompañar sus proyectos de ley con una exposición de motivos y con los antecedentes necesarios para que las Cámaras puedan pronunciarse sobre los mismos (art. 88 CE). De ahí que, sin necesidad de tener en cuenta el concreto momento en que fueron introducidos los cambios recurridos, la ausencia de dicha justificación no pueda considerarse generadora de arbitrariedad, aunque pueda ser tenida en cuenta al analizar la constitucionalidad de los mismos desde otros puntos de vista.</w:t>
      </w:r>
    </w:p>
    <w:p w:rsidR="0052098F" w:rsidRDefault="0052098F" w:rsidP="0052098F">
      <w:pPr>
        <w:pStyle w:val="TextoNormal"/>
      </w:pPr>
      <w:r>
        <w:t xml:space="preserve">Por otro lado, los motivos aducidos por los recurrentes para fundamentar su pretensión tampoco satisfacen los requisitos que de forma reiterada hemos venido exigiendo a las leyes pretendidamente arbitrarias. Como hemos vuelto a recordar en las SSTC 13/2007, de 18 de enero, FJ 4, y 45/2007, de 1 de marzo, FJ 4, recogiendo una doctrina ampliamente consolidada (por todas, SSTC 239/1992, de 17 de diciembre, FJ 5, y 47/2005, de 3 de marzo, FJ 7) que tiene su origen precisamente en la Sentencia sobre la supresión del recurso previo de inconstitucionalidad (STC 66/1985, de 23 de mayo, FJ 1), la invocación de conceptos tan generales e indeterminados como el de interdicción de la arbitrariedad obliga a extremar el cuidado con que debemos controlar al legislador democrático, puesto que el pluralismo político y la libertad de configuración del legislador también son bienes constitucionales que debemos proteger. De ahí que en estos casos hayamos exigido generalmente dos requisitos: por un lado, que quien invoca la vulneración de la interdicción de la arbitrariedad lo razone en detalle, ofreciendo una justificación en principio convincente para destruir la presunción de constitucionalidad de la ley impugnada; y por otro, y ya desde un punto de vista material, que la arbitrariedad sea el resultado bien de una discriminación normativa bien de la carencia absoluta de explicación racional de la medida adoptada, pero en ningún caso de una discrepancia política respecto de su contenido. La mera lectura de la demanda pone de relieve que ninguno de estos requisitos se ha cumplido en el presente caso. Los recurrentes se han limitado, en efecto, a calificar las reformas impugnadas de puramente arbitrarias y carentes de cualquier justificación jurídica sin aportar ningún otro indicio que el ya mencionado silencio de la exposición de motivos. Las afirmaciones más o menos explícitas sobre los motivos que han llevado al legislador a aprobar los preceptos impugnados, sobre su incapacidad de expresarlos y su voluntad de ocultarlos no pueden formar parte de un debate procesal que se desarrolla en esta sede y que tiene por objeto normas y no intenciones. Aunque ello ya debe llevarnos a rechazar este motivo de inconstitucionalidad, no resulta improcedente señalar ad abundantiam que los preceptos impugnados no están ayunos de cualquier explicación racional, puesto que, como se desarrollará a continuación con más detalle, pretenden canalizar la participación de las Comunidades Autónomas en la elección de determinados Magistrados del Tribunal Constitucional (en el caso del art. 16.1 LOTC), y regular la duración de la Presidencia  en los supuestos en que su mandato no coincida con la renovación parcial del Tribunal (en el caso del art.  16.3 LOTC). En los siguientes fundamentos jurídicos nos pronunciaremos sobre la legitimidad constitucional de tales finalidades y de los medios empleados para alcanzarlas, pero la legítima discrepancia política respecto de unos y otros no debe confundirse con un motivo de impugnación tan importante como el </w:t>
      </w:r>
      <w:r>
        <w:lastRenderedPageBreak/>
        <w:t>que se acaba se analizar cuando, como se verá a continuación, ni existe una carencia absoluta de justificación de los preceptos impugnados, ni pueden éstos ser considerados en ningún caso discriminatorios, puesto que tampoco introducen ninguna diferencia normativa que haya sido señalada por los recurrentes.</w:t>
      </w:r>
    </w:p>
    <w:p w:rsidR="0052098F" w:rsidRDefault="0052098F" w:rsidP="0052098F">
      <w:pPr>
        <w:pStyle w:val="TextoNormal"/>
      </w:pPr>
    </w:p>
    <w:p w:rsidR="0052098F" w:rsidRDefault="0052098F" w:rsidP="0052098F">
      <w:pPr>
        <w:pStyle w:val="TextoNormal"/>
      </w:pPr>
      <w:r w:rsidRPr="0052098F">
        <w:rPr>
          <w:rStyle w:val="NumeroAFNegritaCaracter"/>
        </w:rPr>
        <w:t>6</w:t>
      </w:r>
      <w:r>
        <w:t>. Descartada la tacha dirigida contra los dos preceptos recurridos, debemos analizar la concreta impugnación del segundo párrafo del art. 16.1 LOTC. Como ya se ha señalado en el fundamento jurídico 1, los preceptos constitucionales supuestamente vulnerados por este precepto son muchos. Pero aunque la demanda no siempre los diferencia nítidamente, los motivos de inconstitucionalidad aducidos son básicamente de tres tipos: por un lado, y desde una perspectiva material, se considera infringido el art. 159.1 CE; por otro lado, y en relación con el sistema de fuentes, se estiman vulnerados los arts. 72.1 y 165 CE; y por último, además de estos dos motivos principales, también se esgrimen diversas infracciones constitucionales relacionadas con la posición institucional del Senado (arts. 67, 69, 70, 71, 72, 73, 74, 75, 76, 77, 78, 79, 80, 82, 87, 89, 90 y 91 y, en especial, arts. 66.1 y 2 CE), con las facultades de los Senadores (arts.  67.2, 23.2 y, por extensión, art. 23.1 CE) y con la estructura territorial del Estado (art. 81.1 CE). En la medida en que, como ya se ha señalado anteriormente, los dos primeros motivos son principales y estos últimos derivados o consecuenciales, nuestro análisis debe empezar por aquéllos, siguiendo el orden de la propia demanda, puesto que los problemas relacionados con el sistema de fuentes sólo pueden abordarse partiendo del concreto contenido de la regulación recurrida.</w:t>
      </w:r>
    </w:p>
    <w:p w:rsidR="0052098F" w:rsidRDefault="0052098F" w:rsidP="0052098F">
      <w:pPr>
        <w:pStyle w:val="TextoNormal"/>
      </w:pPr>
    </w:p>
    <w:p w:rsidR="0052098F" w:rsidRDefault="0052098F" w:rsidP="0052098F">
      <w:pPr>
        <w:pStyle w:val="TextoNormal"/>
      </w:pPr>
      <w:r w:rsidRPr="0052098F">
        <w:rPr>
          <w:rStyle w:val="NumeroAFNegritaCaracter"/>
        </w:rPr>
        <w:t>7</w:t>
      </w:r>
      <w:r>
        <w:t>. El precepto impugnado dispone lo siguiente: “Los Magistrados propuestos por el Senado serán elegidos entre los candidatos presentados por las Asambleas Legislativas de las Comunidades Autónomas en los términos que determine el Reglamento de la Cámara”. Los recurrentes consideran que el mismo vulnera flagrante y frontalmente el art.  159.1 CE, norma que atribuye directamente al Senado la facultad exclusiva y absoluta de proponer a cuatro Magistrados del Tribunal Constitucional. De ahí que en varias ocasiones la demanda considere que la norma impugnada altera la Constitución para desapoderar al Senado de una de sus competencias constitucionales. En otros momentos también se emplean los términos de sustracción, sustitución o desnaturalización para expresar esta misma idea.</w:t>
      </w:r>
    </w:p>
    <w:p w:rsidR="0052098F" w:rsidRDefault="0052098F" w:rsidP="0052098F">
      <w:pPr>
        <w:pStyle w:val="TextoNormal"/>
      </w:pPr>
      <w:r>
        <w:t>Lo primero que debe señalarse es que no es posible hablar de alteración de la Constitución.  Si bien toda inconstitucionalidad puede contemplarse de algún modo como un intento de alterar la Constitución, desde una perspectiva estrictamente jurídica, ésta sólo puede respetarse, pudiendo el legislador orgánico únicamente cumplirla, pero nunca alterarla. Parafraseando lo que afirmamos en el ATC 85/2006, de 15 de marzo, FJ 2, las eventuales lesiones producidas por la norma impugnada no alteran el contenido normativo de la Constitución, ni le confieren una virtualidad modificativa de la misma, sino que lo que determinan es su inconstitucionalidad, que únicamente puede ser declarada por este Tribunal en el seno del correspondiente proceso.</w:t>
      </w:r>
    </w:p>
    <w:p w:rsidR="0052098F" w:rsidRDefault="0052098F" w:rsidP="0052098F">
      <w:pPr>
        <w:pStyle w:val="TextoNormal"/>
      </w:pPr>
      <w:r>
        <w:t>En segundo lugar, para poder analizar si se ha producido una vulneración del art. 159.1 CE es preciso partir de la interpretación de este precepto no aisladamente considerado, sino en el contexto de los demás preceptos constitucionales y, en especial, de las normas que integran el título IX CE y, en definitiva, del modelo de Tribunal Constitucional que se deriva de nuestra Norma Suprema. Desde esta perspectiva, debemos tener en cuenta las siguientes consideraciones:</w:t>
      </w:r>
    </w:p>
    <w:p w:rsidR="0052098F" w:rsidRDefault="0052098F" w:rsidP="0052098F">
      <w:pPr>
        <w:pStyle w:val="TextoNormal"/>
      </w:pPr>
      <w:r>
        <w:lastRenderedPageBreak/>
        <w:t>a) A diferencia de lo que ocurre en otros países de nuestro entorno, la Constitución española contiene una regulación detallada de la elección de los miembros del Tribunal Constitucional.  El art. 159.1 CE, en efecto, no sólo fija en doce el número de Magistrados, sino que regula la participación de los diversos órganos constitucionales que concurren en su elección con una precisión que hace posible que sea la propia Ley Orgánica del Tribunal Constitucional la que se remita en gran medida a dicho precepto constitucional al referirse a esta cuestión en el primer párrafo de su art. 16.1. Ello, sin embargo, no cierra las puertas de modo absoluto a que otras normas puedan desarrollar una regulación constitucional que, entre otras cosas, guarda silencio sobre el procedimiento a seguir en dicha elección. Aunque se da la paradoja que el art. 159.1 CE es una norma más completa que el original art. 16.1 LOTC, no existe impedimento constitucional para que la regulación constitucional sea desarrollada y concretada siguiendo los requisitos formales y materiales que se derivan del texto constitucional.</w:t>
      </w:r>
    </w:p>
    <w:p w:rsidR="0052098F" w:rsidRDefault="0052098F" w:rsidP="0052098F">
      <w:pPr>
        <w:pStyle w:val="TextoNormal"/>
      </w:pPr>
      <w:r>
        <w:t>b) Desde una perspectiva material, la opción del constituyente se basa en la participación de diversos órganos constitucionales en la elección de los Magistrados del Tribunal Constitucional. Aunque ello no tiene ninguna incidencia en el estatuto personal de estos últimos, el art. 159.1 CE establece una distribución concreta (dos Magistrados a propuesta del Gobierno, dos a propuesta del Consejo General del Poder Judicial, cuatro del Congreso de los Diputados y otros cuatro del Senado) que, por lo que ahora interesa, se caracteriza por dos notas: por un lado, por un importante protagonismo de las Cortes Generales, que eligen a ocho de los doce Magistrados; y por otro lado, y dentro de éstas, por una idéntica posición de ambas Cámaras en cuanto al número de Magistrados a elegir y la mayoría necesaria para ello, no así en cuanto al concreto modo de ejercer tal facultad, que puede estar influido por las propias características constitucionales de cada Cámara. Como se verá más adelante, el proceso de elaboración del art. 159.1 CE corrobora que ambas notas fueron tenidas muy en cuenta por el Constituyente. Pero además de estas dos cuestiones derivadas del propio tenor literal del art. 159.1 CE, la concreta participación de cada órgano constitucional en dicha elección también debe interpretarse a la luz de las normas constitucionales que los regulan, así como del sistema institucional que se deriva del texto constitucional. En este sentido, por ejemplo, la opción constitucional por la Monarquía parlamentaria como forma política del Estado (art. 1.3 CE) implica necesariamente que, con independencia de la terminología empleada en el art. 159.1 CE, al Gobierno, al Consejo General del Poder Judicial, al Congreso y al Senado les corresponde la elección de los Magistrados —y no la mera formulación de propuestas—, y al Monarca su nombramiento. Lógicamente, la diferencia entre estos dos actos no es meramente formal, puesto que mientras la elección es una facultad que se ejerce libremente —dentro del debido respeto a los requisitos formales y materiales que la acompañan—, el nombramiento real es un acto debido y refrendado (arts. 159.1 y 64.1 CE).  A su vez, tampoco puede desconocerse que la facultad de elegir a un determinado número de Magistrados también tiene una dimensión de deber constitucional y de deber institucional que se relaciona con la lealtad constitucional —que, como señalamos en la STC 209/1990, de 20 de noviembre, FJ 4, obliga a todos—, y que en el ámbito que nos ocupa está en el origen de regulaciones como la prevista en el art. 17.1 LOTC.</w:t>
      </w:r>
    </w:p>
    <w:p w:rsidR="0052098F" w:rsidRDefault="0052098F" w:rsidP="0052098F">
      <w:pPr>
        <w:pStyle w:val="TextoNormal"/>
      </w:pPr>
      <w:r>
        <w:t xml:space="preserve">c) Finalmente, también cabe señalar que la elección de los miembros del Tribunal Constitucional no puede desvincularse de los requisitos de elegibilidad, capacidad e independencia que se derivan de los apartados segundo, cuarto y quinto del art.  159 CE, así como del carácter parcial, pero por bloques, de la renovación periódica de este órgano (art. 159.3 CE). </w:t>
      </w:r>
      <w:r>
        <w:lastRenderedPageBreak/>
        <w:t>Aunque sobre alguno de estos extremos volveremos más adelante, todos ellos también deben ser tenidos en cuenta en cuanto elementos integrados en el modelo de Tribunal Constitucional que se deriva de la Norma Suprema.</w:t>
      </w:r>
    </w:p>
    <w:p w:rsidR="0052098F" w:rsidRDefault="0052098F" w:rsidP="0052098F">
      <w:pPr>
        <w:pStyle w:val="TextoNormal"/>
      </w:pPr>
    </w:p>
    <w:p w:rsidR="0052098F" w:rsidRDefault="0052098F" w:rsidP="0052098F">
      <w:pPr>
        <w:pStyle w:val="TextoNormal"/>
      </w:pPr>
      <w:r w:rsidRPr="0052098F">
        <w:rPr>
          <w:rStyle w:val="NumeroAFNegritaCaracter"/>
        </w:rPr>
        <w:t>8</w:t>
      </w:r>
      <w:r>
        <w:t>. Realizadas estas consideraciones en torno al parámetro de control, debemos analizar el concreto contenido normativo del precepto impugnado. En primer lugar, su mera lectura pone de relieve que en ningún momento se pone en duda que la elección de los Magistrados del Tribunal Constitucional afectados por la impugnación corresponde al Senado. Y ello no sólo porque el nuevo párrafo segundo del art. 16.1 LOTC dispone expresamente que “[l]os Magistrados propuestos por el Senado serán elegidos entre los candidatos presentados por las Asambleas Legislativas de las Comunidades Autónomas”, sino porque el primer párrafo sigue remitiéndose expresamente a las condiciones establecidas en el art. 159.1 CE. Como no podía ser de otro modo por imperativo del principio de supremacía constitucional (art. 9.1 CE), pero como también se deriva de esta remisión y de la necesaria interpretación del término “propuesta” en el sentido que se acaba de señalar —y que también se recoge en el propio precepto impugnado—, no cabe duda que la elección de los Magistrados sigue correspondiendo al Senado.</w:t>
      </w:r>
    </w:p>
    <w:p w:rsidR="0052098F" w:rsidRDefault="0052098F" w:rsidP="0052098F">
      <w:pPr>
        <w:pStyle w:val="TextoNormal"/>
      </w:pPr>
      <w:r>
        <w:t>Ciertamente, los recurrentes no ponen en cuestión este hecho desde una perspectiva formal, sino material, en la medida en que la intervención de los Parlamentos autonómicos vendría a dejar sin contenido y, por lo tanto, a desnaturalizar dicha facultad del Senado, desapoderándole de la misma en favor de aquéllos al limitar la elección a los candidatos presentados por las Asambleas autonómicas. Este razonamiento parte de una doble premisa que debe ser puesta de manifiesto: por un lado, que dicha facultad es absoluta y no admite ningún tipo de participación por parte de otros órganos; y por otro, que el precepto impugnado la vacía materialmente de contenido, haciendo de la intervención del Senado un acto meramente formal y debido.  Ambas cuestiones deben ser analizadas teniendo en cuenta el concreto contenido normativo del precepto impugnado, los preceptos y principios constitucionales que se proyectan sobre la elección de Magistrados, así como el alcance de un control de constitucionalidad que, como indicábamos en el fundamento jurídico 2, tiene por objeto la Ley Orgánica del Tribunal Constitucional.</w:t>
      </w:r>
    </w:p>
    <w:p w:rsidR="0052098F" w:rsidRDefault="0052098F" w:rsidP="0052098F">
      <w:pPr>
        <w:pStyle w:val="TextoNormal"/>
      </w:pPr>
    </w:p>
    <w:p w:rsidR="0052098F" w:rsidRDefault="0052098F" w:rsidP="0052098F">
      <w:pPr>
        <w:pStyle w:val="TextoNormal"/>
      </w:pPr>
      <w:r w:rsidRPr="0052098F">
        <w:rPr>
          <w:rStyle w:val="NumeroAFNegritaCaracter"/>
        </w:rPr>
        <w:t>9</w:t>
      </w:r>
      <w:r>
        <w:t>. Comenzando por la segunda cuestión, esto es, por el contenido real del precepto impugnado, resulta necesario distinguir dos fases o momentos en la elección de los miembros del Tribunal Constitucional que corresponden al Senado: la facultad de los Parlamentos autonómicos de presentar candidatos a Magistrados, y la elección final de los mismos, elección que compete al Senado, aunque deba realizarse “entre” los candidatos propuestos por las Asambleas autonómicas. Al margen de este segundo requisito, que ciertamente resulta decisivo para la resolución de la presente impugnación, la nota sin duda más destacada de la nueva regulación es la amplitud de la remisión que se hace al Reglamento parlamentario. El régimen jurídico de la presentación de candidaturas por parte de los Parlamentos autonómicos y de la elección de los Magistrados entre dichos candidatos, lejos de concretarse, se remiten íntegramente a “los términos que determine el Reglamento de la Cámara”, lo cual abre necesariamente las puertas a múltiples desarrollos.</w:t>
      </w:r>
    </w:p>
    <w:p w:rsidR="0052098F" w:rsidRDefault="0052098F" w:rsidP="0052098F">
      <w:pPr>
        <w:pStyle w:val="TextoNormal"/>
      </w:pPr>
      <w:r>
        <w:t xml:space="preserve">Por lo que a la presentación de candidaturas a Magistrado se refiere, lo único que se prevé es que la misma corresponde a los Parlamentos autonómicos. No se dice nada, en cambio, ni del procedimiento a seguir, ni del número de candidatos que cabe presentar, ni de si deben cumplir algún requisito que los vincule a la respectiva Comunidad Autónoma, ni de si es posible presentar candidaturas sucesivas a iniciativa del Senado o del propio Parlamento </w:t>
      </w:r>
      <w:r>
        <w:lastRenderedPageBreak/>
        <w:t>autonómico. Aunque los términos que se emplean en el precepto permiten configurarlo como un deber y no sólo como una facultad, son el Reglamento del Senado y los Reglamentos de cada Parlamento autonómico los que deben concretar el régimen jurídico de dicho deber. Lógicamente, dicha concreción debe tener en cuenta no sólo el respectivo ámbito de actuación de los diversos Reglamentos parlamentarios, sino también que los candidatos a Magistrado deben cumplir los requisitos exigidos constitucionalmente para poder desempeñar su función y que la elección de los Magistrados por parte del Senado no puede ser obstaculizada por la actuación de los Parlamentos autonómicos. En todo caso, el régimen jurídico aplicable a las propuestas de candidatos a Magistrado por parte de las Asambleas autonómicas no se agota en el art. 16.1 LOTC.</w:t>
      </w:r>
    </w:p>
    <w:p w:rsidR="0052098F" w:rsidRDefault="0052098F" w:rsidP="0052098F">
      <w:pPr>
        <w:pStyle w:val="TextoNormal"/>
      </w:pPr>
      <w:r>
        <w:t>Esta nota de apertura también es predicable de la segunda fase del mecanismo, es decir, de la elección definitiva de los Magistrados por parte del Senado. Lo que exige el precepto impugnado es que dicha elección se realice “entre” los candidatos presentados por las Asambleas Legislativas de las Comunidades Autónomas. Pero de nuevo la remisión expresa a “los términos que determine el Reglamento de la Cámara” (que en este caso sólo puede referirse, como es lógico, al propio Senado) también permite múltiples desarrollos, al dejar abiertas cuestiones como, por ejemplo, si es preciso que los candidatos sean propuestos por más de una Asamblea, si deben cumplir otros requisitos adicionales, si es posible solicitar la presentación de nuevos candidatos si los presentados no son suficientes, no se presentan en tiempo y forma, o si se considera que no cumplen los requisitos exigidos constitucionalmente para integrar el Tribunal Constitucional. Sin prejuzgar, como es lógico, la constitucionalidad de ninguna de estas opciones, y sin que los ejemplos que se acaban de señalar agoten las cuestiones que el Reglamento del Senado puede desarrollar, la expresión “entre los candidatos” no tiene, pues, que ser interpretada necesariamente en un sentido que excluya cualquier posible margen de maniobra por parte del Senado. Por un lado, porque incluso en el caso de ser interpretada en el sentido más estricto presupone necesariamente la existencia de diversos candidatos y, por lo tanto, una posibilidad de elegir a unos y descartar a otros. Y por otro, porque los términos en que está redactada la remisión al Reglamento parlamentario no puede cerrar las puertas a que el propio Senado pueda velar por el ejercicio constitucionalmente correcto de su función si, por ejemplo, el número de candidatos presentados es insuficiente, si considera que los candidatos propuestos no cumplen los requisitos exigidos constitucionalmente, o si la elección de algunos de los Magistrados se frustra por no alcanzarse la mayoría requerida. En definitiva, tal y como está redactada la norma impugnada no puede dejar totalmente en manos de los Parlamentos autonómicos la libre determinación de los candidatos elegibles por el Senado, sino que remite a su Reglamento y, por lo tanto, a la propia voluntad de la Cámara, la concreción del grado de participación de los Parlamentos autonómicos en dicha facultad, así como el margen de intervención del Senado en el proceso de elección de los Magistrados del Tribunal Constitucional. Como es lógico, tal remisión no implica que el Reglamento del Senado no esté sometido a límites constitucionales que permitan a la Cámara ejercer adecuadamente su función constitucional, ni que este Tribunal no pueda controlar que el concreto desarrollo  de la participación autonómica en el proceso de elección de sus Magistrados respeta tales límites. Pero la posibilidad de que éstos se sobrepasen no puede llevarnos a considerar que, tal y como está redactado, el precepto impugnado sea inconstitucional.</w:t>
      </w:r>
    </w:p>
    <w:p w:rsidR="0052098F" w:rsidRDefault="0052098F" w:rsidP="0052098F">
      <w:pPr>
        <w:pStyle w:val="TextoNormal"/>
      </w:pPr>
      <w:r>
        <w:t>El proceso de elaboración del precepto impugnado también corrobora que la interpretación que está implícita en la demanda no es la única posible. Como ya se ha señalado, el precepto impugnado no figuraba en el proyecto inicial del Gobierno, sino que fue introdu</w:t>
      </w:r>
      <w:r>
        <w:lastRenderedPageBreak/>
        <w:t>cido en la fase de Ponencia del Congreso de los Diputados a través de una enmienda transaccional a varias enmiendas (concretamente, las núm. 17, 44 y 90). En todas ellas se pretendía introducir algún mecanismo de participación de las Comunidades Autónomas en la designación de Magistrados del Tribunal Constitucional por parte del Senado. Concretamente, tal participación se pretendía articular a través de una consulta previa a los Parlamentos autonómicos y de una propuesta por parte de la Comisión General de las Comunidades Autónomas, órgano parlamentario abierto a la participación de los Consejos de Gobiernos autonómicos. Al margen de su concreto contenido, en todas ellas los precisos términos en que debía realizarse dicha consulta no se regulaban en la Ley Orgánica del Tribunal Constitucional, sino que se remitían a otras normas.</w:t>
      </w:r>
    </w:p>
    <w:p w:rsidR="0052098F" w:rsidRDefault="0052098F" w:rsidP="0052098F">
      <w:pPr>
        <w:pStyle w:val="TextoNormal"/>
      </w:pPr>
      <w:r>
        <w:t>Por todo ello, no puede considerarse, como aducen los recurrentes, que el precepto impugnado desapodere al Senado del ejercicio material de una de sus funciones constitucionales. Por la misma razón tampoco es posible aceptar que se produzca necesariamente una renuncia, traslado o sustitución del Senado por parte de los Parlamentos autonómicos, o la sustracción de una facultad constitucional mínima, puesto que ello implicaría desconocer que la norma impugnada admite una lectura que impide considerar que el papel del Senado sea meramente formal. En este contexto, un pronunciamiento por nuestra parte distinto al materialmente desestimatorio no sólo sería preventivo, posibilidad ésta que hemos rechazado reiteradamente (por todas, SSTC 49/1984, de 5 de abril, FJ 2; 76/1991, de 11 de abril, FJ 2; y 176/1999, de 30 de septiembre, FJ 4), sino que nos llevaría a desconocer, como hemos señalado en el fundamento jurídico 4, que el control de nuestra Ley reguladora nos obliga a reservar tales pronunciamientos a las infracciones evidentes e insalvables del texto constitucional.</w:t>
      </w:r>
    </w:p>
    <w:p w:rsidR="0052098F" w:rsidRDefault="0052098F" w:rsidP="0052098F">
      <w:pPr>
        <w:pStyle w:val="TextoNormal"/>
      </w:pPr>
    </w:p>
    <w:p w:rsidR="0052098F" w:rsidRDefault="0052098F" w:rsidP="0052098F">
      <w:pPr>
        <w:pStyle w:val="TextoNormal"/>
      </w:pPr>
      <w:r w:rsidRPr="0052098F">
        <w:rPr>
          <w:rStyle w:val="NumeroAFNegritaCaracter"/>
        </w:rPr>
        <w:t>10</w:t>
      </w:r>
      <w:r>
        <w:t xml:space="preserve">. Tampoco la primera premisa de la argumentación de los recurrentes, esto es, que la facultad del Senado es absoluta e ilimitada, puede ser aceptada. Aunque la regulación del art. 159.1 CE es extensa, la elección de los Magistrados del Tribunal Constitucional por parte del Senado es un aspecto que requiere necesariamente desarrollo normativo y que, por tanto, puede verse limitada tanto material como procedimentalmente.  Así, ya con ocasión de la constitución del primer Tribunal Constitucional la Presidencia del Senado tuvo que aprobar unas Normas para la elección de cuatro de los miembros del Tribunal Constitucional, de fecha 30 de enero de 1980, que otorgaba a los grupos parlamentarios o a veinticinco Senadores la facultad de presentar candidaturas, que regulaba los plazos y el modo de presentación de las mismas, así como aspectos relacionados con las sucesivas votaciones y el escrutinio. Esta regulación fue asumida por el Reglamento del Senado de 1982 sin más cambios que la reducción del número de Senadores facultados para presentar candidatos (que pasó de veinticinco a diez), y permaneció en vigor hasta la reforma del Reglamento del Senado de 15 de junio de 2000, que vino a crear la Comisión de Nombramientos y a regular con más detalle el procedimiento de elección de cargos públicos por parte de la Cámara Alta. El aspecto sin duda más destacado de esta reforma fue la introducción de mecanismos para verificar el cumplimiento de los requisitos exigidos a los Magistrados para desempeñar el cargo, entre los que destaca la admisión a trámite de las candidaturas por parte de la Mesa del Senado, la posibilidad de comparecencias de los candidatos ante la Comisión de Nombramientos, así como la apertura de plazos sucesivos para presentación de nuevos candidatos. Aunque hasta la entrada en vigor del precepto impugnado las normas que han desarrollado el art. 159.1 CE han tenido origen parlamentario y se han limitado a regular aspectos básicamente procedimentales, su existencia revela que no es posible partir, como pretenden los recurrentes, de que la norma constitucional sobre la elección de los Magistrados impide </w:t>
      </w:r>
      <w:r>
        <w:lastRenderedPageBreak/>
        <w:t>un desarrollo normativo que incluya condicionamientos procedimentales y, lo que es más importante, materiales para llevarla a cabo. Y es que no hay que olvidar, a este último respecto, la ya mencionada necesidad de velar por los requisitos de elegibilidad, capacidad e independencia que la Constitución también exige a los candidatos a Magistrado del Tribunal Constitucional.</w:t>
      </w:r>
    </w:p>
    <w:p w:rsidR="0052098F" w:rsidRDefault="0052098F" w:rsidP="0052098F">
      <w:pPr>
        <w:pStyle w:val="TextoNormal"/>
      </w:pPr>
    </w:p>
    <w:p w:rsidR="0052098F" w:rsidRDefault="0052098F" w:rsidP="0052098F">
      <w:pPr>
        <w:pStyle w:val="TextoNormal"/>
      </w:pPr>
      <w:r w:rsidRPr="0052098F">
        <w:rPr>
          <w:rStyle w:val="NumeroAFNegritaCaracter"/>
        </w:rPr>
        <w:t>11</w:t>
      </w:r>
      <w:r>
        <w:t>. Ciertamente, la norma recurrida presenta un elemento cualitativo diferente, cual es el de introducir por vez primera la participación de órganos ajenos al Senado en la elección de dichos Magistrados. A pesar del silencio de la exposición de motivos, su contenido y origen no admiten, como se ha visto, ninguna duda sobre la finalidad perseguida por la reforma de la Ley Orgánica del Tribunal Constitucional en este punto. De ahí que, como se ha avanzado en el fundamento jurídico 5, no resulte posible considerar que la misma carece de cualquier explicación racional y resulte por ello arbitraria. Pero más allá de esta posibilidad, es en dicha participación y, concretamente, en la intensidad de la misma, donde los recurrentes anudan los restantes problemas de constitucionalidad que aducen. Desde un punto de vista constitucional, sin embargo, y dejando ahora de lado el problema de fuentes del Derecho denunciado en la demanda, la queja de los recurrentes nos obliga a analizar tres cuestiones: en primer lugar, si la participación de los Parlamentos autonómicos en la elección de Magistrados por parte del Senado está constitucionalmente prohibida; en segundo lugar, y en caso de que ello no sea así, si dicha participación tiene un fundamento constitucionalmente legítimo que la justifique; y, finalmente, si su intensidad resulta compatible con el modelo de jurisdicción constitucional que se deriva de nuestra Norma Suprema.</w:t>
      </w:r>
    </w:p>
    <w:p w:rsidR="0052098F" w:rsidRDefault="0052098F" w:rsidP="0052098F">
      <w:pPr>
        <w:pStyle w:val="TextoNormal"/>
      </w:pPr>
    </w:p>
    <w:p w:rsidR="0052098F" w:rsidRDefault="0052098F" w:rsidP="0052098F">
      <w:pPr>
        <w:pStyle w:val="TextoNormal"/>
      </w:pPr>
      <w:r w:rsidRPr="0052098F">
        <w:rPr>
          <w:rStyle w:val="NumeroAFNegritaCaracter"/>
        </w:rPr>
        <w:t>12</w:t>
      </w:r>
      <w:r>
        <w:t>. La respuesta a la primera cuestión debe ser necesariamente negativa. Ningún precepto constitucional impide expresamente, en efecto, que las Asambleas de las Comunidades Autónomas puedan intervenir en la elección de Magistrados del Tribunal Constitucional presentando candidatos al Senado. Aunque ello tampoco está previsto, la competencia constitucional de la Cámara Alta de elegir a cuatro de los doce Magistrados no puede interpretarse como una prohibición constitucional implícita a que los Parlamentos autonómicos intervengan en dicha elección mediante la presentación de candidatos. Un planteamiento de este tipo implicaría desconocer, como hemos señalado en diversos ámbitos y, por lo tanto, en términos generales (por todas, SSTC 11/1981, de 8 de abril, FJ 7; 194/1989, de 1989, de 16 de noviembre, FJ 2; 55/1996, de 28 de marzo, FJ 6; 197/1996, de 28 de diciembre, FJ 8; 48/2003, de 12 de marzo, FJ 7; y 236/2007, de 7 de noviembre, FJ 1), que la Constitución no se limita a ser un conjunto de normas que deben ser ejecutadas o un programa que debe ser desarrollado, sino un marco de coincidencias lo suficientemente amplio como para que dentro del mismo quepan opciones políticas de diverso signo. Por ello, en la STC 11/1981, de 8 de abril, añadimos inmediatamente que “[l]a labor de interpretación de la Constitución no consiste necesariamente en cerrar el paso a las opciones o variantes imponiendo autoritariamente una de ellas”, opción ésta que “habrá de llegar únicamente cuando el carácter unívoco de la interpretación se imponga por el juego de los criterios hermenéuticos” (FJ 7). Pues bien, de la atribución constitucional al Senado de la facultad de elegir a cuatro miembros del Tribunal Constitucional no puede derivarse que la única participación autonómica posible en la elección de los miembros del Tribunal sea la existencia de Senadores designados por los Parlamentos autonómicos o, lo que es lo mismo, que exista una prohibición constitucional absoluta de cualquier otro mecanismo de participación y, concretamente, de la posibilidad de presentar candidatos a través de los Parlamentos autonómicos.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13</w:t>
      </w:r>
      <w:r>
        <w:t>. Descartado que la finalidad perseguida por la norma sea en sí misma inconstitucional, debemos analizar si es legítima desde una perspectiva constitucional. Tienen razón los recurrentes al señalar que la regulación recurrida no tiene nada que ver ni con la existencia de un conflicto de atribuciones entre órganos constitucionales ni con la posibilidad de modular la autonomía de las Cámaras dentro de ciertos límites. Pero no así cuando la desvinculan de la definición constitucional del Senado como Cámara de representación territorial (art. 69 CE) con el argumento que se desnaturaliza una atribución que corresponde al Senado como parte constitutiva de las Cortes Generales representantes del pueblo español. Aunque situada en el título III CE, no debe perderse de vista que el carácter de Cámara de representación territorial puede expresarse y desarrollarse no sólo en la organización y funciones del Senado, sino el ejercicio de todas sus facultades y, concretamente, de la elección de los miembros del Tribunal Constitucional que le corresponden. De hecho, la propia decisión constitucional de atribuir la elección de cuatro Magistrados a la Cámara de representación territorial y de hacerlo, como se ha señalado anteriormente, en los mismos términos que el Congreso de los Diputados, ya denota una voluntad constitucional inequívoca de integrar la estructura territorial del Estado en la composición del Tribunal Constitucional, órgano que, también por decisión constitucional, tiene la facultad de conocer de los conflictos de competencia entre el Estado y las Comunidades Autónomas [art. 161.1 c) CE].</w:t>
      </w:r>
    </w:p>
    <w:p w:rsidR="0052098F" w:rsidRDefault="0052098F" w:rsidP="0052098F">
      <w:pPr>
        <w:pStyle w:val="TextoNormal"/>
      </w:pPr>
      <w:r>
        <w:t>Esta idea, además, estuvo muy presente en el proceso constituyente y, sobre todo, en la elaboración del actual art. 159.1 CE. Por un lado, por contemplarse en todo momento la participación del Senado en la elección de algunos Magistrados, al mismo tiempo que se le definía como Cámara de representación territorial. Y por otro, por acogerse parcialmente en la fase de Ponencia del Congreso las diversas enmiendas que se habían presentado para introducir la perspectiva territorial en la elección de algunos de los miembros del Tribunal. Especial importancia tuvo, en este sentido, la enmienda núm. 190, a través de la cual se propuso la equiparación entre el Congreso y el Senado con la finalidad expresa de equilibrar la representación de ambas Cámaras atendiendo a la trascendencia de las decisiones del Tribunal para la estructura territorial del Estado. Incierta como era, en su momento inicial, la creación del Estado de las Autonomías y, en su caso, su estructura, el art. 159.1 CE se limitó, pues, a señalar que cuatro Magistrados serían elegidos por el Senado en tanto Cámara de representación territorial (art. 69 CE) sin que ello implicase necesariamente cerrar las puertas a otro tipo de participación autonómica en dicha elección.</w:t>
      </w:r>
    </w:p>
    <w:p w:rsidR="0052098F" w:rsidRDefault="0052098F" w:rsidP="0052098F">
      <w:pPr>
        <w:pStyle w:val="TextoNormal"/>
      </w:pPr>
      <w:r>
        <w:t>De la interpretación conjunta de los arts. 69 y 159.1 CE puede derivarse, en efecto, un principio de participación autonómica en la composición del Tribunal susceptible de ser desarrollado de diversos modos. La regulación impugnada constituye uno de ellos, por cuanto, como se ha visto, articula dicha participación a través de la propuesta de candidatos por parte de los Parlamentos autonómicos. Las enmiendas que están en el origen de la misma y a las que se ha hecho referencia anteriormente, constituían otra posibilidad, que lógicamente no nos corresponde analizar en este momento.  Pero en todo caso, lo que interesa destacar a los efectos de nuestro enjuiciamiento es que la participación de las Comunidades Autónomas en dicha elección constituye una finalidad que puede perseguirse legítimamente en nuestro sistema constitucional.</w:t>
      </w:r>
    </w:p>
    <w:p w:rsidR="0052098F" w:rsidRDefault="0052098F" w:rsidP="0052098F">
      <w:pPr>
        <w:pStyle w:val="TextoNormal"/>
      </w:pPr>
    </w:p>
    <w:p w:rsidR="0052098F" w:rsidRDefault="0052098F" w:rsidP="0052098F">
      <w:pPr>
        <w:pStyle w:val="TextoNormal"/>
      </w:pPr>
      <w:r w:rsidRPr="0052098F">
        <w:rPr>
          <w:rStyle w:val="NumeroAFNegritaCaracter"/>
        </w:rPr>
        <w:t>14</w:t>
      </w:r>
      <w:r>
        <w:t xml:space="preserve">. El desarrollo de dicho principio participativo que lleva a cabo la regulación impugnada tampoco puede ser calificada de inconstitucional por su intensidad y resultado, puesto que, como se ha visto, no conlleva necesariamente ningún desapoderamiento de la Cámara Alta respecto de su facultad constitucional de elegir a los Magistrados que le corresponde. La participación autonómica introducida se limita, en efecto, a la fase de presentación de </w:t>
      </w:r>
      <w:r>
        <w:lastRenderedPageBreak/>
        <w:t>candidatos y no implica que el Senado deje de ser el titular de dicha facultad. La amplitud de la remisión reglamentaria contenida en el precepto impugnado abre las puertas a múltiples concreciones y diversas intensidades de participación que, tal y como está redactado el precepto, no impiden que el Senado pueda hacer frente a los problemas que pueden derivarse de la inactividad de los Parlamentos autonómicos o de la frustración de sus propuestas. Por todo ello, no puede considerarse, como aducen los recurrentes en algún momento, que la norma impugnada sustrae una atribución constitucional que se califica de mínima y se vincula con la garantía institucional de esta Cámara.</w:t>
      </w:r>
    </w:p>
    <w:p w:rsidR="0052098F" w:rsidRDefault="0052098F" w:rsidP="0052098F">
      <w:pPr>
        <w:pStyle w:val="TextoNormal"/>
      </w:pPr>
      <w:r>
        <w:t>Los diversos argumentos ad absurdum empleados en la demanda para rechazar el precepto impugnado tampoco pueden ser aceptados. Aunque se utilice sobre todo para cuestionar la técnica jurídica empleada para introducir la participación autonómica en la elección de algunos miembros del Tribunal, los demandantes no pueden desconocer que la Ley Orgánica 2/2001, de 28 de junio, modificó el sistema de designación de los doce vocales del Consejo General del Poder Judicial elegidos entre Jueces y Magistrados introduciendo precisamente un procedimiento, contemplado en el art. 112 LOPJ, por el cual la elección de vocales por parte del Congreso y del Senado se realiza entre los candidatos presentados por las asociaciones profesionales de Jueces y Magistrados y las candidaturas respaldadas por un determinado número de firmas. Aunque el art. 122.3 CE se remite expresamente a la ley orgánica para establecer los términos de dicha elección, no es adecuado poner el ejemplo de los vocales del Poder Judicial para denunciar sin mayor precisión el absurdo constitucional a que, según los recurrentes, conduce el traslado de las designaciones de segundo grado a otros órganos.  Por otro lado, tampoco resulta posible equiparar la norma impugnada con una hipotética determinación parlamentaria de los Magistrados del Tribunal Constitucional elegidos por el Gobierno, o con una designación de segundo grado de los restantes Magistrados, de los Ministros o de los propios miembros de las Cortes. Y es que más allá de que no desarrollan esta equiparación, los recurrentes tampoco aducen en ninguno de estos casos cuál sería el fundamento constitucional de tal proceder ni hasta qué punto el órgano decisor dispondría de márgenes de maniobra para ejercer su facultad constitucional. Si a ello se suma que en el caso de los Ministros y de los miembros de las Cortes se vulneraría el nexo de unión con el Presidente del Gobierno y con el cuerpo electoral que legitima directamente sus actuaciones, no cabe duda que se trata de ejemplos que no pueden ser equiparados con la norma impugnada.  Finalmente, tampoco los ejemplos relativos a la limitación del derecho de enmienda y de la función presupuestaria del Senado a las propuestas procedentes de los Parlamentos autonómicos pueden ser aceptados a título argumentativo, puesto que parten de una interpretación de la norma impugnada que, como se ha visto, no se corresponde necesariamente con el contenido normativo de esta última. De aquí que también deban ser rechazados.</w:t>
      </w:r>
    </w:p>
    <w:p w:rsidR="0052098F" w:rsidRDefault="0052098F" w:rsidP="0052098F">
      <w:pPr>
        <w:pStyle w:val="TextoNormal"/>
      </w:pPr>
      <w:r>
        <w:t>De lo expuesto cabe deducir, entre otros extremos, que el tenor literal del art. 16.1 LOTC permite que el Reglamento del Senado pueda, entre otras fórmulas, prever, incluso, mecanismos que hagan posible que sea la propia Cámara la que proponga candidatos a Magistrados del Tribunal Constitucional en el supuesto excepcional de que el sistema de elección de dichos Magistrados previsto con carácter general no culmine con esta elección, garantizando así que la Cámara Alta cumpla con su obligación constitucional.</w:t>
      </w:r>
    </w:p>
    <w:p w:rsidR="0052098F" w:rsidRDefault="0052098F" w:rsidP="0052098F">
      <w:pPr>
        <w:pStyle w:val="TextoNormal"/>
      </w:pPr>
    </w:p>
    <w:p w:rsidR="0052098F" w:rsidRDefault="0052098F" w:rsidP="0052098F">
      <w:pPr>
        <w:pStyle w:val="TextoNormal"/>
      </w:pPr>
      <w:r w:rsidRPr="0052098F">
        <w:rPr>
          <w:rStyle w:val="NumeroAFNegritaCaracter"/>
        </w:rPr>
        <w:t>15</w:t>
      </w:r>
      <w:r>
        <w:t xml:space="preserve">. Despejada la principal queja de fondo —la pretendida vulneración del art. 159.1 CE— debemos pronunciarnos ahora sobre la restantes tachas de inconstitucionalidad planteadas en relación con el segundo párrafo del art. 16.1 LOTC. Y, concretamente y por este </w:t>
      </w:r>
      <w:r>
        <w:lastRenderedPageBreak/>
        <w:t>orden, respecto de los motivos —también principales— de inconstitucionalidad relacionados con el sistema de fuentes, y respecto de los motivos derivados o consecuenciales relativos a la posición institucional del Senado, a los derechos de los Senadores, y a la organización territorial del poder.</w:t>
      </w:r>
    </w:p>
    <w:p w:rsidR="0052098F" w:rsidRDefault="0052098F" w:rsidP="0052098F">
      <w:pPr>
        <w:pStyle w:val="TextoNormal"/>
      </w:pPr>
      <w:r>
        <w:t>Como se ha señalado anteriormente, las tachas relacionadas con el sistema de fuentes afectan a los arts. 72.1 y 165 CE. En opinión de los recurrentes, la reforma del sistema de elección de los Magistrados del Tribunal Constitucional por parte del Senado no sólo sería inconstitucional por su contenido, sino también por vulnerar la reserva de Reglamento parlamentario contenida en el primer precepto y por exceder las materias que el art. 165 CE reserva a la LOTC. Por lo que respecta a la pretendida vulneración del art. 72.1 CE, lo primero que cabe recordar es que nuestra jurisprudencia siempre ha relacionado la autonomía reglamentaria de las Cámaras con la propia autonomía parlamentaria (por todas, STC 234/2000, de 10 de octubre, FJ 12). De ahí que la primera tenga una dimensión interna que hace que los Reglamentos parlamentarios tengan una función ordenadora de la vida interna de las Asambleas Legislativas (STC 227/2004, de 29 de noviembre, FJ 2), así como que sean las Cámaras las que ordenen en exclusiva los derechos y atribuciones de los parlamentarios (STC 141/2007, de 18 de junio, FJ 5), y las fases o procedimientos que se desarrollan en su seno (STC 234/2000, de 3 de octubre, FJ 12). Recientemente también hemos corroborado esta idea vinculando el Reglamento parlamentario con la esfera de decisión propia o con la capacidad autoorganizativa del Parlamento (STC 141/2007, de 18 de junio, FJ 7). Pues bien, la norma impugnada es evidente que afecta al modo de ejercicio de una facultad del Senado. Pero a la luz de su concreto contenido no vulnera el art. 72.1 CE por dos motivos básicamente.</w:t>
      </w:r>
    </w:p>
    <w:p w:rsidR="0052098F" w:rsidRDefault="0052098F" w:rsidP="0052098F">
      <w:pPr>
        <w:pStyle w:val="TextoNormal"/>
      </w:pPr>
      <w:r>
        <w:t>En primer lugar, porque excede claramente la vida interna del Senado, al dar entrada a los Parlamentos autonómicos en el ejercicio de dicha facultad. En la medida, además, en que dicha participación va más allá de un mero trámite de audiencia o de consulta, otorgando a los Parlamentos autonómicos un papel más activo en la fase de presentación de candidaturas, no sería posible que el Reglamento del Senado introdujese unilateralmente una participación de este tipo, que, como se ha señalado anteriormente, obliga a las Asambleas autonómicas a presentar candidatos a Magistrado.</w:t>
      </w:r>
    </w:p>
    <w:p w:rsidR="0052098F" w:rsidRDefault="0052098F" w:rsidP="0052098F">
      <w:pPr>
        <w:pStyle w:val="TextoNormal"/>
      </w:pPr>
      <w:r>
        <w:t>También debe tenerse en cuenta, en segundo lugar, que la amplia remisión al propio Reglamento de la Cámara garantiza que sea ésta la que, en ejercicio de su autonomía, pueda concretar el régimen jurídico de dicha participación, así como el procedimiento de elección definitiva de los Magistrados. Como se ha señalado anteriormente, los términos en que está redactado el precepto impugnado dejan abiertas diversas posibilidades que no nos corresponde analizar en este proceso. Pero además desde el punto de vista del sistema de fuentes, una norma que remite a los Reglamentos parlamentarios la concreción de un principio participativo que, como se ha visto, es constitucional, tampoco puede considerarse contraria al art. 72.1 CE si, como es el caso, deja abierta diversas posibilidades para realizar dicho desarrollo.</w:t>
      </w:r>
    </w:p>
    <w:p w:rsidR="0052098F" w:rsidRDefault="0052098F" w:rsidP="0052098F">
      <w:pPr>
        <w:pStyle w:val="TextoNormal"/>
      </w:pPr>
    </w:p>
    <w:p w:rsidR="0052098F" w:rsidRDefault="0052098F" w:rsidP="0052098F">
      <w:pPr>
        <w:pStyle w:val="TextoNormal"/>
      </w:pPr>
      <w:r w:rsidRPr="0052098F">
        <w:rPr>
          <w:rStyle w:val="NumeroAFNegritaCaracter"/>
        </w:rPr>
        <w:t>16</w:t>
      </w:r>
      <w:r>
        <w:t xml:space="preserve">. A la misma conclusión debe llegarse en relación con el art. 165 CE. Como se ha avanzado en el fundamento jurídico 3, los términos en que se formula esta reserva específica (“Una ley orgánica...”), la amplitud de las materias aludidas (“el funcionamiento del Tribunal Constitucional, el estatuto de sus miembros, el procedimiento ante el mismo y las condiciones para el ejercicio de las acciones”), su posición de cierre del título IX, y el hecho de proyectarse sobre un órgano como el Tribunal Constitucional le otorgan una vocación de complitud que debe llevarnos a rechazar una interpretación restrictiva de tales materias </w:t>
      </w:r>
      <w:r>
        <w:lastRenderedPageBreak/>
        <w:t>como la que pretenden los recurrentes. Si bien es cierto que dicha vocación no impide que otras leyes orgánicas incidan en el alcance de la jurisdicción constitucional atribuyéndole nuevas competencias [art. 161.1 d) CE], la Ley Orgánica del Tribunal Constitucional constituye el cauce constitucionalmente idóneo para introducir una participación autonómica en la elección de los Magistrados del Tribunal Constitucional que, como se ha visto, es legítima desde un punto de vista material. En efecto, en la medida en que dicha participación excede la esfera interna del Senado y precisa el concurso de los Parlamentos autonómicos, es dicha Ley, que no está vinculada positiva sino negativamente a la Constitución, la única fuente del Derecho —excepto la propia Constitución— que puede introducirla. No cabe aquí trasladar a la Ley Orgánica del Tribunal Constitucional la doctrina sobre el carácter estricto de las reservas de leyes orgánicas, pues se trata de un supuesto enteramente diferente. Aquellas reservas pueden ser interpretadas estricta o incluso restrictivamente porque el ordenamiento tiene a su disposición otro instrumento (la ley ordinaria) para regular aquello que se le veda a la ley orgánica. No ocurre así con la reserva prevista en el art. 165 CE, ya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  Tratándose, además, de un aspecto que no afecta a las competencias del Tribunal, es sólo, pues, la Ley Orgánica del Tribunal Constitucional, y no otras leyes orgánicas, la que puede desarrollar la previsión constitucional de elección de los Magistrados por parte de la Cámara de representación territorial, previendo una participación de las Asambleas Legislativas de las Comunidades Autónomas.</w:t>
      </w:r>
    </w:p>
    <w:p w:rsidR="0052098F" w:rsidRDefault="0052098F" w:rsidP="0052098F">
      <w:pPr>
        <w:pStyle w:val="TextoNormal"/>
      </w:pPr>
    </w:p>
    <w:p w:rsidR="0052098F" w:rsidRDefault="0052098F" w:rsidP="0052098F">
      <w:pPr>
        <w:pStyle w:val="TextoNormal"/>
      </w:pPr>
      <w:r w:rsidRPr="0052098F">
        <w:rPr>
          <w:rStyle w:val="NumeroAFNegritaCaracter"/>
        </w:rPr>
        <w:t>17</w:t>
      </w:r>
      <w:r>
        <w:t>. Desestimados los motivos de inconstitucionalidad principales, también deben serlo las tachas derivadas o consecuenciales que, como se ha señalado anteriormente, afectan a la posición constitucional del Senado, a la organización territorial del poder, y al estatuto constitucional de los Senadores. La propia demanda es consciente de esta conexión y apenas desarrolla la mayor parte de estas tachas, pero en la medida en que dicha relación es clara, esta circunstancia no debe llevarnos a rechazar a limine tales quejas, aunque sí nos permite contestarlas brevemente.</w:t>
      </w:r>
    </w:p>
    <w:p w:rsidR="0052098F" w:rsidRDefault="0052098F" w:rsidP="0052098F">
      <w:pPr>
        <w:pStyle w:val="TextoNormal"/>
      </w:pPr>
      <w:r>
        <w:t xml:space="preserve">Descartado que la regulación impugnada pueda suponer un desapoderamiento del Senado es evidente que no se ha vulnerado la posición constitucional de esta Cámara que se deriva del título II CE y que los recurrentes han concretado en una extensa cita de muchos de los preceptos que lo integran. En especial, no puede considerarse infringido el art. 66.1 CE por ninguna de las dos causas que aducen los recurrentes. En la medida, en efecto, en que la regulación recurrida se limita a hacer posible la participación de las Comunidades Autónomas en el ejercicio de una función del Senado, ni se vulnera el principio de representación nacional que se deriva de dicho precepto ni se produce una discriminación respecto del Congreso de los Diputados, Cámara que carece del carácter de representación territorial que define la posición constitucional del Senado (art. 69 CE) y que, como se ha visto, legitima constitucionalmente la participación autonómica en la elección de los Magistrados que le corresponde.  Ello también debe llevarnos a rechazar las tachas aducidas por los recurrentes en clave estrictamente territorial. Así, puesto que no se ha alterado el sistema de distribución de competencias entre el Estado y las Comunidades Autónomas, sino que simplemente se hace posible la participación autonómica en una facultad del Senado no puede hablarse de una sustitución del Senado por parte de los Parlamentos autonómicos, ni de una vulneración del art. 81.1 CE por utilizarse la Ley Orgánica del Tribunal </w:t>
      </w:r>
      <w:r>
        <w:lastRenderedPageBreak/>
        <w:t>Constitucional para otorgar competencias a las Comunidades Autónomas, ni de una ampliación de las competencias de sus Asambleas Legislativas previstas constitucionalmente [arts. 147.2 c) y 152.1 CE]. Y tampoco se ha producido una vulneración del estatuto constitucional de los Senadores protegido por los arts. 23.2 y 67.2 CE. Por un lado, porque dicho estatuto es de configuración legal y, por lo tanto, admite que se regule y limite el ejercicio de sus funciones parlamentarias. Y por otro, porque la regulación impugnada no puede considerarse que vulnere la prohibición constitucional de mandato imperativo al atribuir a los Senadores la facultad de elegir a los Magistrados del Tribunal Constitucional al final de un procedimiento en el que se ha previsto la participación autonómica. En la medida, finalmente, en que no se ha infringido el art. 23.2 CE tampoco puede considerarse vulnerado el art. 23.1 CE que, como reconocen los propios recurrentes, sólo se vería afectado por extensión.</w:t>
      </w:r>
    </w:p>
    <w:p w:rsidR="0052098F" w:rsidRDefault="0052098F" w:rsidP="0052098F">
      <w:pPr>
        <w:pStyle w:val="TextoNormal"/>
      </w:pPr>
    </w:p>
    <w:p w:rsidR="0052098F" w:rsidRDefault="0052098F" w:rsidP="0052098F">
      <w:pPr>
        <w:pStyle w:val="TextoNormal"/>
      </w:pPr>
      <w:r w:rsidRPr="0052098F">
        <w:rPr>
          <w:rStyle w:val="NumeroAFNegritaCaracter"/>
        </w:rPr>
        <w:t>18</w:t>
      </w:r>
      <w:r>
        <w:t>. Como se ha señalado en el fundamento jurídico 1, el recurso también se dirige contra la tercera frase del art. 16.3 LOTC, según la cual “[s]i el mandato de tres años para el que fueron designados como Presidente y Vicepresidente no coincidiera con la renovación del Tribunal Constitucional, tal mandato quedará prorrogado para que finalice en el momento en que dicha renovación se produzca y tomen posesión los nuevos Magistrados”. Los recurrentes consideran que esta regulación vulnera el art.  160 CE por dos motivos: por no respetar la duración del mandato de la Presidencia, que de forma taxativa se establece en tres años, y por sustraer al Pleno la competencia de elegirla.  Según el parecer de los recurrentes, ambas cuestiones vendrían impuestas directamente por dicho precepto constitucional, de forma que debería ser el Pleno quien eventualmente aprobase la prórroga de la Presidencia en los supuestos de renovación tardía del Tribunal. En todo caso, lo que se considera inconstitucional es la prórroga automática de la Presidencia y no la de la Vicepresidencia, figura ésta que no está prevista constitucionalmente y que los propios recurrentes aceptan que puede prorrogarse por mandato legal, aunque dicha opción se califique de ilógica.</w:t>
      </w:r>
    </w:p>
    <w:p w:rsidR="0052098F" w:rsidRDefault="0052098F" w:rsidP="0052098F">
      <w:pPr>
        <w:pStyle w:val="TextoNormal"/>
      </w:pPr>
      <w:r>
        <w:t xml:space="preserve">La respuesta a esta impugnación debe partir, como es obvio, de lo establecido en el art. 160 CE. Esta norma dispone que “[e]l Presidente del Tribunal Constitucional será nombrado entre sus miembros por el Rey, a propuesta del mismo Tribunal en pleno y por un período de tres años.” De la lectura de este precepto, que sólo sufrió un cambio de redacción en el informe de la Ponencia del Congreso y permaneció inalterado durante el resto del proceso constituyente, se desprende que la Presidencia del Tribunal necesariamente debe recaer en uno de sus miembros, que su elección corresponde a los propios Magistrados en Pleno, que su nombramiento compete al Rey, y que la duración de su mandato es de tres años. Desde una perspectiva comparada se trata de una regulación constitucional más extensa que la de la mayor parte de países de nuestro entorno, de la que se deriva un modelo de Presidencia y de Tribunal Constitucional que otorga a su autonomía orgánica un papel ciertamente relevante, puesto que la Presidencia no sólo debe corresponder necesariamente a uno de sus miembros, sino que la única voluntad que concurre en su elección es la del conjunto de Magistrados. Pero ni del art. 160 CE ni de dicho modelo organizativo se colige una regulación constitucional exhaustiva de la figura de la Presidencia del Tribunal Constitucional. Sin ir más lejos, no se definen constitucionalmente ni sus funciones, ni sus concretas competencias, ni el modo de ejercerlas, aspectos todos ellos que están desarrolladas en la Ley Orgánica del Tribunal Constitucional y en las normas que la desarrollan. En especial, cabe señalar que el art. 160 CE no regula ni el procedimiento ni el momento en que debe elegirse la Presidencia del Tribunal, cuestiones éstas que, por lo tanto, están en principio abiertas a lo que disponga nuestra Ley reguladora, lo cual no significa, lógicamente, que el legislador </w:t>
      </w:r>
      <w:r>
        <w:lastRenderedPageBreak/>
        <w:t>orgánico no tenga límites al hacerlo. Al mismo tiempo, sin embargo, la aparente claridad del art. 160 CE no debe llevarnos a ignorar que el mandato presidencial puede ser inferior a tres años como consecuencia del cese del Magistrado que la ejerce, supuesto éste que ha ocurrido en diversas ocasiones. En todo caso, la regulación constitucional de la Presidencia no es completa ni impide la intervención de la Ley Orgánica del Tribunal Constitucional para desarrollarla y concretarla.</w:t>
      </w:r>
    </w:p>
    <w:p w:rsidR="0052098F" w:rsidRDefault="0052098F" w:rsidP="0052098F">
      <w:pPr>
        <w:pStyle w:val="TextoNormal"/>
      </w:pPr>
      <w:r>
        <w:t>La propia demanda reconoce expresamente que la Ley Orgánica del Tribunal Constitucional puede complementar y precisar aspectos en torno a la Presidencia que son disponibles por el legislador, aunque considera que esta última condición no se da en el presente supuesto. En todo caso, debemos tener en cuenta que nuestra Ley Orgánica ha regulado desde un primer momento aspectos concretos del régimen jurídico de la Presidencia como el procedimiento de elección de la misma (art. 9 LOTC), sus competencias [arts. 15, 10.1 k), 12, 17.1, 98 LOTC], así como que le corresponde la presidencia no sólo del Pleno (art. 6.2 LOTC), sino también de la Sala Primera (art. 7.2 LOTC). De ahí que en el presente caso el problema de constitucionalidad vuelva a radicar en si la reforma impugnada ha respetado los límites constitucionales a los que está sometido el legislador orgánico en este ámbito. Como en el caso de la elección de los Magistrados por parte del Senado, para dar respuesta a esta cuestión debemos partir del concreto contenido de la norma impugnada y, en especial, de su finalidad, para analizar a continuación si dicho contenido es constitucional no sólo desde la perspectiva del precepto aducido, sino también desde la del conjunto de normas y principios constitucionales que se proyectan sobre la Presidencia y sobre el propio Tribunal Constitucional.</w:t>
      </w:r>
    </w:p>
    <w:p w:rsidR="0052098F" w:rsidRDefault="0052098F" w:rsidP="0052098F">
      <w:pPr>
        <w:pStyle w:val="TextoNormal"/>
      </w:pPr>
    </w:p>
    <w:p w:rsidR="0052098F" w:rsidRDefault="0052098F" w:rsidP="0052098F">
      <w:pPr>
        <w:pStyle w:val="TextoNormal"/>
      </w:pPr>
      <w:r w:rsidRPr="0052098F">
        <w:rPr>
          <w:rStyle w:val="NumeroAFNegritaCaracter"/>
        </w:rPr>
        <w:t>19</w:t>
      </w:r>
      <w:r>
        <w:t>. Aunque la exposición de motivos no contiene ninguna referencia a la norma impugnada, la lectura conjunta de todo el apartado tercero del art. 16 LOTC pone de relieve algunos extremos que deben ser de destacados como punto de partida de su análisis. En primer lugar, dicho apartado distingue claramente la elección del Presidente de la prórroga de su mandato. En relación con la primera, el precepto se remite a lo dispuesto en el art. 9 LOTC, que es el que regula dicha elección por parte del Tribunal en Pleno, e introduce una novedad en el propio art. 16.3 LOTC que no ha sido impugnada por los recurrentes, pero que resulta muy importante a los efectos de interpretar la finalidad de la reforma. Se trata, concretamente, del momento en que dicha elección debe producirse, aspecto éste que no estaba regulado expresamente y que queda claro que debe producirse “a partir” y, por lo tanto, después de cada renovación parcial del Tribunal. El propósito de la reforma en este punto es claro y radica, pues, en hacer coincidir la elección de la Presidencia con la renovación parcial del Tribunal, extremo éste que obedece a la propia lógica constitucional, puesto que tanto el art.  160 como el 159.3 CE prevén el mismo plazo temporal (tres años) para ambas figuras.</w:t>
      </w:r>
    </w:p>
    <w:p w:rsidR="0052098F" w:rsidRDefault="0052098F" w:rsidP="0052098F">
      <w:pPr>
        <w:pStyle w:val="TextoNormal"/>
      </w:pPr>
      <w:r>
        <w:t xml:space="preserve">El objeto del presente recurso se limita, sin embargo, al segundo aspecto introducido en el art. 16.3 LOTC: la prórroga legal del mandato presidencial. Como se desprende de la mera lectura de la norma impugnada, no estamos ante la reelección del Presidente (supuesto éste previsto expresamente por el art. 9.3 LOTC y limitado a una ocasión), sino ante una prórroga automática del mandato presidencial vigente. Esta prórroga tiene un presupuesto de hecho y unas consecuencias jurídicas que se derivan del propio precepto y que no pueden ser ignoradas. Por un lado, dicha prórroga sólo se produce si “el mandato de tres años” para el que fue designado el Presidente “no coincidiera con la renovación del Tribunal”, lo cual es algo perfectamente previsible dado el retraso que, desde la primera renovación por tercios del Tribunal, se ha venido produciendo en las renovaciones parciales de sus miembros. Ello, </w:t>
      </w:r>
      <w:r>
        <w:lastRenderedPageBreak/>
        <w:t>en todo caso, no debe hacer olvidar la obligación de los distintos órganos constitucionales legitimados por el art. 159.1 CE de realizar la correspondiente elección en tiempo y forma.</w:t>
      </w:r>
    </w:p>
    <w:p w:rsidR="0052098F" w:rsidRDefault="0052098F" w:rsidP="0052098F">
      <w:pPr>
        <w:pStyle w:val="TextoNormal"/>
      </w:pPr>
      <w:r>
        <w:t>Por otro lado, el carácter automático y ope legis de dicha prórroga no puede inducir a confusión respecto de sus consecuencias jurídicas. Tratándose de una prórroga y no de un nuevo mandato, es evidente que su duración no es de tres años, sino que se limita al tiempo que transcurra hasta que la renovación parcial del Tribunal sea una realidad. Como se desprende de forma meridiana de la norma impugnada el mandato presidencial se prorroga “para que finalice en el momento en que dicha renovación se produzca y tomen posesión los nuevos Magistrados”. La referencia explícita al final de la prórroga y su concreta vinculación a la toma de posesión de los nuevos Magistrados vuelve a poner de relieve, pues, que la finalidad de la norma no es propiciar un nuevo mandato presidencial, sino prorrogar el vigente única y exclusivamente hasta que el Tribunal renovado esté en condiciones de proceder a la elección de la nueva Presidencia de acuerdo con lo dispuesto en el art. 9 LOTC.</w:t>
      </w:r>
    </w:p>
    <w:p w:rsidR="0052098F" w:rsidRDefault="0052098F" w:rsidP="0052098F">
      <w:pPr>
        <w:pStyle w:val="TextoNormal"/>
      </w:pPr>
      <w:r>
        <w:t>La finalidad última de la reforma es, pues, la de garantizar que la elección de la Presidencia se produzca tras la renovación parcial del Tribunal y, por lo tanto, con participación de los nuevos Magistrados. Como se desprende de la interpretación conjunta del art. 16.3 LOTC y de las intervenciones de la mayor parte de Diputados y Senadores que se pronunciaron sobre la misma durante el trámite parlamentario, la prórroga legal del mandato presidencial hasta que dicha renovación se haga efectiva constituye un mecanismo para garantizarlo en los supuestos en que dicho mandato haya expirado antes de la misma.</w:t>
      </w:r>
    </w:p>
    <w:p w:rsidR="0052098F" w:rsidRDefault="0052098F" w:rsidP="0052098F">
      <w:pPr>
        <w:pStyle w:val="TextoNormal"/>
      </w:pPr>
    </w:p>
    <w:p w:rsidR="0052098F" w:rsidRDefault="0052098F" w:rsidP="0052098F">
      <w:pPr>
        <w:pStyle w:val="TextoNormal"/>
      </w:pPr>
      <w:r w:rsidRPr="0052098F">
        <w:rPr>
          <w:rStyle w:val="NumeroAFNegritaCaracter"/>
        </w:rPr>
        <w:t>20</w:t>
      </w:r>
      <w:r>
        <w:t>. Determinado el concreto contenido normativo de la medida impugnada, el examen de su constitucionalidad debe comenzar por descartar que la finalidad perseguida por la misma sea en sí misma inconstitucional. En este sentido, lo primero que cabe señalar es que la pretensión de hacer coincidir la renovación parcial del Tribunal con la elección interna de su Presidencia no puede considerarse arbitraria. Como se ha avanzado en el fundamento jurídico 5, no es posible concluir, en efecto, que la norma carece de cualquier explicación racional cuando, como se ha visto, ésta se desprende claramente de su propia literalidad e interpretación sistemática.</w:t>
      </w:r>
    </w:p>
    <w:p w:rsidR="0052098F" w:rsidRDefault="0052098F" w:rsidP="0052098F">
      <w:pPr>
        <w:pStyle w:val="TextoNormal"/>
      </w:pPr>
      <w:r>
        <w:t>Por otro lado, dicha finalidad tampoco puede considerarse en sí misma vulneradora de ningún otro precepto constitucional, puesto que lo que se pretende es armonizar diversos aspectos del modelo organizativo del Tribunal Constitucional que se derivan de los arts. 159.3 y 160 CE a los que ya hemos hecho referencia. Concretamente, que su renovación parcial se produzca cada tres años, que en la elección de la Presidencia participen los miembros del Tribunal, y que el mandato de la Presidencia sea también de tres años. Aunque dicha armonización no siempre puede ser absoluta ni existe un único medio para alcanzarla, interesa destacar que durante todo el proceso constituyente se mantuvo la coincidencia temporal entre la renovación parcial del Tribunal y la duración del mandato presidencial, hasta el punto que incluso alguna de las enmiendas que pretendieron reducir el lapso de tiempo entre las diversas renovaciones también redujo el mandato presidencial por el mismo período (este fue el caso, concretamente, de la enmienda núm. 697). Desde esta perspectiva, pues, la finalidad perseguida por la norma impugnada no sólo no es en sí misma inconstitucional, sino que también puede considerarse constitucionalmente legítima.</w:t>
      </w:r>
    </w:p>
    <w:p w:rsidR="0052098F" w:rsidRDefault="0052098F" w:rsidP="0052098F">
      <w:pPr>
        <w:pStyle w:val="TextoNormal"/>
      </w:pPr>
      <w:r>
        <w:t xml:space="preserve">La legitimidad constitucional de la medida impugnada también se deduce, por otro lado, de su repercusión en el funcionamiento y en el modelo organizativo del Tribunal Constitucional.  Pretender, en efecto, que sea el Pleno renovado el que elija la Presidencia permite que este órgano continúe ejerciendo sus competencias con normalidad hasta que la renovación del Tribunal se produzca. Al mismo tiempo, refuerza la figura de la Presidencia tanto </w:t>
      </w:r>
      <w:r>
        <w:lastRenderedPageBreak/>
        <w:t>antes como después de la renovación, puesto que garantiza que el colegio de Magistrados sea presidido en todo momento por un miembro del Tribunal elegido con el concurso de todos sus integrantes. En todo caso, y como señalan los recurrentes, la prórroga presidencial no puede justificarse trasladando al seno del Tribunal Constitucional el concepto de representación política, puesto que las funciones representativas y directivas de la Presidencia se predican sobre todo respecto del órgano y no respecto de sus miembros. Pero el ejercicio de dichas funciones y el funcionamiento del propio Tribunal puede verse favorecido por el hecho que la Presidencia esté desempeñada en todo momento por un miembro elegido con el concurso de todos los Magistrados que lo integran y, mientras la renovación no se produzca, por quien ha venido ejerciendo las funciones de Presidente.</w:t>
      </w:r>
    </w:p>
    <w:p w:rsidR="0052098F" w:rsidRDefault="0052098F" w:rsidP="0052098F">
      <w:pPr>
        <w:pStyle w:val="TextoNormal"/>
      </w:pPr>
    </w:p>
    <w:p w:rsidR="0052098F" w:rsidRDefault="0052098F" w:rsidP="0052098F">
      <w:pPr>
        <w:pStyle w:val="TextoNormal"/>
      </w:pPr>
      <w:r w:rsidRPr="0052098F">
        <w:rPr>
          <w:rStyle w:val="NumeroAFNegritaCaracter"/>
        </w:rPr>
        <w:t>21</w:t>
      </w:r>
      <w:r>
        <w:t>. Confirmada la legitimidad constitucional de la finalidad perseguida, nuestro examen debe dirigirse al concreto instrumento introducido por el legislador para conseguirla: la prórroga legal del mandato presidencial impugnada por los recurrentes y cuyo régimen jurídico hemos analizado en el fundamento jurídico 19. En primer lugar y como una cuestión preliminar, debemos rechazar que el contenido de la norma impugnada sea equiparable a los ejemplos señalados en la propia demanda a efectos argumentativos. La prórroga del mandato presidencial no es asimilable, en efecto, a un fraccionamiento de dicho mandato ni a una restricción del número o del nombre de los candidatos a ocupar la Presidencia, supuestos ambos que se mencionan en la demanda ayunos de cualquier argumento que pueda justificarlos desde una perspectiva constitucional y que entran abiertamente en conflicto con alguno de elementos que configuran el estatuto constitucional de la Presidencia.</w:t>
      </w:r>
    </w:p>
    <w:p w:rsidR="0052098F" w:rsidRDefault="0052098F" w:rsidP="0052098F">
      <w:pPr>
        <w:pStyle w:val="TextoNormal"/>
      </w:pPr>
      <w:r>
        <w:t xml:space="preserve">En segundo lugar, también debemos rechazar que la norma impugnada vulnere el art. 160 CE, puesto que lo que se prevé en la misma es una prórroga del mandato presidencial vigente y no un nuevo nombramiento. Como consecuencia de tal prórroga es evidente que el mandato presidencial se prolonga más allá de los tres años previstos por dicho precepto, pero sólo desde una interpretación inadecuada del mismo que confunda la temporalidad del mandato con la posibilidad de su prórroga y que no tenga en cuenta la necesidad de armonizar otros bienes jurídicos constitucionales es posible derivar de esta circunstancia la inconstitucionalidad del precepto impugnado. En este sentido, pueden traerse a colación otros ejemplos de la propia Ley Orgánica del Tribunal Constitucional y de la práctica seguida por este Tribunal que ponen de relieve que no pueden confundirse mandato temporal y prórroga del mismo, o más claramente que la temporalidad del mandato no impide su prórroga, e incluso su acortamiento.  Este es el caso, sin ir más lejos, de la prórroga legal del mandato de los propios Magistrados prevista en el art. 17.2 LOTC, que lógicamente implica una ampliación de su mandato de nueve años previsto en el art. 159.3 CE. Y también de la práctica seguida por el Tribunal en los casos de cese anticipado de un Magistrado, en los que la duración del mandato del nuevo Magistrado no es de nueve años, sino del tiempo restante para la finalización del mandato del Magistrado cesante, solución ésta en la que también se ha antepuesto la renovación parcial y por bloques del Tribunal a una interpretación literal y aislada del art. 159.3 CE. Y ello al margen, lógicamente, de los supuestos ya señalados en que el mandato presidencial no llega a los tres años por cese del mandato del Magistrado que ostenta la Presidencia del Tribunal. Sin que de ello pueda derivarse un pronunciamiento por nuestra parte sobre cada una de estas normas y prácticas, su cita pone de relieve que no siempre es posible partir de una interpretación simplificada y aislada de un precepto constitucional —en este caso, el art. 160 CE— para denunciar la inconstitucionalidad de un precepto que, por otro lado, persigue una finalidad constitucionalmente legítima </w:t>
      </w:r>
      <w:r>
        <w:lastRenderedPageBreak/>
        <w:t>y que, al hacerlo, no vulnera ninguno de los preceptos y principios que se proyectan sobre el modelo de Tribunal Constitucional que se deriva de la Constitución.</w:t>
      </w:r>
    </w:p>
    <w:p w:rsidR="0052098F" w:rsidRDefault="0052098F" w:rsidP="0052098F">
      <w:pPr>
        <w:pStyle w:val="TextoNormal"/>
      </w:pPr>
      <w:r>
        <w:t>Los propios recurrentes admiten implícitamente la posibilidad de que el mandato de la Presidencia se prolongue más de tres años al aceptar que la Ley Orgánica del Tribunal Constitucional podría permitir una renovación de la Presidencia, previa elección por parte del Pleno. Aunque la demanda no es clara al respecto, parece que lo que admiten los recurrentes sería una prórroga de la Presidencia decidida por los propios Magistrados en supuestos de retraso de la renovación parcial del Tribunal.  Tratándose de una prórroga, sin embargo, es evidente que el mandato de la Presidencia también se prolongaría necesariamente más allá de los tres años previstos en el art. 160 CE. Pero más allá de debilitar el primer motivo de inconstitucionalidad aducido por ellos mismos, esta argumentación pretende centrar su pretensión en el carácter automático y, por lo tanto, sin intervención preceptiva del Pleno, de la prórroga de la Presidencia.</w:t>
      </w:r>
    </w:p>
    <w:p w:rsidR="0052098F" w:rsidRDefault="0052098F" w:rsidP="0052098F">
      <w:pPr>
        <w:pStyle w:val="TextoNormal"/>
      </w:pPr>
      <w:r>
        <w:t>Desde una perspectiva constitucional ello no supone ninguna vulneración del art. 160 CE, porque, como ya hemos señalado, lo que prevé la norma impugnada es una prórroga automática y temporalmente limitada de la Presidencia vigente en el supuesto en que no se haya producido aún la renovación parcial del Tribunal, y no un nuevo mandato de dicha Presidencia. En la medida, en efecto, en que la facultad que el art. 160 CE atribuye a los Magistrados en Pleno es la de elegir a su Presidente por un período de tres años, la prórroga automática de la Presidencia no puede considerarse que sustrae, como aducen los recurrentes, una competencia constitucional del Pleno. En este mismo sentido, tampoco es posible aceptar la tesis de que la respuesta constitucional a la falta de coincidencia entre la renovación parcial del Tribunal y la duración del mandato presidencial es única y pasa necesariamente por la elección de un Presidente cada tres años. Y es que, como ya se ha señalado, esta posibilidad no resulta constitucionalmente obligatoria desde una concepción unitaria del texto constitucional que otorga al legislador orgánico un margen de maniobra para desarrollar el régimen jurídico de la Presidencia procurando armonizar los diversos bienes jurídicos constitucionales que se proyectan sobre esta figura y sobre el modelo mismo de Tribunal Constitucional.</w:t>
      </w:r>
    </w:p>
    <w:p w:rsidR="0052098F" w:rsidRDefault="0052098F" w:rsidP="0052098F">
      <w:pPr>
        <w:pStyle w:val="TextoNormal"/>
      </w:pPr>
      <w:r>
        <w:t xml:space="preserve">La propia experiencia práctica pone de relieve que la interpretación de los recurrentes no siempre ha sido secundada por el Tribunal. Aunque dicha experiencia no puede erigirse en canon de control, sí puede ser traída a colación para rechazar la tesis defendida en la demanda. El repaso de dicha experiencia revela que el criterio del Tribunal sobre la repercusión del retraso de la renovación en el mandato de la Presidencia ha sido generalmente el de su prórroga. Así, dejando de lado la primera renovación de la Presidencia del Tribunal dadas las peculiares circunstancias que concurrían en la misma como consecuencia de las disposiciones transitoria novena CE y transitoria tercera LOTC, así como la reelección del Presidente don Francisco Tomás y Valiente coincidiendo con el final de su primer mandato, cabe destacar que con ocasión de la expiración del segundo mandato de este último un Pleno gubernativo del Tribunal decidió expresamente que “no habiéndose producido la renovación parcial del Tribunal en el plazo legal fijado al respecto el Presidente y el Vicepresidente debían continuar en el ejercicio de sus funciones, una vez expirado el plazo para que fueron nombrados, en aplicación del art. 17.2 LOTC” (Pleno gubernativo de 27 de febrero de 1992). Este criterio también fue seguido, aunque no de forma expresa, en la Presidencia de don Álvaro Rodríguez Bereijo, que se prolongó más allá de su duración teórica al haberse retrasado la renovación del Tribunal. El criterio adoptado por la norma impugnada ha sido, pues, el empleado por el propio Tribunal en los supuestos más recientes. El que haya sido así incluso en ausencia de una previsión legal de prórroga no significa que ahora, cuando la </w:t>
      </w:r>
      <w:r>
        <w:lastRenderedPageBreak/>
        <w:t>Ley la ha previsto, ello produzca el desapoderamiento del Pleno. En primer lugar, porque no es la competencia para prorrogar sino para elegir la que la Constitución le otorga. Y en segundo lugar, porque el Pleno entonces actuó precisamente porque dicha prórroga no estaba normativamente prevista. El criterio adoptado por la norma impugnada ha sido, pues, como hemos señalado, el mismo que el empleado por el Tribunal en los supuestos más recientes.</w:t>
      </w:r>
    </w:p>
    <w:p w:rsidR="0052098F" w:rsidRDefault="0052098F" w:rsidP="0052098F">
      <w:pPr>
        <w:pStyle w:val="TextoNormal"/>
      </w:pPr>
      <w:r>
        <w:t>En definitiva, en la medida, como se ha visto, en que la finalidad perseguida por dicha norma es constitucionalmente legítima y su concreto contenido no vulnera ningún mandato constitucional, su impugnación debe ser, pues, rechazada.</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Desestimar el recurso de inconstitucionalidad núm. 6729-2007, interpuesto por los Diputados del Grupo Parlamentario Popular contra el artículo único, apartados seis y siete, de la Ley Orgánica 6/2007, de 24 de mayo, por la que se modifica la Ley Orgánica 2/1979, de 3 de octubre, del Tribunal Constitucional.</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nueve de abril de dos mil ocho.</w:t>
      </w:r>
    </w:p>
    <w:p w:rsidR="0052098F" w:rsidRDefault="0052098F" w:rsidP="0052098F">
      <w:pPr>
        <w:pStyle w:val="ParrafoNormal"/>
      </w:pPr>
    </w:p>
    <w:p w:rsidR="0052098F" w:rsidRDefault="0052098F" w:rsidP="0052098F">
      <w:pPr>
        <w:pStyle w:val="TextoNormalNegritaCentrado"/>
        <w:keepNext/>
      </w:pPr>
      <w:r>
        <w:t>Voto particular que formula el Magistrado don Vicente Conde Martín de Hijas respecto de la Sentencia de fecha 9 de abril de 2008 dictada en el recurso de inconstitucionalidad núm.  6729- 2007.</w:t>
      </w:r>
    </w:p>
    <w:p w:rsidR="0052098F" w:rsidRDefault="0052098F" w:rsidP="0052098F">
      <w:pPr>
        <w:pStyle w:val="TextoNormalNegritaCentrado"/>
        <w:keepNext/>
      </w:pPr>
    </w:p>
    <w:p w:rsidR="0052098F" w:rsidRDefault="0052098F" w:rsidP="0052098F">
      <w:pPr>
        <w:pStyle w:val="TextoNormal"/>
      </w:pPr>
      <w:r>
        <w:t>Con el respeto que siempre me merecen los criterios de mis compañeros, ejercito la facultad establecida en el art. 90.2 de la Ley Orgánica del Tribunal Constitucional (LOTC, en adelante), para expresar mi posición contraria a la de la mayoría.</w:t>
      </w:r>
    </w:p>
    <w:p w:rsidR="0052098F" w:rsidRDefault="0052098F" w:rsidP="0052098F">
      <w:pPr>
        <w:pStyle w:val="TextoNormal"/>
      </w:pPr>
      <w:r>
        <w:t>A mi juicio el recurso debería haber sido estimado, declarando la inconstitucionalidad de los dos preceptos recurridos, por las razones que paso a exponer, que sistematizaré, comenzando por la expresión de mi personal criterio (apartados 1 a 3), pasando después (apartados 4 a 8) a justificar por qué no puedo compartir la argumentación de la Sentencia.</w:t>
      </w:r>
    </w:p>
    <w:p w:rsidR="0052098F" w:rsidRDefault="0052098F" w:rsidP="0052098F">
      <w:pPr>
        <w:pStyle w:val="TextoNormal"/>
      </w:pPr>
      <w:r>
        <w:t>1. Comenzando por la adición de un nuevo párrafo 2 del apartado 1 del art. 16 LOTC, introducido por el apartado seis del artículo único de la Ley Orgánica 6/2007, de 24 de mayo, creo que el precepto recurrido en el plano formal del sistema de fuentes resulta contrario a los artículos 72.1 y 165 CE. Y en un plano material resulta contrario a lo dispuesto en el art. 159.1 CE, con la consecuencia de afectar negativamente a la posición institucional del Senado, al abrir una vía de intromisión, constitucionalmente inaceptable, de las Comunidades Autónomas en el ejerció de una facultad que sólo al Senado le está atribuida, y que sólo él puede regular en su ejercicio.</w:t>
      </w:r>
    </w:p>
    <w:p w:rsidR="0052098F" w:rsidRDefault="0052098F" w:rsidP="0052098F">
      <w:pPr>
        <w:pStyle w:val="TextoNormal"/>
      </w:pPr>
      <w:r>
        <w:t xml:space="preserve">En mi criterio, cuando la Constitución en el art. 159 regula la composición del Tribunal Constitucional, deja perfectamente agotados los extremos esenciales del régimen jurídico </w:t>
      </w:r>
      <w:r>
        <w:lastRenderedPageBreak/>
        <w:t>de la misma y del alcance de las facultades que atribuye a los órganos constitucionales llamados a proponer al Rey los nombramientos de Magistrados en la parte que a cada uno de dichos órganos constitucionales corresponde. Y en el ámbito definido y cerrado por la Constitución no cabe disponibilidad alguna de la materia por el legislador. Si el legislador se introduce en ese ámbito, a menos que se limite a la simple reproducción de lo dispuesto en la Constitución, está invadiendo un área que le está vedada, y sólo por ello (o nada menos que por ello) la Ley en la que se produzca esa intromisión debe calificarse de inconstitucional.</w:t>
      </w:r>
    </w:p>
    <w:p w:rsidR="0052098F" w:rsidRDefault="0052098F" w:rsidP="0052098F">
      <w:pPr>
        <w:pStyle w:val="TextoNormal"/>
      </w:pPr>
      <w:r>
        <w:t>Avanzando un paso más (y sin salirnos por ahora del plano formal del sistema de fuentes), la Ley que en este caso se ha utilizado para regular las facultades constitucionales del Senado en la elección de Magistrados para el Tribunal Constitucional, ha sido la LOTC, que, en mi criterio, de ningún modo puede ser instrumento constitucionalmente idóneo al respecto, atendida la reserva constitucional establecida en el art. 165 CE.</w:t>
      </w:r>
    </w:p>
    <w:p w:rsidR="0052098F" w:rsidRDefault="0052098F" w:rsidP="0052098F">
      <w:pPr>
        <w:pStyle w:val="TextoNormal"/>
      </w:pPr>
      <w:r>
        <w:t>En efecto, según lo dispuesto en dicho precepto “una ley orgánica regulará el funcionamiento del Tribunal Constitucional, el estatuto de sus miembros, el procedimiento ante el mismo y las condiciones para el ejercicio de las acciones”.</w:t>
      </w:r>
    </w:p>
    <w:p w:rsidR="0052098F" w:rsidRDefault="0052098F" w:rsidP="0052098F">
      <w:pPr>
        <w:pStyle w:val="TextoNormal"/>
      </w:pPr>
      <w:r>
        <w:t>El régimen del ejercicio de la facultad constitucionalmente atribuida al Senado para la elección de Magistrados del Tribunal Constitucional no puede ser incluido en ninguno de los apartados conceptuales reservados por la Constitución a la Ley Orgánica prevista en dicho art. 165 CE.</w:t>
      </w:r>
    </w:p>
    <w:p w:rsidR="0052098F" w:rsidRDefault="0052098F" w:rsidP="0052098F">
      <w:pPr>
        <w:pStyle w:val="TextoNormal"/>
      </w:pPr>
      <w:r>
        <w:t>La composición del Tribunal es algo anterior y distinto a las materias a que ese precepto se refiere, y en la cuestión que nos ocupa corresponde al área funcional del Senado, razón esta por la que estimo que entra en el ámbito constitucionalmente reservado al Reglamento del Senado en el art. 72.1 CE.</w:t>
      </w:r>
    </w:p>
    <w:p w:rsidR="0052098F" w:rsidRDefault="0052098F" w:rsidP="0052098F">
      <w:pPr>
        <w:pStyle w:val="TextoNormal"/>
      </w:pPr>
      <w:r>
        <w:t>Considero por todo ello que se ha producido una clara infracción de las reservas constitucionales de los preceptos referidos, lo que por sí solo basta para declarar la inconstitucionalidad de la norma aquí analizada.</w:t>
      </w:r>
    </w:p>
    <w:p w:rsidR="0052098F" w:rsidRDefault="0052098F" w:rsidP="0052098F">
      <w:pPr>
        <w:pStyle w:val="TextoNormal"/>
      </w:pPr>
      <w:r>
        <w:t>2. En cuanto al análisis material del contenido del precepto impugnado en su contraste con el art.  159 CE, la conclusión de la inconstitucionalidad de aquél me resulta absolutamente clara.  Basta para ella con la simple reproducción literal de los arts. 159.1 y 2 CE y 16.1 LOTC.</w:t>
      </w:r>
    </w:p>
    <w:p w:rsidR="0052098F" w:rsidRDefault="0052098F" w:rsidP="0052098F">
      <w:pPr>
        <w:pStyle w:val="TextoNormal"/>
      </w:pPr>
      <w:r>
        <w:t>Dice el primero:</w:t>
      </w:r>
    </w:p>
    <w:p w:rsidR="0052098F" w:rsidRDefault="0052098F" w:rsidP="0052098F">
      <w:pPr>
        <w:pStyle w:val="TextoNormal"/>
      </w:pPr>
      <w:r>
        <w:t>“159.1. El Tribunal Constitucional se compone de 12 miembros nombrados por el Rey; de ellos, cuatro a propuesta del Congreso por mayoría de tres quintos de sus miembros; cuatro a propuesta del Senado, con idéntica mayoría; dos a propuesta del Gobierno, y dos a propuesta del Consejo General del Poder Judicial.</w:t>
      </w:r>
    </w:p>
    <w:p w:rsidR="0052098F" w:rsidRDefault="0052098F" w:rsidP="0052098F">
      <w:pPr>
        <w:pStyle w:val="TextoNormal"/>
      </w:pPr>
      <w:r>
        <w:t>2. Los miembros del Tribunal Constitucional deberán ser nombrados entre Magistrados y Fiscales, Profesores de Universidad, funcionarios públicos y Abogados, todos ellos juristas de reconocida competencia con más de quince años de ejercicio profesional”.</w:t>
      </w:r>
    </w:p>
    <w:p w:rsidR="0052098F" w:rsidRDefault="0052098F" w:rsidP="0052098F">
      <w:pPr>
        <w:pStyle w:val="TextoNormal"/>
      </w:pPr>
      <w:r>
        <w:t>Y el segundo:</w:t>
      </w:r>
    </w:p>
    <w:p w:rsidR="0052098F" w:rsidRDefault="0052098F" w:rsidP="0052098F">
      <w:pPr>
        <w:pStyle w:val="TextoNormal"/>
      </w:pPr>
      <w:r>
        <w:t>“1. Los Magistrados del Tribunal Constitucional serán nombrados por el Rey, a propuesta de las Cámaras, del Gobierno y del Consejo General del Poder Judicial, en las condiciones que establece el artículo 159.1 de la Constitución.</w:t>
      </w:r>
    </w:p>
    <w:p w:rsidR="0052098F" w:rsidRDefault="0052098F" w:rsidP="0052098F">
      <w:pPr>
        <w:pStyle w:val="TextoNormal"/>
      </w:pPr>
      <w:r>
        <w:t>Los Magistrados propuestos por el Senado serán elegidos entre los candidatos presentados por las Asambleas legislativas de las Comunidades Autónomas en los términos que determine el Reglamento de la Cámara”.</w:t>
      </w:r>
    </w:p>
    <w:p w:rsidR="0052098F" w:rsidRDefault="0052098F" w:rsidP="0052098F">
      <w:pPr>
        <w:pStyle w:val="TextoNormal"/>
      </w:pPr>
      <w:r>
        <w:lastRenderedPageBreak/>
        <w:t>El contraste entre esos dos preceptos, según el sentido lógico de cada uno de ellos, pone en evidencia que mientras que el círculo de los elegibles, definido en el precepto constitucional con preposición “entre”, no tiene más límites que los que el propio precepto establece, el círculo de los elegibles según el precepto de la LOTC, definido con la misma preposición “entre”, se reduce con una acotación complementaria: “entre los candidatos presentados por las Asambleas legislativas de las Comunidades Autónomas en los términos que determine el Reglamento de la Cámara”.</w:t>
      </w:r>
    </w:p>
    <w:p w:rsidR="0052098F" w:rsidRDefault="0052098F" w:rsidP="0052098F">
      <w:pPr>
        <w:pStyle w:val="TextoNormal"/>
      </w:pPr>
      <w:r>
        <w:t>La amplia libertad del Senado para ejercer su facultad constitucional en todo el círculo definido en el art. 159.2 CE, se restringe desde un plano infraconstitucional por el condicionante complementario incluido en el precepto recurrido.</w:t>
      </w:r>
    </w:p>
    <w:p w:rsidR="0052098F" w:rsidRDefault="0052098F" w:rsidP="0052098F">
      <w:pPr>
        <w:pStyle w:val="TextoNormal"/>
      </w:pPr>
      <w:r>
        <w:t>Con arreglo a él el Senado no podrá elegir Magistrados para el Tribunal Constitucional que no hayan sido previamente propuestos por las Asambleas Legislativas de las Comunidades Autónomas. Con ello se atribuye a esas Asambleas una intervención condicionante en el proceso de selección de los Magistrados del Tribunal Constitucional en la parte que corresponde al Senado, que ni está prevista en lugar alguno de la Constitución, ni tiene encaje posible en la definición constitucional de las funciones de las Comunidades Autónomas reguladas en el título VIII CE (nada tiene que ver la atribución que nos ocupa con la organización territorial del Estado, que es el ámbito propio de las Comunidades Autónomas).</w:t>
      </w:r>
    </w:p>
    <w:p w:rsidR="0052098F" w:rsidRDefault="0052098F" w:rsidP="0052098F">
      <w:pPr>
        <w:pStyle w:val="TextoNormal"/>
      </w:pPr>
      <w:r>
        <w:t>En la medida en que se atribuye a las Asambleas Legislativas de las Comunidades Autónomas la facultad de condicionar el ejercicio de una competencia constitucional del Senado, como la atribuida en el art. 159.1 y 2 CE, en los términos expuestos, se produce un doble efecto distorsionador, constitucionalmente inaceptable: dar entrada por medio de un instrumento normativo inidóneo a las Asambleas Legislativas de las Comunidades Autónomas; y limitar correlativamente la competencia constitucionalmente atribuida al Senado; de ahí que, como se dijo al principio, la posición institucional del Senado queda negativamente afectada.</w:t>
      </w:r>
    </w:p>
    <w:p w:rsidR="0052098F" w:rsidRDefault="0052098F" w:rsidP="0052098F">
      <w:pPr>
        <w:pStyle w:val="TextoNormal"/>
      </w:pPr>
      <w:r>
        <w:t>3. Por lo que hace al apartado 3 del art. 16 LOTC, introducido por el apartado siete, artículo único de la Ley Orgánica 6/2007, de 24 de mayo, considero que salvo el inciso primero de dicho apartado, los dos restantes resultan contrarios a lo dispuesto en el art. 160 CE al introducir en las facultades del Pleno del Tribunal Constitucional para la elección de su Presidente condicionantes temporales no previstos en la Constitución, desapoderándole de optar por soluciones al respecto que ésta le deja abiertas.</w:t>
      </w:r>
    </w:p>
    <w:p w:rsidR="0052098F" w:rsidRDefault="0052098F" w:rsidP="0052098F">
      <w:pPr>
        <w:pStyle w:val="TextoNormal"/>
      </w:pPr>
      <w:r>
        <w:t>Aunque los recurrentes centren su crítica en el inciso tercero del apartado 3, creo que el hecho de que expresamente tanto en el encabezamiento como en el suplico de la demanda se aluda, sin mayores precisiones, al art. 16.3, nos permite extender nuestro examen a todo el precepto, lo que además viene potenciado por lo dispuesto en el art.  39.1 LOTC.</w:t>
      </w:r>
    </w:p>
    <w:p w:rsidR="0052098F" w:rsidRDefault="0052098F" w:rsidP="0052098F">
      <w:pPr>
        <w:pStyle w:val="TextoNormal"/>
      </w:pPr>
      <w:r>
        <w:t>A mi juicio los dos incisos (segundo y tercero) del apartado 3, recortan las facultades del Pleno, naturalmente derivadas de lo dispuesto en el art. 160 CE, en el que se define una competencia del Pleno, cuyos términos de ejercicio están cerrados a la disponibilidad del legislador infraconstitucional.</w:t>
      </w:r>
    </w:p>
    <w:p w:rsidR="0052098F" w:rsidRDefault="0052098F" w:rsidP="0052098F">
      <w:pPr>
        <w:pStyle w:val="TextoNormal"/>
      </w:pPr>
      <w:r>
        <w:t>El precepto cuestionado establece en primer lugar un condicionante temporal para la elección del Presidente, vinculándola a la renovación del Tribunal (“a partir de ese momento se producirá la elección del Presidente”) lo que priva al Pleno de su facultad constitucional de elección, si antes de la renovación cesa el Presidente en el ejercicio de su cargo en razón de vicisitudes varias (no sólo la extinción de su mandato, sino cualquiera de las causas de cese de los Magistrados previstas en el art. 23 LOTC, sin descartar la hipótesis extrema de la muerte).</w:t>
      </w:r>
    </w:p>
    <w:p w:rsidR="0052098F" w:rsidRDefault="0052098F" w:rsidP="0052098F">
      <w:pPr>
        <w:pStyle w:val="TextoNormal"/>
      </w:pPr>
      <w:r>
        <w:lastRenderedPageBreak/>
        <w:t>No creo que pueda ser interpretación adecuada de ese inciso la de que los eventos aludidos, producidos antes de la renovación, quedan fuera del supuesto del precepto, y, por tanto, en esos casos el Pleno puede elegir su Presidente.</w:t>
      </w:r>
    </w:p>
    <w:p w:rsidR="0052098F" w:rsidRDefault="0052098F" w:rsidP="0052098F">
      <w:pPr>
        <w:pStyle w:val="TextoNormal"/>
      </w:pPr>
      <w:r>
        <w:t>Interesa destacar que cuando el art. 160 CE se refiere al “Tribunal en pleno” lo está haciendo a un órgano constitucional, cuya identidad institucional será en cada momento la misma, independientemente de que sus integrantes puedan cambiar.</w:t>
      </w:r>
    </w:p>
    <w:p w:rsidR="0052098F" w:rsidRDefault="0052098F" w:rsidP="0052098F">
      <w:pPr>
        <w:pStyle w:val="TextoNormal"/>
      </w:pPr>
      <w:r>
        <w:t>En otros términos, la facultad constitucional del Tribunal en pleno, se atribuye a éste, sin que pueda sustituirse el sujeto de la misma por la individualidad de los magistrados que lo integran en cada momento. No hay nada en el art. 160 CE que permite ver en él una veda de que la elección del Presidente pueda anticiparse a la renovación por tercios, para evitar con tal veda que después de producida la renovación los nuevos Magistrados puedan encontrarse con un Presidente en cuya elección no han tenido oportunidad de participar.</w:t>
      </w:r>
    </w:p>
    <w:p w:rsidR="0052098F" w:rsidRDefault="0052098F" w:rsidP="0052098F">
      <w:pPr>
        <w:pStyle w:val="TextoNormal"/>
      </w:pPr>
      <w:r>
        <w:t>El que se dé o no esa hipótesis dependerá de las vicisitudes en la producción de la vacante de la presidencia y en definitiva de la opción adoptada en él por el Tribunal en pleno en cada oportunidad al ejercer la facultad que constitucionalmente tiene atribuida. Pero en todo caso es al Tribunal en Pleno, al que en cada caso le corresponde en plenitud elegir entre las opciones posibles, sin que su facultad constitucional de opción pueda ser recortada por norma infraconstitucional, en este caso por la LOTC.</w:t>
      </w:r>
    </w:p>
    <w:p w:rsidR="0052098F" w:rsidRDefault="0052098F" w:rsidP="0052098F">
      <w:pPr>
        <w:pStyle w:val="TextoNormal"/>
      </w:pPr>
      <w:r>
        <w:t>El inciso tercero, inmediatamente conectado con el anterior, consuma un recorte inaceptable, a mi juicio, de la facultad constitucional del Pleno, e impone por vía infraconstitucional una solución con la que, en el trance al que la norma se refiere, se priva al Pleno de la posibilidad de elegir a un Presidente distinto al que ha agotado su mandato, si es que éste hubiese dejado de merecer la confianza de sus pares, o incluso de elegir de nuevo a ese mismo magistrado como Presidente si es que la conservase y el Pleno considerase conveniente la reelección.</w:t>
      </w:r>
    </w:p>
    <w:p w:rsidR="0052098F" w:rsidRDefault="0052098F" w:rsidP="0052098F">
      <w:pPr>
        <w:pStyle w:val="TextoNormal"/>
      </w:pPr>
      <w:r>
        <w:t>La norma cuestionada, al acudir al expediente de la prórroga, creo que parte de la base subyacente de una cierta costumbre del Tribunal, según la cual se han venido eligiendo a sus sucesivos presidentes de entre los Magistrados del tercio más próximo a la renovación; y cuando se ha dado el caso que el precepto prevé, el Tribunal ha optado precisamente por la prórroga, dando por sentado que lo que el Tribunal ha repetido como costumbre puede serle impuesto por la LOTC.</w:t>
      </w:r>
    </w:p>
    <w:p w:rsidR="0052098F" w:rsidRDefault="0052098F" w:rsidP="0052098F">
      <w:pPr>
        <w:pStyle w:val="TextoNormal"/>
      </w:pPr>
      <w:r>
        <w:t>Una inteligencia tal no me parece admisible, porque la LOTC no puede suplantar al Pleno del Tribunal en las opciones de ejercicio de lo que es su facultad constitucional, imponiéndole una e impidiéndole otras.</w:t>
      </w:r>
    </w:p>
    <w:p w:rsidR="0052098F" w:rsidRDefault="0052098F" w:rsidP="0052098F">
      <w:pPr>
        <w:pStyle w:val="TextoNormal"/>
      </w:pPr>
      <w:r>
        <w:t>Si el Tribunal en el pasado optó por una solución, fue sobre la base de que, siendo el titular de la facultad constitucional, podía ejercerla como lo hizo; pero precisamente por ello el Tribunal en cualquier momento, si las circunstancias del caso así se lo aconsejasen, podía cambiar de opción.</w:t>
      </w:r>
    </w:p>
    <w:p w:rsidR="0052098F" w:rsidRDefault="0052098F" w:rsidP="0052098F">
      <w:pPr>
        <w:pStyle w:val="TextoNormal"/>
      </w:pPr>
      <w:r>
        <w:t>En rigor la opción de la prórroga por la que se decantó el Tribunal en el pasado, adolece de una cierta debilidad formal desde el prisma del art. 160 CE, y carece de una base legal precisa, si bien tal insuficiente formal es perfectamente evitable, pues nada impedía que, vencido el mandato del Presidente, el Pleno hubiera podido, no prorrogar el mandato, sino directamente elegirle, con base inequívoca en el art. 9.3 LOTC.</w:t>
      </w:r>
    </w:p>
    <w:p w:rsidR="0052098F" w:rsidRDefault="0052098F" w:rsidP="0052098F">
      <w:pPr>
        <w:pStyle w:val="TextoNormal"/>
      </w:pPr>
      <w:r>
        <w:t>Como podía haber elegido a Magistrados de tercios de renovación más lejanos que el de la inmediata, respecto de los que la previsión de la duración de su mandato como Magistrados, pudiera tener una repercusión diferente en la previsión de la duración de su mandato como Presidente.</w:t>
      </w:r>
    </w:p>
    <w:p w:rsidR="0052098F" w:rsidRDefault="0052098F" w:rsidP="0052098F">
      <w:pPr>
        <w:pStyle w:val="TextoNormal"/>
      </w:pPr>
      <w:r>
        <w:lastRenderedPageBreak/>
        <w:t>En otro orden de consideraciones, no me parece constitucionalmente defendible una norma, como la que nos ocupa, cuyo supuesto base de partida es el incumplimiento del deber que les incumbe a los órganos constitucionales que tiene atribuida la competencia de elegir a los Magistrados del Tribunal Constitucional, al no hacerlo en los plazos legalmente establecidos. Una norma tal, lejos de ser la solución de los efectos de esos incumplimientos, es una vía abierta para provocarlos, dando a las fuerzas políticas implicadas en los órganos constitucionales titulares de la facultad de elección la posibilidad de manipular el funcionamiento del Tribunal, al imponerle de hecho la prórroga del mandato de un Presidente que tal vez, vencido su mandato, hubiera perdido la confianza de sus pares, estando éstos dispuestos a elegir otro.</w:t>
      </w:r>
    </w:p>
    <w:p w:rsidR="0052098F" w:rsidRDefault="0052098F" w:rsidP="0052098F">
      <w:pPr>
        <w:pStyle w:val="TextoNormal"/>
      </w:pPr>
      <w:r>
        <w:t>Agrava la inconstitucionalidad de la norma el hecho de que no se haya previsto una dilación transitoria de su aplicación, de modo que no fuese aplicable a la presidencia en curso.</w:t>
      </w:r>
    </w:p>
    <w:p w:rsidR="0052098F" w:rsidRDefault="0052098F" w:rsidP="0052098F">
      <w:pPr>
        <w:pStyle w:val="TextoNormal"/>
      </w:pPr>
      <w:r>
        <w:t>De haberlo hecho así, en la tesitura de elección de un nuevo Presidente el Pleno del Tribunal ya hubiera podido incluir la posible dimensión temporal del mandato como una de las posibles claves para la elección.</w:t>
      </w:r>
    </w:p>
    <w:p w:rsidR="0052098F" w:rsidRDefault="0052098F" w:rsidP="0052098F">
      <w:pPr>
        <w:pStyle w:val="TextoNormal"/>
      </w:pPr>
      <w:r>
        <w:t>Al no salvar de lo dispuesto en la norma a la presidencia en curso, sencillamente al Pleno se le ha impuesto por la Ley una dimensión temporal del mandato, que no puedo valorar cuando procedió a la elección.</w:t>
      </w:r>
    </w:p>
    <w:p w:rsidR="0052098F" w:rsidRDefault="0052098F" w:rsidP="0052098F">
      <w:pPr>
        <w:pStyle w:val="TextoNormal"/>
      </w:pPr>
      <w:r>
        <w:t>Visto así, y así lo veo, me parece que la norma que nos ocupa supone una intromisión inaceptable del legislador en la función del Tribunal definida en el art. 160 CE, incompatible con dicho precepto.  El resultado de esa intromisión es que la legitimidad de la situación de la Presidenta actual en su función de tal no descansa ya en la libre opción de sus pares (con la que estoy seguro que hubiera contado, por lo menos en los que incumbe al Magistrado que suscribe, como mis compañeros me han oído decir reiteradamente), sino en una decisión del legislador, lo que desde la posición constitucional de este Tribunal me parece muy especialmente preocupante.</w:t>
      </w:r>
    </w:p>
    <w:p w:rsidR="0052098F" w:rsidRDefault="0052098F" w:rsidP="0052098F">
      <w:pPr>
        <w:pStyle w:val="TextoNormal"/>
      </w:pPr>
      <w:r>
        <w:t>4. Por amplia que sea mi disposición a atender, y entender, los argumentos de mis compañeros, mi esfuerzo de comprensión resulta impotente en este caso para poder aceptar el criterio de la mayoría, soporte de la Sentencia.</w:t>
      </w:r>
    </w:p>
    <w:p w:rsidR="0052098F" w:rsidRDefault="0052098F" w:rsidP="0052098F">
      <w:pPr>
        <w:pStyle w:val="TextoNormal"/>
      </w:pPr>
      <w:r>
        <w:t>En lo que se refiere al art. 16.3 (FFJJ 6 a 17 inclusive), toda la afanosa argumentación de los mismos desenfoca, a mi juicio, el centro de la cuestión, y, siempre con proclamado respeto al parecer que no comparto, me parece que adolece de falta de rigor jurídico.</w:t>
      </w:r>
    </w:p>
    <w:p w:rsidR="0052098F" w:rsidRDefault="0052098F" w:rsidP="0052098F">
      <w:pPr>
        <w:pStyle w:val="TextoNormal"/>
      </w:pPr>
      <w:r>
        <w:t>En el discurso de la Sentencia en los fundamentos referidos son discernibles tres líneas argumentales: a) que no reproduce desapoderamiento de las facultades del Senado por la amplitud de la remisión del precepto impugnado a su Reglamento (FFJJ 8 a 10 incl.); b) que la novedosa intervención de las Asambleas Legislativas de las Comunidades Autónomas en el proceso de selección por el Senado de los magistrados del Tribunal Constitucional no está constitucionalmente prohibida, y tiene un fundamento constitucionalmente legítimo, dado el carácter de dicho órgano constitucional como cámara de representación territorial; y c) que la única fuente constitucionalmente idónea para regular la participación de las Comunidades Autónomas que aquí se discute es precisamente la LOTC y no el Reglamento del Senado.</w:t>
      </w:r>
    </w:p>
    <w:p w:rsidR="0052098F" w:rsidRDefault="0052098F" w:rsidP="0052098F">
      <w:pPr>
        <w:pStyle w:val="TextoNormal"/>
      </w:pPr>
      <w:r>
        <w:t>5. La primera de las líneas discursivas creo que difumina el centro de gravedad de la cuestión, entreteniéndose innecesariamente en lo que el precepto constitucional no dice, y por ello precisa de una regulación infraconstitucional, nada problemática, y eludiendo, por el contrario, enfrentarse con el verdadero problema planteado por lo que el precepto dice (con lo que se distorsiona el sentido normativo del mismo, vaciándolo al fin del que provoca su problematismo constitucional).</w:t>
      </w:r>
    </w:p>
    <w:p w:rsidR="0052098F" w:rsidRDefault="0052098F" w:rsidP="0052098F">
      <w:pPr>
        <w:pStyle w:val="TextoNormal"/>
      </w:pPr>
      <w:r>
        <w:lastRenderedPageBreak/>
        <w:t>En tal sentido me parece insostenible la siguiente afirmación contenida en el fundamento jurídico 9, párrafo tercero:</w:t>
      </w:r>
    </w:p>
    <w:p w:rsidR="0052098F" w:rsidRDefault="0052098F" w:rsidP="0052098F">
      <w:pPr>
        <w:pStyle w:val="TextoNormal"/>
      </w:pPr>
      <w:r>
        <w:t>“la expresión ‘entre los candidatos’ no tiene, pues, que ser interpretada necesariamente en un sentido que excluya cualquier posible margen de maniobra por parte del Senado. Por un lado, porque incluso en el caso de ser interpretada en el sentido más estricto presupone necesariamente la existencia de diversos candidatos y, por lo tanto, una posibilidad de elegir a unos y descartar a otros. Y por otro, porque los términos en que está redactada la remisión al Reglamento parlamentario no puede cerrar las puertas a que el propio Senado pueda velar por el ejercicio constitucionalmente correcto de su función si, por ejemplo, el número de candidatos presentados es insuficiente, si considera que los candidatos propuestos no cumplen los requisitos exigidos constitucionalmente, o si la elección de algunos de los Magistrados se frustra por no alcanzarse la mayoría requerida”.</w:t>
      </w:r>
    </w:p>
    <w:p w:rsidR="0052098F" w:rsidRDefault="0052098F" w:rsidP="0052098F">
      <w:pPr>
        <w:pStyle w:val="TextoNormal"/>
      </w:pPr>
      <w:r>
        <w:t>En cuanto al argumento de que el precepto no “excluya cualquier posible margen de maniobra por parte del Senado”, porque se presupone “la existencia de diversos candidatos, y por lo tanto, una posibilidad de elegir a unos y descartar a otros”, en un juicio benévolo del mismo, no creo que sea respuesta válida al reproche de que la libertad de elección del Senado se restringe a los márgenes de un círculo mucho más reducido que el que resulta del art. 159.2 CE.</w:t>
      </w:r>
    </w:p>
    <w:p w:rsidR="0052098F" w:rsidRDefault="0052098F" w:rsidP="0052098F">
      <w:pPr>
        <w:pStyle w:val="TextoNormal"/>
      </w:pPr>
      <w:r>
        <w:t>En cuanto a que la remisión al Reglamento parlamentario “no puede cerrar las puertas… etc.”, tampoco me parece respuesta aceptable. De lo que se está tratando precisamente es de sí las cierra; y si no puede cerrarlas, y las cierra, como pienso que hace, restringiendo en términos intolerables la competencia que la Constitución atribuye al Senado, la afirmación de que no se puede cerrar no puede ser clave conceptual para la interpretación conforme del precepto cuestionado, sino que precisamente debe serlo para la declaración de su inconstitucionalidad. A menos, naturalmente, que al precepto se la haga decir lo que en rigor no dice, vaciándolo de su sentido normativo, que es lo que a mi juicio hace la Sentencia.</w:t>
      </w:r>
    </w:p>
    <w:p w:rsidR="0052098F" w:rsidRDefault="0052098F" w:rsidP="0052098F">
      <w:pPr>
        <w:pStyle w:val="TextoNormal"/>
      </w:pPr>
      <w:r>
        <w:t>Tal y como yo interpreto dicho sentido, por muy amplios que sean los términos de remisión al Reglamento del Senado, no veo admisible una interpretación de dichos términos como la que se propone en la Sentencia. Tal interpretación en realidad supone abrir la posibilidad de que “los Magistrados propuestos por el Senado [no sólo podrán ser] … elegidos entre los candidatos propuestos entre los candidatos presentados por las Asambleas Legislativas de las Comunidades Autónoma”, sino también “entre … candidatos [no] presentados” por ellas. La incompatibilidad lógica entre ambas proposiciones normativas hipotéticas me parece tan incontrovertible que, si el Reglamento aludido llegara a articular una regulación como la que abre la Sentencia, no dudaría en afirmar que en tal caso no se trataría de que el Reglamento utilizase “cualquier posible margen de maniobra por parte del Senado” (por acogerme a la expresión del texto de la Sentencia), sino que se incurriría en un censurable maniobrerismo, incompatible con el respeto del precepto de la LOTC que nos ocupa.</w:t>
      </w:r>
    </w:p>
    <w:p w:rsidR="0052098F" w:rsidRDefault="0052098F" w:rsidP="0052098F">
      <w:pPr>
        <w:pStyle w:val="TextoNormal"/>
      </w:pPr>
      <w:r>
        <w:t>Por lo demás, la utilización de los ejemplos hipotéticos a que el pasaje de la Sentencia antes transcrito se refiere no me resulta dialécticamente afortunada. No creo que sea recurso adecuado el de oponer al juicio sobre el núcleo problemático de un precepto, en su sentido natural y directo, el de posible eventualidades patológicas de su aplicación (las referidas en los ejemplos). El argumento así construido casi supone una fuga del problema.</w:t>
      </w:r>
    </w:p>
    <w:p w:rsidR="0052098F" w:rsidRDefault="0052098F" w:rsidP="0052098F">
      <w:pPr>
        <w:pStyle w:val="TextoNormal"/>
      </w:pPr>
      <w:r>
        <w:t>La alusión a si “el número de candidatos presentados es insuficiente”, aparte de sumamente improbable, no deja de ser una situación patológica inidónea, como acabo de decir, para desde ella sustentar un juicio de constitucionalidad de lo que el precepto legal cuestionado dice.</w:t>
      </w:r>
    </w:p>
    <w:p w:rsidR="0052098F" w:rsidRDefault="0052098F" w:rsidP="0052098F">
      <w:pPr>
        <w:pStyle w:val="TextoNormal"/>
      </w:pPr>
      <w:r>
        <w:lastRenderedPageBreak/>
        <w:t>La de que el Senado pueda considerar “que los candidatos propuestos no cumplen los requisitos exigidos constitucionalmente” me resulta preocupantemente equívoca.</w:t>
      </w:r>
    </w:p>
    <w:p w:rsidR="0052098F" w:rsidRDefault="0052098F" w:rsidP="0052098F">
      <w:pPr>
        <w:pStyle w:val="TextoNormal"/>
      </w:pPr>
      <w:r>
        <w:t>Si en ella se encierra, no ya una facultad de constatación de que las propuestas cumplan los requisitos exigidos por el art. 159.2 CE (v.gr., si el propuesto no fuera jurista, o el tiempo de ejercicio de su profesión fuese inferior al exigido en el precepto constitucional), o la lógica facultad de ponderar la idoneidad de los propuestos, aceptando la de unos y rechazando la de otros; sino la posibilidad de considerar que ninguno de los propuestos fuera idóneo, y por ello, rechazando a todos los propuestos, pueda pasar a elegir candidatos que no lo han sido, eso supone, a mi juicio, el puro desconocimiento de lo que el precepto impugnado ordena.</w:t>
      </w:r>
    </w:p>
    <w:p w:rsidR="0052098F" w:rsidRDefault="0052098F" w:rsidP="0052098F">
      <w:pPr>
        <w:pStyle w:val="TextoNormal"/>
      </w:pPr>
      <w:r>
        <w:t>Por último, la alusión a si “la elección de alguno de los Magistrados propuestos se frustra por no alcanzar la mayoría requerida”, creo que no es sino un modo de formular la posibilidad de que el Senado considere inidóneos a todos los propuestos por las Asambleas Legislativas de las Comunidades Autónomas, y que ante ello se autoexonere de elegir entre los propuestos por aquéllas, que es lo que dice el precepto.</w:t>
      </w:r>
    </w:p>
    <w:p w:rsidR="0052098F" w:rsidRDefault="0052098F" w:rsidP="0052098F">
      <w:pPr>
        <w:pStyle w:val="TextoNormal"/>
      </w:pPr>
      <w:r>
        <w:t>La artificiosidad de los argumentos del pasaje referida se consuma (y refuerza) en forma conclusiva en el párrafo final del fundamento jurídico 14, en el que se dice:</w:t>
      </w:r>
    </w:p>
    <w:p w:rsidR="0052098F" w:rsidRDefault="0052098F" w:rsidP="0052098F">
      <w:pPr>
        <w:pStyle w:val="TextoNormal"/>
      </w:pPr>
      <w:r>
        <w:t>“De lo expuesto cabe deducir, entre otros extremos, que el tenor literal del art. 16.1 LOTC permite que el Reglamento del Senado pueda, entre otras fórmulas, prever, incluso, mecanismos que hagan posible que sea la propia Cámara la que proponga candidatos a Magistrados del Tribunal Constitucional en el supuesto excepcional de que el sistema de elección de dichos Magistrados previsto con carácter general no culmine con esta elección, garantizando así que la Cámara Alta cumpla con su obligación constitucional”.</w:t>
      </w:r>
    </w:p>
    <w:p w:rsidR="0052098F" w:rsidRDefault="0052098F" w:rsidP="0052098F">
      <w:pPr>
        <w:pStyle w:val="TextoNormal"/>
      </w:pPr>
      <w:r>
        <w:t>En modo alguno me resulta mínimamente convincente la afirmación de que “el tenor literal del art.  16.1 LOTC permite que el Reglamento del Senado” pueda prever lo que en el párrafo transcrito se dice que puede hacer. En todo caso, acudir al “supuesto excepcional” para salvar la constitucionalidad del supuesto normal, no me parece que se ajuste a las pautas metodológicas de un correcto discurso jurídico.</w:t>
      </w:r>
    </w:p>
    <w:p w:rsidR="0052098F" w:rsidRDefault="0052098F" w:rsidP="0052098F">
      <w:pPr>
        <w:pStyle w:val="TextoNormal"/>
      </w:pPr>
      <w:r>
        <w:t>Ese hipotético supuesto excepcional sólo es imaginable bien en el caso altamente improbable, como ya dije, de que las Asambleas Legislativas de las Comunidades Autónomas no propongan candidatos que cumplan los requisitos del art. 159.2 CE, (lo que entra en lo patológico), bien en el de que el Senado considere que entre los propuestos no se llega al número de cuatro candidatos idóneos, y por tanto se arrogue la facultad de desvincularse del límite de las propuestas, lo que supone negar la preceptividad de la norma recurrida.</w:t>
      </w:r>
    </w:p>
    <w:p w:rsidR="0052098F" w:rsidRDefault="0052098F" w:rsidP="0052098F">
      <w:pPr>
        <w:pStyle w:val="TextoNormal"/>
      </w:pPr>
      <w:r>
        <w:t>En el fondo el discurso que comento, sin llegar a proponer con franqueza que las propuestas de candidatos por las Asambleas Legislativas de las Comunidades Autónomas no cierran el círculo de los juristas elegibles por el Senado (que creo que es lo que el precepto recurrido inequívocamente dice, limitándose la remisión al Reglamento de la Cámara —“en los términos que determine el Reglamento de la Cámara”— a la dinámica de la elección —no regulada ciertamente ni en la CE ni en la LOTC modificada—, y no a la selección de los elegibles) deja abierta esa posibilidad en términos sumamente equívocos, difícilmente conciliables además, por su equivocidad, con el principio de seguridad jurídica (art. 9.3 CE).</w:t>
      </w:r>
    </w:p>
    <w:p w:rsidR="0052098F" w:rsidRDefault="0052098F" w:rsidP="0052098F">
      <w:pPr>
        <w:pStyle w:val="TextoNormal"/>
      </w:pPr>
      <w:r>
        <w:t>En realidad lo que se hace es salvar la constitucionalidad del precepto impugnado, a base de difuminar el sentido claro de lo que dice, convirtiéndolo en la interpretación de la Sentencia en un precepto distinto, irreconocible en su prístino sentido.</w:t>
      </w:r>
    </w:p>
    <w:p w:rsidR="0052098F" w:rsidRDefault="0052098F" w:rsidP="0052098F">
      <w:pPr>
        <w:pStyle w:val="TextoNormal"/>
      </w:pPr>
      <w:r>
        <w:t>La interpretación conforme (que ni siquiera en este caso se propone con aceptable claridad) tiene sus límites, que creo que aquí no se han respetado.</w:t>
      </w:r>
    </w:p>
    <w:p w:rsidR="0052098F" w:rsidRDefault="0052098F" w:rsidP="0052098F">
      <w:pPr>
        <w:pStyle w:val="TextoNormal"/>
      </w:pPr>
      <w:r>
        <w:lastRenderedPageBreak/>
        <w:t>6. La segunda de las líneas discursivas antes referida (contenida en los FFJJ 11 a 14 inclusive) me resulta igualmente artificiosa y falta de rigor.</w:t>
      </w:r>
    </w:p>
    <w:p w:rsidR="0052098F" w:rsidRDefault="0052098F" w:rsidP="0052098F">
      <w:pPr>
        <w:pStyle w:val="TextoNormal"/>
      </w:pPr>
      <w:r>
        <w:t>Proclamar (FJ 12) que “ningún precepto constitucional impide expresamente, en efecto que las Asambleas de las Comunidades Autónomas puedan intervenir en la elección de los Magistrados del Tribunal Constitucional presentando candidatos al Senado”, no me resulta argumento de recibo, cuando esa intervención, que se dice no prohibida, no la dispone el órgano constitucional al que se le atribuye la competencia para la elección, sino que se le impone por una norma exógena a él, con la que se restringe la plenitud de la competencia que tiene atribuida por la Constitución, limitándola por la facultad atribuida a las Comunidades Autónomas.</w:t>
      </w:r>
    </w:p>
    <w:p w:rsidR="0052098F" w:rsidRDefault="0052098F" w:rsidP="0052098F">
      <w:pPr>
        <w:pStyle w:val="TextoNormal"/>
      </w:pPr>
      <w:r>
        <w:t>En la misma línea crítica, afirmar que (FJ 13) la intervención cuestionada es “legítima desde una perspectiva constitucional” sobre la base “de la definición constitucional del Senado como Cámara de representación territorial (art. 69 CE)”, no me resulta planteamiento jurídico mínimamente consistente.</w:t>
      </w:r>
    </w:p>
    <w:p w:rsidR="0052098F" w:rsidRDefault="0052098F" w:rsidP="0052098F">
      <w:pPr>
        <w:pStyle w:val="TextoNormal"/>
      </w:pPr>
      <w:r>
        <w:t>Creo que el carácter que la Constitución atribuye a esa Cámara no es razón válida para justificar que desde una norma externa a la que según el art. 72.1 CE debe regir el ejercicio de las competencias que le corresponde: el Reglamento de la Cámara, se pueda dar participación en la dinámica de su ejercicio a órganos estatutarios de los territorios representados en la Cámara.</w:t>
      </w:r>
    </w:p>
    <w:p w:rsidR="0052098F" w:rsidRDefault="0052098F" w:rsidP="0052098F">
      <w:pPr>
        <w:pStyle w:val="TextoNormal"/>
      </w:pPr>
      <w:r>
        <w:t>Me parece que con ese modo de razonar se introduce un confusionismo inconveniente entre las funciones del órgano constitucional del Estado que es el Senado, y las que puedan ejercer los de las Comunidades Autónomas representadas en aquel órgano constitucional.</w:t>
      </w:r>
    </w:p>
    <w:p w:rsidR="0052098F" w:rsidRDefault="0052098F" w:rsidP="0052098F">
      <w:pPr>
        <w:pStyle w:val="TextoNormal"/>
      </w:pPr>
      <w:r>
        <w:t>Incluso me resulta paradójico en este caso el argumento con el que se razona el alcance de carácter de Cámara de representación territorial del Senado en cuanto cauce de posible participación de las Comunidades Autónomas en la concreta competencia del mismo relativa a la elección de Magistrados del Tribunal Constitucional.</w:t>
      </w:r>
    </w:p>
    <w:p w:rsidR="0052098F" w:rsidRDefault="0052098F" w:rsidP="0052098F">
      <w:pPr>
        <w:pStyle w:val="TextoNormal"/>
      </w:pPr>
      <w:r>
        <w:t>Se dice en el fundamento jurídico 13, y me resulta incuestionable, que “la propia decisión constitucional de atribuir la elección de cuatro Magistrados a la Cámara de representación territorial y de hacerlo, como se ha señalado anteriormente, en los mismos términos que el Congreso de los Diputados, ya denota una voluntad constitucional inequívoca de integrar la estructura territorial del Estado en la composición del Tribunal Constitucional”. Pero no alcanzo a comprender cómo pueda decirse que la facultad constitucionalmente atribuida al Senado lo es “en los mismos términos” que la atribuida al Congreso de los Diputados, si a la postre al Senado se le condiciona el ejercicio de su facultad constitucional en términos que no se dan respecto de los demás órganos constitucionales (Consejo General del Poder Judicial y Gobierno).</w:t>
      </w:r>
    </w:p>
    <w:p w:rsidR="0052098F" w:rsidRDefault="0052098F" w:rsidP="0052098F">
      <w:pPr>
        <w:pStyle w:val="TextoNormal"/>
      </w:pPr>
      <w:r>
        <w:t>Creo que adolece de falta de coherencia lógica un argumento que utiliza como soporte la identidad de los términos de la facultad atribuida a ambas Cámaras de las Cortes Generales, y que desemboca en la justificación de una diferencia entre ellas respecto del círculo de los juristas en el que cada una de las mismas puede moverse a la hora de ejercer su facultad de elección.</w:t>
      </w:r>
    </w:p>
    <w:p w:rsidR="0052098F" w:rsidRDefault="0052098F" w:rsidP="0052098F">
      <w:pPr>
        <w:pStyle w:val="TextoNormal"/>
      </w:pPr>
      <w:r>
        <w:t>La fórmula adoptada por el constituyente para “integrar la estructura territorial del Estado en la composición del Tribunal Constitucional” a través de la Cámara de representación territorial, que es el Senado, creo que se altera sustancialmente, cuando a esa Cámara, desde una norma externa a ella, se le condiciona el ejerció de su facultad constitucional, impidiéndole, con recortes no establecidos en la Constitución, que la elección de Magistrados puede realizarla entre todos los incluidos en el extenso círculo de juristas que define el art. 159.2 CE.</w:t>
      </w:r>
    </w:p>
    <w:p w:rsidR="0052098F" w:rsidRDefault="0052098F" w:rsidP="0052098F">
      <w:pPr>
        <w:pStyle w:val="TextoNormal"/>
      </w:pPr>
      <w:r>
        <w:lastRenderedPageBreak/>
        <w:t>Me resulta equívoca la afirmación del párrafo final del fundamento jurídico 13 de que “de la interpretación conjunta de los arts. 69 y 159.1 CE puede derivarse, en efecto, un principio de participación autonómica en la composición del Tribunal susceptible de ser desarrollado de diversos modos”.</w:t>
      </w:r>
    </w:p>
    <w:p w:rsidR="0052098F" w:rsidRDefault="0052098F" w:rsidP="0052098F">
      <w:pPr>
        <w:pStyle w:val="TextoNormal"/>
      </w:pPr>
      <w:r>
        <w:t>El equívoco resulta, a mi juicio, del uso de la expresión “participación autonómica”, cuando el art.  159.1 CE no utiliza esa expresión sino que se refiere al Senado con absoluta precisión. No hay, pues, tal “participación autonómica”, sino participación del Senado. Y es a través de él como, en su caso, puede sostenerse que exista una “participación autonómica”.</w:t>
      </w:r>
    </w:p>
    <w:p w:rsidR="0052098F" w:rsidRDefault="0052098F" w:rsidP="0052098F">
      <w:pPr>
        <w:pStyle w:val="TextoNormal"/>
      </w:pPr>
      <w:r>
        <w:t>Con todo, a la hora de regular el ejercicio por el Senado de la facultad a él atribuida por la Constitución (que, según se dice en el FJ 7.b, puede diferenciarse del correspondiente a la idéntica facultad del Congreso, pues ese modo “puede estar influido por las propias características constitucionales de cada Cámara”) la cuestión es la de cuál pueda ser, en su caso, la norma en la que se regulen esas posibles diferencias, lo que nos lleva a la otra línea argumental, de las que acoté en el apartado 4 de este Voto, y que analizaré después.</w:t>
      </w:r>
    </w:p>
    <w:p w:rsidR="0052098F" w:rsidRDefault="0052098F" w:rsidP="0052098F">
      <w:pPr>
        <w:pStyle w:val="TextoNormal"/>
      </w:pPr>
      <w:r>
        <w:t>Sin responder previamente a esa cuestión resulta, a mi juicio, precipitada la afirmación del texto de la Sentencia (FJ 13, párrafo final) de que “lo que interesa destacar a los efectos de nuestro enjuiciamiento es que la participación de las Comunidades Autónomas en dicha elección constituye una finalidad que puede perseguirse legítimamente en nuestro sistema constitucional”. Podrá “perseguirse legítimamente”, si se hace por medio del instrumento normativo idóneo; pero no en caso contrario, que es lo que, a mi juicio, acontece en este caso.</w:t>
      </w:r>
    </w:p>
    <w:p w:rsidR="0052098F" w:rsidRDefault="0052098F" w:rsidP="0052098F">
      <w:pPr>
        <w:pStyle w:val="TextoNormal"/>
      </w:pPr>
      <w:r>
        <w:t>Para agotar el análisis de la línea discursiva de la que me vengo ocupando, me parece que no es correcto el argumento del fundamento jurídico 14, de que “el desarrollo de dicho principio participativo que lleva a cabo la regulación impugnada tampoco puede ser calificada de inconstitucional por su intensidad y resultado, puesto que, como se ha visto, no conlleva necesariamente ningún desapoderamiento de la Cámara Alta respecto de su facultad constitucional de elegir a los Magistrados que le corresponde”. Pues aunque no se le desapodere al Senado de la facultad de elegir, sí se le desapodera, como reiteradamente he razonado, de la posibilidad de hacerlo entre el amplio círculo de elegibles que el art. 159.2 CE define, restringiéndose ese círculo por la norma impugnada, que resulta absolutamente condicionante de una facultad del Senado, no condicionada, ni mucho menos, en esos términos por el referido precepto constitucional.</w:t>
      </w:r>
    </w:p>
    <w:p w:rsidR="0052098F" w:rsidRDefault="0052098F" w:rsidP="0052098F">
      <w:pPr>
        <w:pStyle w:val="TextoNormal"/>
      </w:pPr>
      <w:r>
        <w:t>Negar que en este caso se produzca el desapoderamiento criticado, es algo que me resulta de todo punto imposible aceptar.</w:t>
      </w:r>
    </w:p>
    <w:p w:rsidR="0052098F" w:rsidRDefault="0052098F" w:rsidP="0052098F">
      <w:pPr>
        <w:pStyle w:val="TextoNormal"/>
      </w:pPr>
      <w:r>
        <w:t>7. Por lo que hace a la tercera de las líneas argumentales, contenida en el fundamento jurídico 16, no veo que la misma pueda desvirtuar lo que sobre el sistema de las fuentes he dejado expuesto en el apartado 1 de este Voto.</w:t>
      </w:r>
    </w:p>
    <w:p w:rsidR="0052098F" w:rsidRDefault="0052098F" w:rsidP="0052098F">
      <w:pPr>
        <w:pStyle w:val="TextoNormal"/>
      </w:pPr>
      <w:r>
        <w:t>No creo que sea argumento riguroso el de la afirmación de que “la amplitud de las materias aludidas” en el art. 165 CE, “su posición de cierre del título IX, y el hecho de proyectarse sobre un órgano como el Tribunal Constitucional le otorgan una vocación de complitud que debe llevarnos a rechazar una interpretación restrictiva de tales materias”.</w:t>
      </w:r>
    </w:p>
    <w:p w:rsidR="0052098F" w:rsidRDefault="0052098F" w:rsidP="0052098F">
      <w:pPr>
        <w:pStyle w:val="TextoNormal"/>
      </w:pPr>
      <w:r>
        <w:t>No es, a mi juicio, en modo alguno interpretación restrictiva el rechazar la inclusión entre las materias a que se refiere el art. 165 CE de una no incluida en él: la composición del Tribunal, y el ejercicio de las facultades de los órganos constitucionales a los que se les atribuye la competencia al respecto. Por el contrario, la inclusión de ese contenido supone una interpretación desorbitada, incompatible, a mi modo de ver, con el sentido de lo que es una reserva constitucional.</w:t>
      </w:r>
    </w:p>
    <w:p w:rsidR="0052098F" w:rsidRDefault="0052098F" w:rsidP="0052098F">
      <w:pPr>
        <w:pStyle w:val="TextoNormal"/>
      </w:pPr>
      <w:r>
        <w:lastRenderedPageBreak/>
        <w:t>Que la “posición de cierre del título IX, y el hecho de proyectarse sobre un órgano como el Tribunal Constitucional le otorgan [al art. 165 CE] una vocación de complitud”, me parece pura retórica voluntarista.</w:t>
      </w:r>
    </w:p>
    <w:p w:rsidR="0052098F" w:rsidRDefault="0052098F" w:rsidP="0052098F">
      <w:pPr>
        <w:pStyle w:val="TextoNormal"/>
      </w:pPr>
      <w:r>
        <w:t>Apreciación crítica que también me merece la afirmación de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w:t>
      </w:r>
    </w:p>
    <w:p w:rsidR="0052098F" w:rsidRDefault="0052098F" w:rsidP="0052098F">
      <w:pPr>
        <w:pStyle w:val="TextoNormal"/>
      </w:pPr>
      <w:r>
        <w:t>En los contenidos de la Constitución directamente establecidos por ella (como es el caso de la composición del Tribunal Constitucional, de las facultades de los órganos a los que se atribuye la competencia para el nombramiento de sus Magistrados, y de la definición de los candidatos elegibles) se trata de materias cerradas a la disponibilidad del legislador y por tanto de un ámbito en que no cabe desarrollo legal alguno por la LOTC.</w:t>
      </w:r>
    </w:p>
    <w:p w:rsidR="0052098F" w:rsidRDefault="0052098F" w:rsidP="0052098F">
      <w:pPr>
        <w:pStyle w:val="TextoNormal"/>
      </w:pPr>
      <w:r>
        <w:t>El rechazo de que el Reglamento del Senado sea instrumento normativo idóneo para la regulación de la participación de las Comunidades Autónomas mediante propuestas al Senado porque “en la medida en que dicha participación excede de la esfera interna del Senado y precisa el concurso de los Parlamentos autonómicos”, me parece argumento difícilmente conciliable con el que antes ha justificado esa participación por el carácter de Cámara de representación territorial del Senado.</w:t>
      </w:r>
    </w:p>
    <w:p w:rsidR="0052098F" w:rsidRDefault="0052098F" w:rsidP="0052098F">
      <w:pPr>
        <w:pStyle w:val="TextoNormal"/>
      </w:pPr>
      <w:r>
        <w:t>Si el carácter de Cámara de representación territorial del Senado, según se sostiene en el texto de la Sentencia, vale para incluir en su función la participación autonómica que nos ocupa, no veo lógica coherencia en la negación de que el Reglamento de esa Cámara pueda regular una función que previamente se ha insertado en el propio carácter de la misma.</w:t>
      </w:r>
    </w:p>
    <w:p w:rsidR="0052098F" w:rsidRDefault="0052098F" w:rsidP="0052098F">
      <w:pPr>
        <w:pStyle w:val="TextoNormal"/>
      </w:pPr>
      <w:r>
        <w:t>La idea de “esfera interna del Senado” no creo que pueda manejarse como se hace en el argumento de la Sentencia.</w:t>
      </w:r>
    </w:p>
    <w:p w:rsidR="0052098F" w:rsidRDefault="0052098F" w:rsidP="0052098F">
      <w:pPr>
        <w:pStyle w:val="TextoNormal"/>
      </w:pPr>
      <w:r>
        <w:t>Contrariamente a lo que se dice en el texto comentado, creo que es precisamente el Reglamento del Senado, y no la LOTC, la norma que puede regular la discutida participación autonómica, y ello según los términos en que lo haga.</w:t>
      </w:r>
    </w:p>
    <w:p w:rsidR="0052098F" w:rsidRDefault="0052098F" w:rsidP="0052098F">
      <w:pPr>
        <w:pStyle w:val="TextoNormal"/>
      </w:pPr>
      <w:r>
        <w:t>8. Expuesta antes mi propia visión del caso, respecto al art. 16.3 reformado de la LOTC, es explicable que no pueda compartir la argumentación que respecto a él se contiene en los fundamentos jurídicos 18 a 21 inclusive de la Sentencia.</w:t>
      </w:r>
    </w:p>
    <w:p w:rsidR="0052098F" w:rsidRDefault="0052098F" w:rsidP="0052098F">
      <w:pPr>
        <w:pStyle w:val="TextoNormal"/>
      </w:pPr>
      <w:r>
        <w:t>Creo que la misma descansa en una doble clave que considero artificiosa en grado sumo: a) que en el modelo constitucional del Tribunal existe implícita una vinculación de la elección del Presidente con la renovación del Tribunal; b) que duración y prórroga del mandato son conceptos distintos, operando la prórroga precisamente como instrumento constitucionalmente idóneo para asegurar aquel modelo.</w:t>
      </w:r>
    </w:p>
    <w:p w:rsidR="0052098F" w:rsidRDefault="0052098F" w:rsidP="0052098F">
      <w:pPr>
        <w:pStyle w:val="TextoNormal"/>
      </w:pPr>
      <w:r>
        <w:t>Ninguna de esas dos proposiciones me parecen convincentes.</w:t>
      </w:r>
    </w:p>
    <w:p w:rsidR="0052098F" w:rsidRDefault="0052098F" w:rsidP="0052098F">
      <w:pPr>
        <w:pStyle w:val="TextoNormal"/>
      </w:pPr>
      <w:r>
        <w:t>En cuanto al modelo constitucional, me parece que se parte de un concepto previo del mismo, extraconstitucional, mediante el que se fuerza la interpretación del art. 160 CE en contenidos inequívocos del mismo, como son los de que el Tribunal en Pleno es el titular de la facultad de elegir su Presidente entre sus miembros, y que el mandato del Presidente tendrá una duración de tres años.</w:t>
      </w:r>
    </w:p>
    <w:p w:rsidR="0052098F" w:rsidRDefault="0052098F" w:rsidP="0052098F">
      <w:pPr>
        <w:pStyle w:val="TextoNormal"/>
      </w:pPr>
      <w:r>
        <w:t>Lo que en la tesis de la Sentencia se considera vinculación implícita entre la renovación del Tribunal por tercios y la elección del Presidente desde luego carece de un soporte explícito en ningún precepto constitucional. Esa vinculación podrá ser un desiderátum plausible, pero no constituye un mandato constitucional, que pueda erigirse en rasgo clave del modelo, para desde él operar como elemento interpretativo de normas absolutamente precisas de la Constitución.</w:t>
      </w:r>
    </w:p>
    <w:p w:rsidR="0052098F" w:rsidRDefault="0052098F" w:rsidP="0052098F">
      <w:pPr>
        <w:pStyle w:val="TextoNormal"/>
      </w:pPr>
      <w:r>
        <w:lastRenderedPageBreak/>
        <w:t>Ciertamente la coincidencia temporal entre los períodos de renovación del Tribunal por terceras partes (art. 159.3 CE) y del período de mandato del Presidente (art. 160 CE) permite, a primera vista, extraer la consecuencia de esa vinculación.  Pero que pueda extraerse esa consecuencia, no autoriza a invertir los términos del discurso, situando lo que es simple resultado de la observación en prius conceptual del modelo.</w:t>
      </w:r>
    </w:p>
    <w:p w:rsidR="0052098F" w:rsidRDefault="0052098F" w:rsidP="0052098F">
      <w:pPr>
        <w:pStyle w:val="TextoNormal"/>
      </w:pPr>
      <w:r>
        <w:t>No puede serlo, desde el momento en que las facultades de renovación temporal del Tribunal y de elección del Presidente tienen titulares diferentes, lo que da lugar a que la dinámica del ejercicio de las respectivas facultades se produzcan distanciamientos temporales probablemente inevitables. No sólo en razón de la falta de diligencia de los órganos constitucionales con facultad de lección en el ejercicio de la misma sino por la posibilidad de extinciones de mandatos de los Presidentes antes del agotamiento del límite constitucional de su duración, como he expuesto en otro lugar.</w:t>
      </w:r>
    </w:p>
    <w:p w:rsidR="0052098F" w:rsidRDefault="0052098F" w:rsidP="0052098F">
      <w:pPr>
        <w:pStyle w:val="TextoNormal"/>
      </w:pPr>
      <w:r>
        <w:t>La preocupación latente en el discurso de la Sentencia de que no pueda imponerse a los magistrados que acceden al Tribunal tras una renovación un Presidente al que no tuvieran oportunidad de elegir, responde, más que a una exigencia estructural de un determinado modelo, a un razonable deseo de política institucional, que, no por ser razonable, puede elevarse a elemento del modelo constitucional.</w:t>
      </w:r>
    </w:p>
    <w:p w:rsidR="0052098F" w:rsidRDefault="0052098F" w:rsidP="0052098F">
      <w:pPr>
        <w:pStyle w:val="TextoNormal"/>
      </w:pPr>
      <w:r>
        <w:t>Creo que existe un exceso en la argumentación de la Sentencia cuando se apela a un modelo constitucional, y en éste se introducen elementos de política institucional, y no precisos preceptos de la Constitución.</w:t>
      </w:r>
    </w:p>
    <w:p w:rsidR="0052098F" w:rsidRDefault="0052098F" w:rsidP="0052098F">
      <w:pPr>
        <w:pStyle w:val="TextoNormal"/>
      </w:pPr>
      <w:r>
        <w:t>Frente a ese planteamiento, a mi juicio, inconsistente, creo que los precisos contenidos del art. 160 CE sí son elementos estructurales del modelo constitucional, cuya efectividad práctica no puede sacrificarse a razonables deseos de política institucional, conducentes al fin, bien a privar al Pleno de la plenitud de su competencia respecto a la elección del Presidente, impidiéndole opciones temporales que la Constitución no impide, bien a alargar la efectividad real del tiempo de ejercicio de la presidencia.</w:t>
      </w:r>
    </w:p>
    <w:p w:rsidR="0052098F" w:rsidRDefault="0052098F" w:rsidP="0052098F">
      <w:pPr>
        <w:pStyle w:val="TextoNormal"/>
      </w:pPr>
      <w:r>
        <w:t>Como he sostenido en otro lugar, el titular de la facultad de elección del Presidente es el Tribunal en pleno, cuya identidad institucional se mantiene en todo momento; y no cabe sustituirlo en esa titularidad por los concretos magistrados que en cada momento puedan integrarlo, situando en el primer plano de la consideración una garantía del derecho de los magistrados a participar en la elección de Presidente sin asidero preciso en ningún precepto de la Constitución.</w:t>
      </w:r>
    </w:p>
    <w:p w:rsidR="0052098F" w:rsidRDefault="0052098F" w:rsidP="0052098F">
      <w:pPr>
        <w:pStyle w:val="TextoNormal"/>
      </w:pPr>
      <w:r>
        <w:t>Menos convincente me resulta la distinción clave de la Sentencia entre duración del mandato y prórroga del mandato. Me parece que existe en ella un exceso de sutileza jurídica, que no me resulta convincente.</w:t>
      </w:r>
    </w:p>
    <w:p w:rsidR="0052098F" w:rsidRDefault="0052098F" w:rsidP="0052098F">
      <w:pPr>
        <w:pStyle w:val="TextoNormal"/>
      </w:pPr>
      <w:r>
        <w:t>No tengo inconveniente en admitir que la prórroga puede ser admisible en ocasiones, cuando sin ella no se puedan solucionar determinados problemas. Pero no me resulta que lo sea su establecimiento, cuando sin ella, y con el simple ejercicio de la facultad del Pleno de elegir Presidente, si fuera necesario, se solventa todo problema, y se respeta con mayor exactitud, y sin equívoco alguno, un precepto constitucional como el que fija la duración temporal del mandato del Presidente del Tribunal Constitucional.</w:t>
      </w:r>
    </w:p>
    <w:p w:rsidR="0052098F" w:rsidRDefault="0052098F" w:rsidP="0052098F">
      <w:pPr>
        <w:pStyle w:val="TextoNormal"/>
      </w:pPr>
      <w:r>
        <w:t>El vencimiento del plazo de duración del mandato del Presidente producido antes de la renovación del Tribunal, supuesto del precepto impugnado, no plantea problema alguno que el Tribunal no pueda resolver simplemente ejercitando la facultad que otorga el art. 160 CE. De ahí que no exista razón para que la prórroga del mandato se articule como alternativa legal a la elección.</w:t>
      </w:r>
    </w:p>
    <w:p w:rsidR="0052098F" w:rsidRDefault="0052098F" w:rsidP="0052098F">
      <w:pPr>
        <w:pStyle w:val="TextoNormal"/>
      </w:pPr>
      <w:r>
        <w:t xml:space="preserve">No me resulta por ello convincente la referencia que se hace en el fundamento jurídico 21 a la prórroga legal del mandato de los Magistrados prevista en el art. 17.2 LOTC, pues </w:t>
      </w:r>
      <w:r>
        <w:lastRenderedPageBreak/>
        <w:t>las razones que avalan una y otra son muy diferentes. Ello aparte de que, si el reproche constitucional de la prórroga legal del mandato del Presidente conviniese en los mismos términos a la del mandato de los Magistrados, la lógica del argumento no llevaría a obviar la inconstitucionalidad de la primera por la existencia de la segunda, sino a sostener la parigual inconstitucionalidad de ambas.</w:t>
      </w:r>
    </w:p>
    <w:p w:rsidR="0052098F" w:rsidRDefault="0052098F" w:rsidP="0052098F">
      <w:pPr>
        <w:pStyle w:val="TextoNormal"/>
      </w:pPr>
      <w:r>
        <w:t>No obstante conviene resaltar la diversa razón de ser de una y otra. En cuanto a la del mandato de los Magistrados, si al cumplirse el límite de su duración se produjese automáticamente su cese, la consecuencia sería la de que el Tribunal quedaría compuesto por ocho Magistrados, lo que resulta inconciliable con lo que se dispone en el art.  159.1 CE, que dispone que el Tribunal se compone de doce miembros. En la situación de esa prórroga se produce un posible conflicto respecto de la aplicación de dos preceptos constitucionales, como son el art. 159.1 y el 159.3. Y dado el mismo, insoluble ese conflicto lo resuelve la LOTC sobreponiendo uno de ellos (el del art. 159.1 CE) al otro (art.  159.3 CE).</w:t>
      </w:r>
    </w:p>
    <w:p w:rsidR="0052098F" w:rsidRDefault="0052098F" w:rsidP="0052098F">
      <w:pPr>
        <w:pStyle w:val="TextoNormal"/>
      </w:pPr>
      <w:r>
        <w:t>En el caso del Presidente del Tribunal en cambio no existe conflicto normativo alguno, porque el respeto de la duración del límite de los tres años, establecido en el art. 160 CE, puede lograrse, como se ha dicho, con el simple ejercicio de la facultad de elección que al Pleno le corresponde con arreglo a lo dispuesto en ese mismo artículo.</w:t>
      </w:r>
    </w:p>
    <w:p w:rsidR="0052098F" w:rsidRDefault="0052098F" w:rsidP="0052098F">
      <w:pPr>
        <w:pStyle w:val="TextoNormal"/>
      </w:pPr>
      <w:r>
        <w:t>La justificación de la prórroga en este caso la encuentra la Sentencia a partir de su concepción del modelo constitucional del Tribunal, que antes analicé, rechazándola.</w:t>
      </w:r>
    </w:p>
    <w:p w:rsidR="0052098F" w:rsidRDefault="0052098F" w:rsidP="0052098F">
      <w:pPr>
        <w:pStyle w:val="TextoNormal"/>
      </w:pPr>
      <w:r>
        <w:t>En todo caso, si es esa la razón que la Sentencia aduce, y si el supuesto del precepto cuestionado es el de que “el mandato de tres años” “no coincidiera con la renovación del Tribunal”, debería darse una explicación convincente sobre la solución del caso posible de que se produzca la extinción del mandato del Presidente por causa diferente de la del vencimiento del mandato, como serían las que en otro lugar he dejado indicadas, en las que la solución de la prórroga es imposible por principio.  En tal caso la solución no podría ser otra que el nombramiento de un nuevo Presidente, que, de no ser elegido entre los incluidos en el tercio de inmediata renovación, podría extender su mandato después de ellas, sin que los nuevos Magistrados tuvieran posibilidad de haberlo elegido.</w:t>
      </w:r>
    </w:p>
    <w:p w:rsidR="0052098F" w:rsidRDefault="0052098F" w:rsidP="0052098F">
      <w:pPr>
        <w:pStyle w:val="TextoNormal"/>
      </w:pPr>
      <w:r>
        <w:t>Finalmente, si la razón del precepto es la que la Sentencia dice, resulta muy difícilmente explicable que en la exposición de motivos de la Ley Orgánica de reforma no se dé cuenta de ella, y se guarde al respecto un sonoro silencio.</w:t>
      </w:r>
    </w:p>
    <w:p w:rsidR="0052098F" w:rsidRDefault="0052098F" w:rsidP="0052098F">
      <w:pPr>
        <w:pStyle w:val="TextoNormal"/>
      </w:pPr>
      <w:r>
        <w:t>9. Por todo lo expuesto creo que el recurso de inconstitucionalidad debía haberse estimado.</w:t>
      </w:r>
    </w:p>
    <w:p w:rsidR="0052098F" w:rsidRDefault="0052098F" w:rsidP="0052098F">
      <w:pPr>
        <w:pStyle w:val="TextoNormal"/>
      </w:pPr>
      <w:r>
        <w:t>En tal sentido dejo evacuado mi voto.</w:t>
      </w:r>
    </w:p>
    <w:p w:rsidR="0052098F" w:rsidRDefault="0052098F" w:rsidP="0052098F">
      <w:pPr>
        <w:pStyle w:val="TextoNormal"/>
      </w:pPr>
      <w:r>
        <w:t>Madrid, a nueve de abril de dos mil ocho.</w:t>
      </w:r>
    </w:p>
    <w:p w:rsidR="0052098F" w:rsidRDefault="0052098F" w:rsidP="0052098F">
      <w:pPr>
        <w:pStyle w:val="TextoNormal"/>
      </w:pPr>
    </w:p>
    <w:p w:rsidR="0052098F" w:rsidRDefault="0052098F" w:rsidP="0052098F">
      <w:pPr>
        <w:pStyle w:val="TextoNormalNegritaCentrado"/>
        <w:keepNext/>
      </w:pPr>
      <w:r>
        <w:t>Voto particular que formula el Magistrado don Javier Delgado Barrio respecto de la Sentencia de 9 de abril de 2008, dictada en el recurso de inconstitucionalidad núm. 6729-2007.</w:t>
      </w:r>
    </w:p>
    <w:p w:rsidR="0052098F" w:rsidRDefault="0052098F" w:rsidP="0052098F">
      <w:pPr>
        <w:pStyle w:val="TextoNormalNegritaCentrado"/>
        <w:keepNext/>
      </w:pPr>
    </w:p>
    <w:p w:rsidR="0052098F" w:rsidRDefault="0052098F" w:rsidP="0052098F">
      <w:pPr>
        <w:pStyle w:val="TextoNormal"/>
      </w:pPr>
      <w:r>
        <w:t>Con el respeto que siempre me merece la opinión de mis compañeros, dejo constancia de las razones que fundan mi discrepancia.</w:t>
      </w:r>
    </w:p>
    <w:p w:rsidR="0052098F" w:rsidRDefault="0052098F" w:rsidP="0052098F">
      <w:pPr>
        <w:pStyle w:val="TextoNormal"/>
      </w:pPr>
      <w:r>
        <w:t xml:space="preserve">1. He de señalar que esta discrepancia, ante todo, va referida a la doctrina que la Sentencia —FJ 4— sienta respecto del “alcance” del control que este Tribunal puede desarrollar cuando la impugnada es precisamente la Ley Orgánica del Tribunal Constitucional. Las cautelas que en general presiden el control de constitucionalidad de ley exclusivamente de </w:t>
      </w:r>
      <w:r>
        <w:lastRenderedPageBreak/>
        <w:t>constitucionalidad y no político, de oportunidad o calidad técnica, la presunción de inconstitucionalidad, etc.-, según la Sentencia, “deben extremarse en el caso de la Ley Orgánica del Tribunal Constitucional, teniendo en cuenta la ya mencionada vinculación del Tribunal a la misma”.</w:t>
      </w:r>
    </w:p>
    <w:p w:rsidR="0052098F" w:rsidRDefault="0052098F" w:rsidP="0052098F">
      <w:pPr>
        <w:pStyle w:val="TextoNormal"/>
      </w:pPr>
      <w:r>
        <w:t>“Vinculación del Tribunal a la misma”. Ciertamente y con carácter general este Tribunal está vinculado por su Ley Orgánica, pero cuando ésta es objeto de un recurso de inconstitucionalidad, la sujeción del Tribunal a su Ley Orgánica queda sustituida por la posición de órgano de control de la constitucionalidad de la ley, colegislador negativo, habilitado, en su caso, para expulsar el precepto impugnado del ordenamiento jurídico.</w:t>
      </w:r>
    </w:p>
    <w:p w:rsidR="0052098F" w:rsidRDefault="0052098F" w:rsidP="0052098F">
      <w:pPr>
        <w:pStyle w:val="TextoNormal"/>
      </w:pPr>
      <w:r>
        <w:t>No creo que sea posible clasificar las leyes en distintas categorías para atribuirles una mayor o menor presunción de constitucionalidad y por tanto una diferente intensidad en el control.  Pero, si se admitiera esta diferente intensidad, mi conclusión sería exactamente la contraria de la que señala la Sentencia: el control de constitucionalidad de la LOTC ha de ser particularmente incisivo y profundo, desterrando todo atisbo de inconstitucionalidad en la Ley que ha de ser fundamento de los juicios sobre la constitucionalidad de todas las demás normas y actos del poder público con fuerza de ley.</w:t>
      </w:r>
    </w:p>
    <w:p w:rsidR="0052098F" w:rsidRDefault="0052098F" w:rsidP="0052098F">
      <w:pPr>
        <w:pStyle w:val="TextoNormal"/>
      </w:pPr>
      <w:r>
        <w:t>La LOTC regula los elementos fundamentales —art. 165 CE— para hacer efectiva la supremacía de la Constitución, de suerte que la virtualidad efectiva de ésta, como cúspide del ordenamiento jurídico, depende de nuestra Ley Orgánica: la Constitución se la juega en la regulación contenida en la LOTC. Es claro, así, que el control de su constitucionalidad, exactamente en contra de lo que dice la Sentencia, ha de ser particularmente incisivo y profundo.</w:t>
      </w:r>
    </w:p>
    <w:p w:rsidR="0052098F" w:rsidRDefault="0052098F" w:rsidP="0052098F">
      <w:pPr>
        <w:pStyle w:val="TextoNormal"/>
      </w:pPr>
      <w:r>
        <w:t>2. En cuanto al art. 16.1, párrafo segundo, LOTC, relativo a la elección de los Magistrados del Tribunal Constitucional por el Senado, su inconstitucionalidad deriva terminantemente de la mera lectura del art. 159.1 y 2 CE: los órganos constitucionales recogidos en el primer apartado —Congreso, Senado, Gobierno y Consejo General del Poder Judicial— pueden elegir Magistrados con absoluta libertad entre los juristas que cumplan los requisitos señalados en el apartado segundo. La muy detallada regulación de tales preceptos tiene carácter exhaustivo y justamente por ello la elección de los Magistrados no es una de las materias cuya regulación encomienda la Constitución a la LOTC —art. 165.</w:t>
      </w:r>
    </w:p>
    <w:p w:rsidR="0052098F" w:rsidRDefault="0052098F" w:rsidP="0052098F">
      <w:pPr>
        <w:pStyle w:val="TextoNormal"/>
      </w:pPr>
      <w:r>
        <w:t>En consecuencia, resulta evidente que cuando el nuevo art. 16.1 LOTC impone al Senado la necesidad de elegir los Magistrados “entre los candidatos presentados por las Asambleas Legislativas de las Comunidades Autónomas” está cercenando el margen de actuación que la Constitución le atribuye en el art. 159.2. En el designio constitucional corresponde al Senado —lo mismo que a los otros órganos constitucionales señalados en el art.  159.1 CE— una primera actuación consistente en observar el panorama que ofrecen los juristas españoles, a fin de, en primer término, seleccionar algunos de los que cumplan los requisitos del art. 159.2 CE, para en un segundo momento elegir los que estime procedentes.</w:t>
      </w:r>
    </w:p>
    <w:p w:rsidR="0052098F" w:rsidRDefault="0052098F" w:rsidP="0052098F">
      <w:pPr>
        <w:pStyle w:val="TextoNormal"/>
      </w:pPr>
      <w:r>
        <w:t>Con la nueva regulación se ha desapoderado al Senado para la primera operación —selección de juristas—, de trascendental importancia, reduciéndolo a una especie de elector de segundo grado, en la medida en que opera sobre elementos subjetivos que le vienen dados.</w:t>
      </w:r>
    </w:p>
    <w:p w:rsidR="0052098F" w:rsidRDefault="0052098F" w:rsidP="0052098F">
      <w:pPr>
        <w:pStyle w:val="TextoNormal"/>
      </w:pPr>
      <w:r>
        <w:t xml:space="preserve">Incidentalmente señalaré que habiendo una clara mayoría en la comunidad jurídica española que reclama una modificación de la regulación constitucional del Senado que fortalezca sus funciones, llama la atención que ante una regulación —la del art.  159.1 CE sobre elección de Magistrados del Tribunal Constitucional— en la que el Senado goza de la misma posición que el Congreso, haya venido el legislador a reducir al Senado a una situación de </w:t>
      </w:r>
      <w:r>
        <w:lastRenderedPageBreak/>
        <w:t>menor entidad en cuanto que, a diferencia del Congreso, ya no tiene la facultad, tan relevante, de hacer por sí mismo la selección previa de juristas, que, muy al contrario, le va a venir impuesta por las Asambleas Legislativas de las Comunidades Autónomas.</w:t>
      </w:r>
    </w:p>
    <w:p w:rsidR="0052098F" w:rsidRDefault="0052098F" w:rsidP="0052098F">
      <w:pPr>
        <w:pStyle w:val="TextoNormal"/>
      </w:pPr>
      <w:r>
        <w:t>La propia Sentencia reconoce “una idéntica posición de ambas Cámaras” en cuanto a número de Magistrados a elegir y en cuanto a mayorías, pero en cambio “en cuanto al modo concreto de ejercer tal facultad” admite diferencias en razón de las características de cada Cámara. A este respecto es de indicar que la Constitución no ha establecido ninguna diferencia entre ambas Cámaras y ha sido el legislador el que la ha introducido. Para salvar esta diferencia creada por el legislador frente a la igualdad señalada por la Constitución, la Sentencia explica el protagonismo atribuido ahora a las Comunidades Autónomas aludiendo a la finalidad de integrar “la estructura territorial del Estado en la composición del Tribunal Constitucional” a través de la actuación del Senado como Cámara de representación territorial. Pero tal integración ha sido ya prevista y querida por la Constitución exactamente y en la medida que establece en sus arts.  69 y 159.1: en el Senado, Cámara de representación territorial, se integran Senadores designados por las Comunidades Autónomas y es este Senado, con esta composición, el que —art. 159.1 CE— elige los Magistrados. Con la modificación legal aquí impugnada se duplica la participación de las Comunidades Autónomas: por un lado, y por la vía del art. 159.1 CE, tal como ha previsto la Constitución, interviene el Senado en la elección final, con Senadores elegidos por las Comunidades Autónomas y, por otro lado, con carácter previo, ya sin apoyo constitucional, el legislador atribuye a éstas una designación de candidatos, eliminando la libertad del Senado para seleccionar, por sí mismo, los candidatos del art. 159.2 CE.</w:t>
      </w:r>
    </w:p>
    <w:p w:rsidR="0052098F" w:rsidRDefault="0052098F" w:rsidP="0052098F">
      <w:pPr>
        <w:pStyle w:val="TextoNormal"/>
      </w:pPr>
      <w:r>
        <w:t>Puesto que se impone al Senado la necesidad de elegir “entre” los candidatos presentados por las Comunidades Autónomas, resulta evidente el desapoderamiento de esta Cámara en la trascendental función inicial de la previa selección. Para salvar este obstáculo, y dado que el precepto impugnado se remite al Reglamento del Senado, la Sentencia recoge supuestos excepcionales —número insuficiente de candidatos, candidatos que no cumplen los requisitos, inactividad de los Parlamentos autonómicos, etc.— en los que el Senado “pueda velar por el ejercicio constitucionalmente correcto de su función”, a la vista de las previsiones de su Reglamento, con lo que se quiere decir que en estos casos el Senado podría designar Magistrados no “entre” sino “fuera” de los presentados. Con ello podría salvarse, quizá, la constitucionalidad del precepto en estos supuestos excepcionales, pero quedaría en su integridad la inconstitucionalidad en la generalidad de los casos en los que la elección ha de hacerse precisamente “entre” los presentados.</w:t>
      </w:r>
    </w:p>
    <w:p w:rsidR="0052098F" w:rsidRDefault="0052098F" w:rsidP="0052098F">
      <w:pPr>
        <w:pStyle w:val="TextoNormal"/>
      </w:pPr>
      <w:r>
        <w:t>3. En cuanto a la prórroga del mandato presidencial —art. 16.3 LOTC—, he de subrayar ante todo que la libertad de configuración del legislador en el terreno de la LOTC opera “dentro del respeto a las normas constitucionales y a la independencia y función del Tribunal” —STC 66/1985, de 3 de mayo, FJ 4. “Respeto”, pues, a la “función del Tribunal”.</w:t>
      </w:r>
    </w:p>
    <w:p w:rsidR="0052098F" w:rsidRDefault="0052098F" w:rsidP="0052098F">
      <w:pPr>
        <w:pStyle w:val="TextoNormal"/>
      </w:pPr>
      <w:r>
        <w:t>Y el art. 160 CE cumple un cometido directo e inmediato dentro del sistema constitucional que es el de establecer quién es el que ha de decidir quién ha de ser el Presidente del Tribunal. Se atribuye así al Pleno del Tribunal la función de decidir quién ha de ser el Presidente del Tribunal. Únicamente el Pleno del Tribunal puede adoptar esa decisión. Nadie puede suplantar al Pleno en el ejercicio de esa función. Ni siquiera el legislador —no es esta una de las materias cuya regulación remite la Constitución a la LOTC, art. 165 CE— que, como ya hemos dicho, debe “respeto” a la “función del Tribunal” tal como le ha sido atribuida por la Constitución.</w:t>
      </w:r>
    </w:p>
    <w:p w:rsidR="0052098F" w:rsidRDefault="0052098F" w:rsidP="0052098F">
      <w:pPr>
        <w:pStyle w:val="TextoNormal"/>
      </w:pPr>
      <w:r>
        <w:t xml:space="preserve">De ello deriva que cuando se produzca el cese en la Presidencia del Tribunal —así, ope constitutionis, por transcurso del plazo de tres años previsto en el art. 160 CE o, antes de </w:t>
      </w:r>
      <w:r>
        <w:lastRenderedPageBreak/>
        <w:t>dicho plazo, por otras causas— será preciso acudir al precepto constitucional que establece quién es el que ha de decidir quién ha de ser el Presidente del Tribunal, es decir, al art. 160 CE que atribuye al Pleno esa decisión, que podrá ser la de prórroga o cualquier otra constitucionalmente viable.</w:t>
      </w:r>
    </w:p>
    <w:p w:rsidR="0052098F" w:rsidRDefault="0052098F" w:rsidP="0052098F">
      <w:pPr>
        <w:pStyle w:val="TextoNormal"/>
      </w:pPr>
      <w:r>
        <w:t>Así pues, no niego la constitucionalidad material de la prórroga del mandato presidencial establecido por la norma impugnada, solución esta conocida en los precedentes de este Tribunal, lo que sostengo es la inconstitucionalidad de esa prórroga decidida por el legislador con una interpretación del art. 160 CE que, cristalizada en Ley, será en lo sucesivo vinculante para el Pleno de este Tribunal, al que se ha privado, en el supuesto de cese en la Presidencia por transcurso del plazo de tres años, de la facultad de “decidir” quién debe presidir el Tribunal, bien mediante prórroga, bien mediante otra solución que el Pleno, titular de la función que le atribuye el art. 160 CE, entienda constitucionalmente procedente.</w:t>
      </w:r>
    </w:p>
    <w:p w:rsidR="0052098F" w:rsidRDefault="0052098F" w:rsidP="0052098F">
      <w:pPr>
        <w:pStyle w:val="TextoNormal"/>
      </w:pPr>
      <w:r>
        <w:t>En conclusión, la prórroga del mandato presidencial introducida por el nuevo art. 16.3 LOTC ha despojado al Pleno de este Tribunal de una muy relevante competencia, con merma de la función que la Constitución le atribuye —decidir quién ha de ser su Presidente— y, por tanto, con grave quebranto de su independencia que el legislador ha de respetar, pues integra un límite a su libertad de configuración, como expresamente señala la STC 66/1985.</w:t>
      </w:r>
    </w:p>
    <w:p w:rsidR="0052098F" w:rsidRDefault="0052098F" w:rsidP="0052098F">
      <w:pPr>
        <w:pStyle w:val="TextoNormal"/>
      </w:pPr>
      <w:r>
        <w:t>Y este es mi parecer, del que dejo constancia con el máximo respeto a mis compañeros.</w:t>
      </w:r>
    </w:p>
    <w:p w:rsidR="0052098F" w:rsidRDefault="0052098F" w:rsidP="0052098F">
      <w:pPr>
        <w:pStyle w:val="TextoNormal"/>
      </w:pPr>
      <w:r>
        <w:t>Madrid, a nueve de abril de dos mil ocho.</w:t>
      </w:r>
    </w:p>
    <w:p w:rsidR="0052098F" w:rsidRDefault="0052098F" w:rsidP="0052098F">
      <w:pPr>
        <w:pStyle w:val="TextoNormal"/>
      </w:pPr>
    </w:p>
    <w:p w:rsidR="0052098F" w:rsidRDefault="0052098F" w:rsidP="0052098F">
      <w:pPr>
        <w:pStyle w:val="TextoNormalNegritaCentrado"/>
        <w:keepNext/>
      </w:pPr>
      <w:r>
        <w:t>Voto particular que formula el Magistrado don Ramón Rodríguez Arribas, respecto a la Sentencia del Pleno de fecha 9 de abril de 2008 dictada en la recurso de inconstitucionalidad núm.  6729- 2007.</w:t>
      </w:r>
    </w:p>
    <w:p w:rsidR="0052098F" w:rsidRDefault="0052098F" w:rsidP="0052098F">
      <w:pPr>
        <w:pStyle w:val="TextoNormalNegritaCentrado"/>
        <w:keepNext/>
      </w:pPr>
    </w:p>
    <w:p w:rsidR="0052098F" w:rsidRDefault="0052098F" w:rsidP="0052098F">
      <w:pPr>
        <w:pStyle w:val="TextoNormal"/>
      </w:pPr>
      <w:r>
        <w:t>En el ejercicio de la facultad que nos confiere el art. 90.2 LOTC y con el pleno respeto a la opinión de la mayoría, expreso mi discrepancia con la Sentencia que fundo en las siguientes consideraciones:</w:t>
      </w:r>
    </w:p>
    <w:p w:rsidR="0052098F" w:rsidRDefault="0052098F" w:rsidP="0052098F">
      <w:pPr>
        <w:pStyle w:val="TextoNormal"/>
      </w:pPr>
      <w:r>
        <w:t>1. Con relación al precepto impugnado de la reformada LOTC, que se refiere a la propuesta de cuatro Magistrados del Tribunal Constitucional por el Senado, conviene transcribir el art.  159.1 de la Constitución que dice así : “El Tribunal Constitucional se compone de 12 miembros nombrados por el Rey; de ellos cuatro, a propuesta del Congreso por mayoría de tres quintos de sus miembros; cuatro a propuesta del Senado, con idéntica mayoría; dos a propuesta del Gobierno, y dos a propuesta del Consejo General del Poder Judicial”.</w:t>
      </w:r>
    </w:p>
    <w:p w:rsidR="0052098F" w:rsidRDefault="0052098F" w:rsidP="0052098F">
      <w:pPr>
        <w:pStyle w:val="TextoNormal"/>
      </w:pPr>
      <w:r>
        <w:t>En los números 2 y 3 del mismo precepto constitucional, respectivamente se establece que la propuesta ha de recaer “entre [el subrayado es nuestro] Magistrados y Fiscales, Profesores de Universidad, Funcionarios Públicos y Abogados, todos ellos juristas de reconocida competencia con mas de quince años de ejercicio profesional”, y que la designación ha de ser “por un periodo de nueve años”.</w:t>
      </w:r>
    </w:p>
    <w:p w:rsidR="0052098F" w:rsidRDefault="0052098F" w:rsidP="0052098F">
      <w:pPr>
        <w:pStyle w:val="TextoNormal"/>
      </w:pPr>
      <w:r>
        <w:t>Resulta evidente que la Constitución confiere al Senado una función, la de proponer al Rey cuatro juristas para ser nombrados Magistrados del Tribunal Constitucional, sin más condiciones que pertenecer a alguna de las categorías profesionales acabadas de señalar y con una experiencia de quince años; ninguna otra condición, limitación o restricción se impone al Senado, mas que la de orden interno de que la propuesta lo sea “ por mayoría de tres quintos”.</w:t>
      </w:r>
    </w:p>
    <w:p w:rsidR="0052098F" w:rsidRDefault="0052098F" w:rsidP="0052098F">
      <w:pPr>
        <w:pStyle w:val="TextoNormal"/>
      </w:pPr>
      <w:r>
        <w:t xml:space="preserve">Por su parte el art. 16.1 de la Ley Orgánica del Tribunal Constitucional, en la reforma operada por la Ley Orgánica 6/2007, de 24 de mayo, dice: “Los Magistrados propuestos por </w:t>
      </w:r>
      <w:r>
        <w:lastRenderedPageBreak/>
        <w:t>el Senado serán elegidos entre [el subrayado vuelve a ser nuestro] los candidatos presentados por las Asambleas Legislativas de las Comunidades Autónomas en los términos que determine el Reglamento de la Cámara”.</w:t>
      </w:r>
    </w:p>
    <w:p w:rsidR="0052098F" w:rsidRDefault="0052098F" w:rsidP="0052098F">
      <w:pPr>
        <w:pStyle w:val="TextoNormal"/>
      </w:pPr>
      <w:r>
        <w:t>Claramente se advierte que el problema de constitucionalidad se encuentra en la palabra “entre”, pues mientras la Constitución lo refiere a cualesquiera juristas de reconocida competencia pertenecientes a las categorías profesionales que describe, la reforma de la Ley Orgánica del Tribunal impone que la elección de candidatos se realice solo entre los propuestos por órganos externos al Senado, esto es, las Asambleas Legislativas de las Comunidades Autónomas. Resulta evidente que la norma legal cuestionada introduce una restricción en la capacidad de elección del Senado, que ya no puede elegir entre cualesquiera juristas que reúnan las condiciones constitucionalmente establecidas, sino solo entre los que, además, hayan sido previamente presentados por dichas Asambleas Legislativas, con lo que la inconstitucionalidad resulta patente e insalvable.</w:t>
      </w:r>
    </w:p>
    <w:p w:rsidR="0052098F" w:rsidRDefault="0052098F" w:rsidP="0052098F">
      <w:pPr>
        <w:pStyle w:val="TextoNormal"/>
      </w:pPr>
      <w:r>
        <w:t>La Sentencia de la que discrepo (FFJJ 9 y 14), dando un complejo rodeo argumental, intenta salvar la antinomia interpretando que esa palabra “entre”, no impide que el Senado pueda seleccionar otros candidatos que no estén “entre … los presentados por las Asambleas Legislativas de las Comunidades Autónomas”, como literalmente exige la Ley cuestionada, lo que a mi juicio es mas que una interpretación innovadora o aditiva, pues se sitúa contra legem, al pretender hacer decir a la reforma legal lo que, evidentemente, no dice. Precisamente ese es el eje de la cuestión, porque si bien ninguna inconstitucionalidad plantea la intervención de las Comunidades Autónomas en la selección de los candidatos que el Senado pueda proponer al Rey, lo que sí vulnera la Constitución es que el Senado solo pueda hacer esa propuesta eligiendo entre los que le vienen señalados desde fuera de la institución, cuando es al Senado al que el art. 159 CE ha confiado, en exclusiva, la función de propuesta; mutación —la de haber de limitarse la Cámara Alta de las Cortes Generales a elegir entre los candidatos previamente presentados por las Asambleas Legislativas de las Comunidades Autónomas— que solo con la reforma de la Constitución misma sería posible.</w:t>
      </w:r>
    </w:p>
    <w:p w:rsidR="0052098F" w:rsidRDefault="0052098F" w:rsidP="0052098F">
      <w:pPr>
        <w:pStyle w:val="TextoNormal"/>
      </w:pPr>
      <w:r>
        <w:t>2. Con relación a la prórroga de la Presidencia del Tribunal Constitucional (la prórroga de la Vicepresidencia no puede plantear ninguna duda de inconstitucionalidad al ser una figura puramente legal y no prevista en la Constitución, como la Sentencia reconoce en el fundamento jurídico 1 in fine y también en el fundamento jurídico 18) conviene también recordar el texto literal del art. 160 CE: “El Presidente del Tribunal Constitucional será nombrado entre sus miembros por el Rey, a propuesta del mismo Tribunal en pleno y por un período de tres años”.</w:t>
      </w:r>
    </w:p>
    <w:p w:rsidR="0052098F" w:rsidRDefault="0052098F" w:rsidP="0052098F">
      <w:pPr>
        <w:pStyle w:val="TextoNormal"/>
      </w:pPr>
      <w:r>
        <w:t>Tampoco admite duda razonable, a mi juicio, que aquí el constituyente estableció una función: la de proponer al Rey la designación del presidente del Tribunal; se la confió a un órgano: el Pleno del Tribunal, y estableció dos únicas condiciones: por una parte que el propuesto fuera uno de los Magistrados del Tribunal y por otra que su mandato fuera de tres años.</w:t>
      </w:r>
    </w:p>
    <w:p w:rsidR="0052098F" w:rsidRDefault="0052098F" w:rsidP="0052098F">
      <w:pPr>
        <w:pStyle w:val="TextoNormal"/>
      </w:pPr>
      <w:r>
        <w:t>Veamos ahora que ha establecido el legislador orgánico de nuestra reformada Ley en el art.  16.3: “La designación para el cargo de Magistrado del Tribunal Constitucional se hará por nueve años, renovándose el Tribunal por terceras partes cada tres.  A partir de ese momento se producirá la elección del Presidente y Vicepresidente de acuerdo con lo previsto en el art. 9. Si el mandato de tres años para el que fueron designados como Presidente y Vicepresidente no coincidiera con la renovación del Tribunal Constitucional, tal mandato quedará prorrogado para que finalice en el momento en que dicha renovación se produzca y tomen posesión los nuevos Magistrados”.</w:t>
      </w:r>
    </w:p>
    <w:p w:rsidR="0052098F" w:rsidRDefault="0052098F" w:rsidP="0052098F">
      <w:pPr>
        <w:pStyle w:val="TextoNormal"/>
      </w:pPr>
      <w:r>
        <w:lastRenderedPageBreak/>
        <w:t>A mi juicio, y reiterando el respeto que me merece la mayoritaria opinión contraria, el constituyente quiso que la Presidencia de este Tribunal fuera ostentada siempre por un Magistrado del mismo, que contara con la aquiescencia del Pleno, confiando a este y solo a él esa facultad, con un mandato máximo de tres años. Pues bien, ante esta clara prescripción constitucional, que paladinamente reconoce la Sentencia de la mayoría (FJ 18), la cuestión está en establecer si la norma legal que prorroga forzosamente el mandato de tres años hasta que se produzca la renovación del siguiente tercio del Tribunal, desapodera o no al Pleno, siquiera sea de una manera parcial o transitoria, de una facultad que la Constitución le atribuye.</w:t>
      </w:r>
    </w:p>
    <w:p w:rsidR="0052098F" w:rsidRDefault="0052098F" w:rsidP="0052098F">
      <w:pPr>
        <w:pStyle w:val="TextoNormal"/>
      </w:pPr>
      <w:r>
        <w:t>Para mí, contra lo que sostiene la Sentencia de la que discrepo, la respuesta ha de ser afirmativa:</w:t>
      </w:r>
    </w:p>
    <w:p w:rsidR="0052098F" w:rsidRDefault="0052098F" w:rsidP="0052098F">
      <w:pPr>
        <w:pStyle w:val="TextoNormal"/>
      </w:pPr>
      <w:r>
        <w:t>a) Porque el mandato constitucionalmente establecido para la Presidencia del Tribunal Constitucional, formulado en el art. 160 CE, permite siempre mandatos inferiores pero nunca superiores a tres años.</w:t>
      </w:r>
    </w:p>
    <w:p w:rsidR="0052098F" w:rsidRDefault="0052098F" w:rsidP="0052098F">
      <w:pPr>
        <w:pStyle w:val="TextoNormal"/>
      </w:pPr>
      <w:r>
        <w:t>b) Porque la permanencia “en funciones” del Presidente hasta que se produzca la renovación del Tribunal pertenece a la soberanía del Pleno y no puede ser impuesta por el legislador orgánico.</w:t>
      </w:r>
    </w:p>
    <w:p w:rsidR="0052098F" w:rsidRDefault="0052098F" w:rsidP="0052098F">
      <w:pPr>
        <w:pStyle w:val="TextoNormal"/>
      </w:pPr>
      <w:r>
        <w:t>c) Porque ninguna finalidad por legítima que sea, ni antecedentes históricos no aplicables, ni derecho comparado que nos es ajeno, ni ninguna interpretación sistemática, ni ejemplos de otras instituciones cuyas prórrogas, o incluso las de los mismos miembros de este Tribunal, no se nos han sometido, autorizan al legislador a alterar en la práctica el contenido literal de un precepto constitucional claro y preciso como lo es el art.  160 CE.</w:t>
      </w:r>
    </w:p>
    <w:p w:rsidR="0052098F" w:rsidRDefault="0052098F" w:rsidP="0052098F">
      <w:pPr>
        <w:pStyle w:val="TextoNormal"/>
      </w:pPr>
      <w:r>
        <w:t>La Sentencia de la que me aparto sostiene que esa claridad de la Constitución es solo “aparente” (penúltimo párrafo FJ 18) y trata de apoyar la constitucionalidad del precepto cuestionado, por una parte, vinculando el mandato de tres años de la Presidencia con la renovación del Tribunal Constitucional por tercios de sus miembros cada tres años; por otra parte en la distinción entre elección, que corresponde al Pleno del Tribunal por mandato de la Constitución, y prórroga, que, al no estar prevista por el constituyente, puede ser establecida por el legislador orgánico; finalmente, también se apoya en que precisamente esa prórroga ha sido la práctica seguida, aunque no uniformemente, por el propio Tribunal, con lo que la reforma legal no ha hecho mas que cristalizar la práctica del Pleno.</w:t>
      </w:r>
    </w:p>
    <w:p w:rsidR="0052098F" w:rsidRDefault="0052098F" w:rsidP="0052098F">
      <w:pPr>
        <w:pStyle w:val="TextoNormal"/>
      </w:pPr>
      <w:r>
        <w:t>No puedo compartir tampoco estas razones.</w:t>
      </w:r>
    </w:p>
    <w:p w:rsidR="0052098F" w:rsidRDefault="0052098F" w:rsidP="0052098F">
      <w:pPr>
        <w:pStyle w:val="TextoNormal"/>
      </w:pPr>
      <w:r>
        <w:t>La vinculación entre la renovación de un tercio del Tribunal cada tres años con el mandato por tres años de la presidencia, como argumento, empleado por la Sentencia de la que discrepo, para justificar que haya de esperarse siempre a la toma de posesión de los nuevos Magistrados en el Tribunal para la elección de Presidente, tratando de convertir en insoslayable la prórroga del mandato anterior, no puede aceptarse porque la atribución de la función de elegir Presidente, no lo es al conjunto o a la suma de los Magistrados, sino al Pleno como órgano únicamente legitimado para hacerlo, cualquiera que sean las personas que lo integran en cada momento y aunque esta afirmación la viene a compartir la Sentencia (FJ 20 in fine) elude que lo trascendente constitucionalmente es que, fuera o no soslayable la prórroga, o se emplee cualquier otro procedimiento para cubrir los tiempos que medien entre el término del mandato presidencial de tres años y la renovación del Tribunal, o incluso se elija un nuevo Presidente para otro mandato, una vez concluido el anterior, la decisión corresponde en todo caso y en exclusiva al Pleno.</w:t>
      </w:r>
    </w:p>
    <w:p w:rsidR="0052098F" w:rsidRDefault="0052098F" w:rsidP="0052098F">
      <w:pPr>
        <w:pStyle w:val="TextoNormal"/>
      </w:pPr>
      <w:r>
        <w:t xml:space="preserve">La distinción entre elección y prórroga de las funciones del elegido después del mandato, constituye una sutileza doctrinal, que aunque tenga base científica en la teoría general, no resulta entendible para aplicarla en este caso, pues supone distinguir donde la Constitución </w:t>
      </w:r>
      <w:r>
        <w:lastRenderedPageBreak/>
        <w:t>no lo hace, vulnerando un principio general de la interpretación jurídica, y lo que es más trascendente, conduciendo a un resultado que desapodera al Pleno del Tribunal, aunque sea durante un lapso más o menos largo de tiempo, además indefinido, de una de las funciones que la propia Constitución le encomienda y que es una garantía de su fuero, al que tristemente se renuncia.</w:t>
      </w:r>
    </w:p>
    <w:p w:rsidR="0052098F" w:rsidRDefault="0052098F" w:rsidP="0052098F">
      <w:pPr>
        <w:pStyle w:val="TextoNormal"/>
      </w:pPr>
      <w:r>
        <w:t>En cuanto a la práctica seguida por el Pleno del Tribunal, prorrogando en ocasiones anteriores, de manera expresa o tácita, el mandato de otras presidencias, cuando no coincidieron con la renovación de los tercios o con el mandato como Magistrado del que la ostentaba, resulta que es ahí donde está la diferencia y el núcleo del problema: en que es el Pleno del propio Tribunal Constitucional, como vengo reiterando, el único que puede hacerlo, porque, a mi entender, es el único habilitado por la Constitución y no lo puede hacer el legislador orgánico sin interferir gravemente en la autonomía de un órgano jurisdiccionalmente encargado de controlar la adecuación de las leyes a la Constitución y cuya autonomía es garantía de su independencia.</w:t>
      </w:r>
    </w:p>
    <w:p w:rsidR="0052098F" w:rsidRDefault="0052098F" w:rsidP="0052098F">
      <w:pPr>
        <w:pStyle w:val="TextoNormal"/>
      </w:pPr>
      <w:r>
        <w:t>Por todo lo que antecede, debió de estimarse el recurso de inconstitucionalidad, declarando la vulneración de la Constitución y anulando los preceptos impugnados.</w:t>
      </w:r>
    </w:p>
    <w:p w:rsidR="0052098F" w:rsidRDefault="0052098F" w:rsidP="0052098F">
      <w:pPr>
        <w:pStyle w:val="TextoNormal"/>
      </w:pPr>
      <w:r>
        <w:t>En tal sentido emito mi voto.</w:t>
      </w:r>
    </w:p>
    <w:p w:rsidR="0052098F" w:rsidRDefault="0052098F" w:rsidP="0052098F">
      <w:pPr>
        <w:pStyle w:val="TextoNormal"/>
      </w:pPr>
      <w:r>
        <w:t>Madrid, a nueve de abril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3" w:name="SENTENCIA_2008_50"/>
      <w:r>
        <w:lastRenderedPageBreak/>
        <w:t>SENTENCIA 50/2008, de 14 de abril de 2008</w:t>
      </w:r>
    </w:p>
    <w:bookmarkEnd w:id="53"/>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117, de 14 de mayo de 2008)</w:t>
      </w:r>
    </w:p>
    <w:p w:rsidR="0052098F" w:rsidRDefault="0052098F" w:rsidP="0052098F">
      <w:pPr>
        <w:pStyle w:val="TtuloBOE"/>
      </w:pPr>
    </w:p>
    <w:p w:rsidR="0052098F" w:rsidRDefault="0052098F" w:rsidP="0052098F">
      <w:pPr>
        <w:pStyle w:val="SntesisDescriptiva"/>
      </w:pPr>
      <w:r>
        <w:t>ECLI:ES:TC:2008:50</w:t>
      </w:r>
    </w:p>
    <w:p w:rsidR="0052098F" w:rsidRDefault="0052098F" w:rsidP="0052098F">
      <w:pPr>
        <w:pStyle w:val="SntesisDescriptiva"/>
      </w:pPr>
    </w:p>
    <w:p w:rsidR="0052098F" w:rsidRDefault="0052098F" w:rsidP="0052098F">
      <w:pPr>
        <w:pStyle w:val="SntesisDescriptiva"/>
      </w:pPr>
      <w:r>
        <w:t>Recursos de amparo 6458-2003, 6462-2003, 6494-2003, 6496-2003, 6498-2003 y 6500-2003 (acumulados). Promovidos por don Rafael Larreina Valderrama y otros respecto al Auto de la Sala del art. 61 LOPJ del Tribunal Supremo que declara nulos diversos Acuerdos del Parlamento Vasco en relación con la disolución del grupo parlamentario Araba, Bizkaia eta Gipuzkoako Sozialista Abertzaleak.</w:t>
      </w:r>
    </w:p>
    <w:p w:rsidR="0052098F" w:rsidRDefault="0052098F" w:rsidP="0052098F">
      <w:pPr>
        <w:pStyle w:val="SntesisDescriptiva"/>
      </w:pPr>
    </w:p>
    <w:p w:rsidR="0052098F" w:rsidRDefault="0052098F" w:rsidP="0052098F">
      <w:pPr>
        <w:pStyle w:val="SntesisAnaltica"/>
      </w:pPr>
      <w:r>
        <w:t>Supuesta vulneración de los derechos a participar en los asuntos públicos, al ejercicio del cargo parlamentario y a la tutela judicial efectiva: anulación de actos parlamentarios que impedían la ejecución de resoluciones judiciales firmes.</w:t>
      </w:r>
    </w:p>
    <w:p w:rsidR="0052098F" w:rsidRDefault="0052098F" w:rsidP="0052098F">
      <w:pPr>
        <w:pStyle w:val="SntesisAnaltica"/>
      </w:pPr>
    </w:p>
    <w:p w:rsidR="0052098F" w:rsidRDefault="0052098F" w:rsidP="0052098F">
      <w:pPr>
        <w:pStyle w:val="Extracto"/>
      </w:pPr>
      <w:r>
        <w:t>1.</w:t>
      </w:r>
      <w:r>
        <w:tab/>
        <w:t>La Sala del artículo 61 LOPJ no ha lesionado derechos fundamentales al haber dictado el Auto por el que se declararon nulos los acuerdos parlamentarios encaminados a impedir la ejecución de la Sentencia que declaró la disolución de los partidos políticos Herri Batasuna, Euskal Herritarrok y Batasuna, ya que dicho órgano judicial no podía dejar de reaccionar frente a una serie de resoluciones parlamentarias manifiestamente contrarias al contenido de una resolución judicial ya irresistible, a cuyo cumplimiento quedan todos, ciudadanos y poderes públicos, obligados de manera indiscutible e innegociable [FJ 4].</w:t>
      </w:r>
    </w:p>
    <w:p w:rsidR="0052098F" w:rsidRDefault="0052098F" w:rsidP="0052098F">
      <w:pPr>
        <w:pStyle w:val="Extracto"/>
      </w:pPr>
    </w:p>
    <w:p w:rsidR="0052098F" w:rsidRDefault="0052098F" w:rsidP="0052098F">
      <w:pPr>
        <w:pStyle w:val="Extracto"/>
      </w:pPr>
      <w:r>
        <w:t>2.</w:t>
      </w:r>
      <w:r>
        <w:tab/>
        <w:t>No ha habido exceso alguno de jurisdicción ni lesión ninguna de derechos fundamentales, quizás afectados en su contenido por las resoluciones judiciales que, en virtud de la pasividad de quienes como titulares de tales derechos pudieron padecer su infracción y no reaccionaron por los cauces legalmente establecidos al efecto, han adquirido toda la autoridad del ordenamiento y, como éste, han de ser acatadas sin discusión [FJ 4].</w:t>
      </w:r>
    </w:p>
    <w:p w:rsidR="0052098F" w:rsidRDefault="0052098F" w:rsidP="0052098F">
      <w:pPr>
        <w:pStyle w:val="Extracto"/>
      </w:pPr>
    </w:p>
    <w:p w:rsidR="0052098F" w:rsidRDefault="0052098F" w:rsidP="0052098F">
      <w:pPr>
        <w:pStyle w:val="Extracto"/>
      </w:pPr>
      <w:r>
        <w:t>3.</w:t>
      </w:r>
      <w:r>
        <w:tab/>
        <w:t>Las demandas de amparo no incurren en la causa de inadmisión de falta de agotamiento de todos los remedios procesales disponibles en la vía judicial, ya que el incidente de nulidad de actuaciones es pertinente para denunciar autónomamente en amparo una infracción del derecho a no padecer indefensión, pero nunca sería exigible para recurrir el Auto por el que se declararon nulos los acuerdos parlamentarios, por la vulneración de otros derechos fundamentales [FJ 3].</w:t>
      </w:r>
    </w:p>
    <w:p w:rsidR="0052098F" w:rsidRDefault="0052098F" w:rsidP="0052098F">
      <w:pPr>
        <w:pStyle w:val="Extracto"/>
      </w:pPr>
    </w:p>
    <w:p w:rsidR="0052098F" w:rsidRDefault="0052098F" w:rsidP="0052098F">
      <w:pPr>
        <w:pStyle w:val="Extracto"/>
      </w:pPr>
      <w:r>
        <w:t>4.</w:t>
      </w:r>
      <w:r>
        <w:tab/>
        <w:t>La legitimación de algunos de los demandantes para impetrar la defensa del derecho del Parlamento Vasco a la tutela judicial efectiva, en principio, no sería aceptable en quien formalmente no representa a la Asamblea, pero la imbricación en este caso de otros derechos fundamentales, también invocados por ellos, es tan íntima como para que sea preferible entrar en su fondo [FJ 3].</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lastRenderedPageBreak/>
        <w:t>La Sala Segunda del Tribunal Constitucional, compuesta por don Guillermo Jiménez Sánchez, Presidente; don Vicente Conde Martín de Hijas, doña Elisa Pérez Vera, don Eugeni Gay Montalvo y don Ramón Rodríguez Arribas,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los recursos de amparo acumulados núms. 6458-2003, 6462-2003, 6494-2003, 6496- 2003, 6498-2003 y 6500-2003, promovidos por don Rafael Larreina Valderrama, portavoz del Grupo Parlamentario Eusko Alkartasuna del Parlamento Vasco, representado por el Procurador de los Tribunales don Fernando Bermúdez de Castro Rosilo y asistido por el Letrado don Joaquín Ruiz-Giménez Aguilar; don Gorka Knörr Borràs, Vicepresidente del Parlamento Vasco, representado por el Procurador de los Tribunales don Fernando Bermúdez de Castro Rosilo y asistido por el Letrado don Joaquín Ruiz-Giménez Aguilar; don José Antonio Karrera Aguirrebarrena, portavoz del Grupo Parlamentario Ezker Batua del Parlamento Vasco, representado por la Procuradora de los Tribunales doña Mónica de la Paloma Fente Delgado y asistido por el Letrado don José Ángel Esnaola Hernández; don Juan María Atutxa Mendiola, Presidente del Parlamento Vasco, representado por el Procurador de los Tribunales don Pedro Rodríguez Rodríguez y asistido por los Letrados don José Ignacio Goikoetxeta González y don Javier Velasco Echevarría; doña María de la Concepción Bilbao Cuevas, Secretaria Segunda de la Mesa del Parlamento Vasco, representada por la Procuradora de los Tribunales doña Mónica Paloma Fente Delgado y asistida por el Letrado don José Ángel Esnaola Hernández; y don Joseba Mirena Egibar Artola, portavoz del Grupo Parlamentario Eusko Abertzaleak del Parlamento Vasco, representado por el Procurador de los Tribunales don Pedro Rodríguez Rodríguez y asistido por los Letrados don José Ignacio Goikoetxeta González y don Javier Velasco Echevarría, contra el Auto de la Sala del art.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articulo 61 LOPJ del Tribunal Supremo el 27 de marzo de 2003 en autos acumulados 6-2002 y 7-2002. Han sido parte el Abogado del Estado, en la representación que legalmente ostenta, el partido político Batasuna, representado por la Procuradora de los Tribunales doña Ana Lobera Argüelles y asistido por el Letrado don Íñigo Iruin Sanz, y el Ministerio Fiscal. Ha sido Ponente la Magistrada doña Elisa Pérez Vera,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Por escrito registrado en este Tribunal el 30 de octubre de 2003, don Rafael Larreina Valderrama, portavoz del Grupo Parlamentario Eusko Alkartasuna del Parlamento Vasco, representado por el Procurador de los Tribunales don Fernando Bermúdez de Castro Rosilo y asistido por el Letrado don Joaquín Ruiz-Giménez Aguilar, interpuso recurso de amparo </w:t>
      </w:r>
      <w:r>
        <w:lastRenderedPageBreak/>
        <w:t>núm. 6458-2003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en los que se fundamenta la demanda son, sucintamente expuestos, los que siguen: </w:t>
      </w:r>
    </w:p>
    <w:p w:rsidR="0052098F" w:rsidRDefault="0052098F" w:rsidP="0052098F">
      <w:pPr>
        <w:pStyle w:val="TextoNormal"/>
      </w:pPr>
      <w:r>
        <w:t xml:space="preserve">a) Por Sentencia de fecha 27 de marzo de 2003, dictada en los autos acumulados núms. 6- 2002 y 7-2002, sobre ilegalización de partidos políticos, la Sala del artículo 61 LOPJ del Tribunal Supremo pronunció el siguiente fallo: </w:t>
      </w:r>
    </w:p>
    <w:p w:rsidR="0052098F" w:rsidRDefault="0052098F" w:rsidP="0052098F">
      <w:pPr>
        <w:pStyle w:val="TextoNormal"/>
      </w:pPr>
      <w:r>
        <w:t xml:space="preserve">“Que debemos estimar y estimamos íntegramente las demandas interpuestas por el Sr. Abogado del Estado, en representación del Gobierno de la Nación, y por el Ministerio Fiscal y, en consecuencia: </w:t>
      </w:r>
    </w:p>
    <w:p w:rsidR="0052098F" w:rsidRDefault="0052098F" w:rsidP="0052098F">
      <w:pPr>
        <w:pStyle w:val="TextoNormal"/>
      </w:pPr>
      <w:r>
        <w:t xml:space="preserve">Primero.— Declaramos la ilegalidad de los partidos políticos demandados, esto es, de Herri Batasuna, de Euskal Herritarrok y de Batasuna. </w:t>
      </w:r>
    </w:p>
    <w:p w:rsidR="0052098F" w:rsidRDefault="0052098F" w:rsidP="0052098F">
      <w:pPr>
        <w:pStyle w:val="TextoNormal"/>
      </w:pPr>
      <w:r>
        <w:t xml:space="preserve">Segundo.— Declaramos la disolución de dichos partidos políticos con los efectos previstos en el art. 12.1 de la Ley Orgánica 6/2002, de Partidos Políticos. </w:t>
      </w:r>
    </w:p>
    <w:p w:rsidR="0052098F" w:rsidRDefault="0052098F" w:rsidP="0052098F">
      <w:pPr>
        <w:pStyle w:val="TextoNormal"/>
      </w:pPr>
      <w:r>
        <w:t xml:space="preserve">Tercero.— Ordenamos la cancelación de sus respectivas inscripciones causadas en el Registro de Partidos Políticos. </w:t>
      </w:r>
    </w:p>
    <w:p w:rsidR="0052098F" w:rsidRDefault="0052098F" w:rsidP="0052098F">
      <w:pPr>
        <w:pStyle w:val="TextoNormal"/>
      </w:pPr>
      <w:r>
        <w:t xml:space="preserve">Cuarto.— Los expresados partidos políticos, cuya ilegalidad se declara, deberán cesar de inmediato en todas las actividades que realicen una vez que sea notificada la presente sentencia. </w:t>
      </w:r>
    </w:p>
    <w:p w:rsidR="0052098F" w:rsidRDefault="0052098F" w:rsidP="0052098F">
      <w:pPr>
        <w:pStyle w:val="TextoNormal"/>
      </w:pPr>
      <w:r>
        <w:t xml:space="preserve">Quinto.— Procédase a la apertura de un proceso de liquidación patrimonial de Herri Batasuna, Euskal Herritarrok y Batasuna en la forma que se establece en el art. 12.1.c) de la Ley Orgánica 6/2002, de Partidos Políticos, lo que se llevará a cabo en ejecución de la presente sentencia”. </w:t>
      </w:r>
    </w:p>
    <w:p w:rsidR="0052098F" w:rsidRDefault="0052098F" w:rsidP="0052098F">
      <w:pPr>
        <w:pStyle w:val="TextoNormal"/>
      </w:pPr>
      <w:r>
        <w:t xml:space="preserve">b) Interesada la ejecución de la anterior Sentencia por parte del Abogado del Estado y el Ministerio Fiscal, la Sala, mediante Auto de 24 de abril de 2003, acordó ejecutar el fallo de la Sentencia y, entre otros pronunciamientos, adoptó el siguiente: </w:t>
      </w:r>
    </w:p>
    <w:p w:rsidR="0052098F" w:rsidRDefault="0052098F" w:rsidP="0052098F">
      <w:pPr>
        <w:pStyle w:val="TextoNormal"/>
      </w:pPr>
      <w:r>
        <w:t xml:space="preserve">“Diríjase comunicación a los Presidentes de los Gobiernos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Vizcaya y Guipúzcoa, para que procedan a la disolución de los grupos parlamentarios provinciales, forales y municipales que figuren bajo la denominación de Batasuna”. </w:t>
      </w:r>
    </w:p>
    <w:p w:rsidR="0052098F" w:rsidRDefault="0052098F" w:rsidP="0052098F">
      <w:pPr>
        <w:pStyle w:val="TextoNormal"/>
      </w:pPr>
      <w:r>
        <w:t>c) Tomado conocimiento de lo anterior, la Mesa del Parlamento Vasco, por Acuerdo de 7 de mayo de 2003, trasladó a la Sala del artículo 61 LOPJ los criterios y principios que sobre la posible disolución judicial de un grupo parlamentario como consecuencia obligada de la ilegalización de un partido político se habían recogido en Acuerdo de la propia Mesa de 3 de octubre de 2002, en el que, tras reiterarse el respeto de la Mesa a los órganos judiciales y reclamarse el debido al Parlamento Vasco, se afirma la responsabilidad de la Mesa en la defensa de la dignidad democrática e institucional de la Cámara, así como en la preservación de su ámbito de autoorganización y autonomía. En ejercicio de esa responsabilidad, la Mesa manifiesta que los partidos políticos y los grupos parlamentarios son realidades jurídicamente diferentes, de manera que las resoluciones judiciales que afecten a los prime</w:t>
      </w:r>
      <w:r>
        <w:lastRenderedPageBreak/>
        <w:t xml:space="preserve">ros no se comunican automáticamente a los segundos, para los que sería necesaria una resolución específica de los órganos parlamentarios competentes y de acuerdo con el Reglamento. Para la Mesa, la creación, el funcionamiento y la disolución de los grupos parlamentarios, además de integrarse en el ius in officium de los Diputados, pertenecen al ámbito de autonomía de la Cámara, por lo que una decisión judicial que disolviera per se un grupo contravendría el principio constitucional de la división de poderes. Consideraciones todas ellas que recuerda la Mesa que fueron compartidas sustancialmente por la Fiscalía General del Estado en un informe fechado el 28 de noviembre de 2002. </w:t>
      </w:r>
    </w:p>
    <w:p w:rsidR="0052098F" w:rsidRDefault="0052098F" w:rsidP="0052098F">
      <w:pPr>
        <w:pStyle w:val="TextoNormal"/>
      </w:pPr>
      <w:r>
        <w:t xml:space="preserve">d) Por Auto de 20 de mayo de 2003, la Sala del artículo 61 LOPJ acordó </w:t>
      </w:r>
    </w:p>
    <w:p w:rsidR="0052098F" w:rsidRDefault="0052098F" w:rsidP="0052098F">
      <w:pPr>
        <w:pStyle w:val="TextoNormal"/>
      </w:pPr>
      <w:r>
        <w:t xml:space="preserve">“declarar la disolución del Grupo Parlamentario Grupo Araba, Bizkaia Eta Guipuzkoako Socialista Abertzaleak (ABGSA) y, en consecuencia, expedir requerimiento al Excmo. Sr. Presidente del Parlamento Vasco a fin de que por la Mesa de aquella Cámara, sin demora, se lleve a efecto la disolución del citado Grupo Parlamentario que así ha sido acordada”. </w:t>
      </w:r>
    </w:p>
    <w:p w:rsidR="0052098F" w:rsidRDefault="0052098F" w:rsidP="0052098F">
      <w:pPr>
        <w:pStyle w:val="TextoNormal"/>
      </w:pPr>
      <w:r>
        <w:t xml:space="preserve">e) Mediante escrito de 4 de junio de 2003, el Presidente del Tribunal Supremo comunicó al Presidente del Parlamento Vasco que, por providencia de la misma fecha, la Sala del artículo 61 LOPJ instaba al Presidente de la Cámara y a los miembros de su Mesa para que en el plazo de cinco días procedieran “sin demora, pretexto o consideración de clase alguna” a hacer efectiva la disolución del Grupo Parlamentario Araba, Bizkaia Eta Guipuzkoako Socialista Abertzaleak (ABGSA) acordada por Auto de la Sala de 20 de mayo de 2003, con expreso apercibimiento de procederse por delito de desobediencia en caso de que fuese desatendida. </w:t>
      </w:r>
    </w:p>
    <w:p w:rsidR="0052098F" w:rsidRDefault="0052098F" w:rsidP="0052098F">
      <w:pPr>
        <w:pStyle w:val="TextoNormal"/>
      </w:pPr>
      <w:r>
        <w:t xml:space="preserve">f) Mediante Acuerdo de 5 de junio de 2003, la Mesa del Parlamento Vasco, visto el informe de los Servicios Jurídicos de la Cámara de fecha 4 de junio de 2003, aprobó una propuesta de Resolución General de la Presidencia del Parlamento Vasco en relación con los supuestos de disolución o suspensión de un partido político por resolución judicial. Con arreglo a dicha propuesta, advertido que el Reglamento de la Cámara no contempla el supuesto de la disolución judicial de formaciones políticas con representación en el Parlamento Vasco, se disponía que, dando aplicación al art. 24.2 del Reglamento, el Presidente del Parlamento, con el parecer favorable de la Mesa y de la Junta de Portavoces, acordara una resolución general en cuya virtud “los Parlamentarios integrados en un Grupo Parlamentario pasarán a formar parte del Grupo Mixto cuando el partido político en cuyas candidaturas fueron elegidos sea disuelto o suspendido por sentencia o resolución judicial firme”. Dicha Propuesta fue rechazada por la Junta de Portavoces del Parlamento Vasco en Acuerdo de 6 de junio de 2003, lo que fue comunicado al Presidente del Tribunal Supremo por el Presidente de la Cámara el 9 de junio de 2003, mediante oficio en el que se concluía que el Parlamento “se encuentra ante la imposibilidad de dar cumplimiento a las resoluciones judiciales” de la Sala. </w:t>
      </w:r>
    </w:p>
    <w:p w:rsidR="0052098F" w:rsidRDefault="0052098F" w:rsidP="0052098F">
      <w:pPr>
        <w:pStyle w:val="TextoNormal"/>
      </w:pPr>
      <w:r>
        <w:t xml:space="preserve">g) Por Auto de 18 de junio de 2003, la Sala del artículo 61 LOPJ adoptó las siguientes medidas para la material y definitiva ejecución de la disolución del Grupo Parlamentario ABGSA: </w:t>
      </w:r>
    </w:p>
    <w:p w:rsidR="0052098F" w:rsidRDefault="0052098F" w:rsidP="0052098F">
      <w:pPr>
        <w:pStyle w:val="TextoNormal"/>
      </w:pPr>
      <w:r>
        <w:t xml:space="preserve">“1º.- Se proceda al embargo de cuantas subvenciones o fondos, públicos o privados, pertenezcan al Grupo Parlamentario Autonómico disuelto, así como de los saldos de las cuentas corrientes que éste pudiera poseer en cualquier entidad de crédito, para cuya materialización requiérase a las partes personadas como actoras en el procedimiento principal para su precisa identificación. </w:t>
      </w:r>
    </w:p>
    <w:p w:rsidR="0052098F" w:rsidRDefault="0052098F" w:rsidP="0052098F">
      <w:pPr>
        <w:pStyle w:val="TextoNormal"/>
      </w:pPr>
      <w:r>
        <w:t xml:space="preserve">2º.- Requiérase al Interventor General del Parlamento Vasco para que proceda a realizar las actuaciones oportunas en orden a conseguir el reintegro de cuantas cantidades hayan sido entregadas al referido Grupo disuelto a partir del día 20 de mayo de 2003, así como </w:t>
      </w:r>
      <w:r>
        <w:lastRenderedPageBreak/>
        <w:t xml:space="preserve">para que se abstenga de abonarle cantidad alguna en lo sucesivo, todo ello bajo apercibimiento de responsabilidad personal. </w:t>
      </w:r>
    </w:p>
    <w:p w:rsidR="0052098F" w:rsidRDefault="0052098F" w:rsidP="0052098F">
      <w:pPr>
        <w:pStyle w:val="TextoNormal"/>
      </w:pPr>
      <w:r>
        <w:t xml:space="preserve">3º.- Requiérase al Presidente del Parlamento Vasco y a su Letrado Mayor-Secretario General, bajo apercibimiento de proceder para el caso de desatención o incumplimiento, para que de inmediato se adopten las medidas necesarias para retirar al Grupo Parlamentario disuelto del disfrute de cuantos locales y medios materiales les fueron asignados por causa de su existencia como tal Grupo. </w:t>
      </w:r>
    </w:p>
    <w:p w:rsidR="0052098F" w:rsidRDefault="0052098F" w:rsidP="0052098F">
      <w:pPr>
        <w:pStyle w:val="TextoNormal"/>
      </w:pPr>
      <w:r>
        <w:t xml:space="preserve">4º.- Requiérase al Presidente del Parlamento Vasco, miembros de la Mesa y Presidentes de Comisiones Permanentes para que en lo sucesivo, bajo responsabilidad personal para el caso de incumplimiento, actúen en pleno acatamiento de lo judicialmente decidido en el Auto de 20 de mayo de 2003, y en consecuencia impidan la presencia del Grupo disuelto en cuantas actuaciones de la vida parlamentaria quedan descritas en el apartado segundo del Fundamento Jurídico Segundo de la presente resolución. </w:t>
      </w:r>
    </w:p>
    <w:p w:rsidR="0052098F" w:rsidRDefault="0052098F" w:rsidP="0052098F">
      <w:pPr>
        <w:pStyle w:val="TextoNormal"/>
      </w:pPr>
      <w:r>
        <w:t xml:space="preserve">Todo lo anterior se entenderá sin perjuicio de cuantas providencias sean necesarias a partir de ahora hasta la llevanza a efecto, fiel y definitiva, de la disolución del siempre aludido Grupo Parlamentario.” </w:t>
      </w:r>
    </w:p>
    <w:p w:rsidR="0052098F" w:rsidRDefault="0052098F" w:rsidP="0052098F">
      <w:pPr>
        <w:pStyle w:val="TextoNormal"/>
      </w:pPr>
      <w:r>
        <w:t xml:space="preserve">h) La Mesa del Parlamento, por Acuerdo de 30 de junio de 2003, se ratificó “en la imposibilidad legal de dar cumplimiento a las medidas propuestas en el Auto del Tribunal Supremo de 18 de junio”. </w:t>
      </w:r>
    </w:p>
    <w:p w:rsidR="0052098F" w:rsidRDefault="0052098F" w:rsidP="0052098F">
      <w:pPr>
        <w:pStyle w:val="TextoNormal"/>
      </w:pPr>
      <w:r>
        <w:t xml:space="preserve">i) Por Auto de 24 de julio de 2003 la Sala del Tribunal Supremo desestimó el incidente de nulidad de actuaciones formulado por el Parlamento Vasco en relación con el Auto de 18 de junio de 2003. La Cámara sostenía, en síntesis, que debía haber sido emplazada formalmente como parte en el procedimiento de ejecución de la Sentencia disolutoria de los partidos cuya relación con el Grupo Parlamentario ABGSA fundamentaba la exigencia judicial de disolución de éste, e insistía en que los Autos acordados por la Sala suponían una injerencia en las potestades de organización y autonomía de la Asamblea. La Sala, por su parte, concluyó que la solicitud de nulidad era extemporánea, pues debió intentarse, en su caso, con ocasión del Auto de 24 de abril de 2003, por el que se despachaba ejecución de la Sentencia disolutoria. Sin embargo, la Sala, “aprovechando el momento y soporte que proporciona el presente Auto, estima que la relevancia sustancial y la complejidad de las cuestiones planteadas” y el hecho de que lo sean “por un Parlamento autonómico … cuyos miembros son depositarios de la legitimación directa que brota de su elección por los ciudadanos, habida cuenta además de que el principio de la separación de poderes forma parte de nuestra arquitectura constitucional”, se siente obligada a dar respuesta a la Cámara (FJ 5). Esto sentado, y tras insistir en que todos los poderes públicos están sometidos a la Constitución y al resto del ordenamiento (art. 9.1 CE), la Sala examina el modo en que ese sometimiento afecta a un Parlamento y el órgano que puede, en su caso, hacerlo efectivo. En cuanto a lo primero, la Sala, tras distinguir el distinto alcance del sometimiento de las Cámaras a las leyes tomando como criterio la divisoria entre sus actuaciones con relevancia ad intra y las de trascendencia ad extra, afirma que el caso debatido demuestra que entre uno y otro ámbitos “quedan intersticios que … han sido ocupados, para su pervivencia y desarrollo, por una organización que en su estrategia a veces ha adoptado … como personificaciones instrumentales, la forma de agrupaciones de electores, otras la de partidos políticos y en otras la de Grupos parlamentarios” (loc. cit.). En cuanto a lo segundo, afirma la Sala la plena competencia de la jurisdicción ordinaria para el control de la actuación gubernativa de las Cámaras, por mayor que sea la sustancia política de la misma. En cuanto al fondo, la Sala sostiene que su competencia para adoptar las medidas necesarias para la ejecución del fallo disolutorio de un partido no puede encontrar obstáculo en las prerrogativas parlamentarias, </w:t>
      </w:r>
      <w:r>
        <w:lastRenderedPageBreak/>
        <w:t xml:space="preserve">orientadas funcionalmente al ámbito de las competencias propias del Parlamento, desde el que no puede interferirse en el derecho a la tutela judicial efectiva. En particular, no se habría negado el margen de apreciación del Presidente de la Asamblea para determinar la existencia o no de una laguna reglamentaria, pues las facultades de interpretación que al respecto le atribuye el Reglamento de la Cámara no son políticas, sino, por referidas a la interpretación de normas, puramente regladas. Tampoco se habría lesionado el derecho del art. 23.2 CE, pues la disolución del grupo parlamentario no implicaba la pérdida del escaño de sus integrantes. En cuanto a la cobertura normativa para la disolución del grupo, la Sala reitera que se encuentra en el art. 12 de la Ley Orgánica 6/2002, de partidos políticos, mera concreción de la figura del fraude de ley prevista en el art. 6.4 del Código civil y con cuya aplicación en modo alguno se causaría la reformatio in peius denunciada por el Parlamento. </w:t>
      </w:r>
    </w:p>
    <w:p w:rsidR="0052098F" w:rsidRDefault="0052098F" w:rsidP="0052098F">
      <w:pPr>
        <w:pStyle w:val="TextoNormal"/>
      </w:pPr>
      <w:r>
        <w:t xml:space="preserve">j) La Mesa del Parlamento Vasco reconoció, por medio de Resolución de 9 de septiembre de 2003, el derecho del grupo parlamentario ABGSA a percibir la subvención correspondiente en los términos que derivan de lo previsto en el Reglamento y en el Acuerdo de la Mesa de 4 de febrero de 2003. </w:t>
      </w:r>
    </w:p>
    <w:p w:rsidR="0052098F" w:rsidRDefault="0052098F" w:rsidP="0052098F">
      <w:pPr>
        <w:pStyle w:val="TextoNormal"/>
      </w:pPr>
      <w:r>
        <w:t>k) Por Auto de 1 de octubre de 2003, la Sala del artículo 61 LOPJ del Tribunal Supremo, a la vista del estado de ejecución de su Sentencia de 27 de marzo de 2003 y de los oficios remitidos por la Presidencia del Parlamento Vasco acerca de la imposibilidad de disolver el grupo parlamentario ABGSA, tras requerir el parecer de las partes personadas en el procedimiento de ejecución, declaró “nulos de pleno derecho, por contravenir el derecho a la tutela judicial efectiva y hallarse encaminados a impedir la ejecución de la Sentencia de esta Sala de 27 de marzo de 2003 y Autos dictados a su consecuencia”, el Acuerdo de la Mesa del Parlamento Vasco de 5 de junio de 2003 (aprobatorio de una Propuesta de Resolución General de la Presidencia para suplir una laguna reglamentaria), el Acuerdo de la Junta de Portavoces de 6 de junio de 2003 (contrario a la propuesta anterior), el acuerdo implícito en el Oficio del Presidente del Parlamento Vasco de 9 de junio de 2003 (en el que se afirma la imposibilidad de dar cumplimiento a las resoluciones judiciales antes señaladas), el Acuerdo de la Mesa del Parlamento Vasco de 30 de junio de 2003 (en el que se ratifica el criterio del Presidente de la Cámara) y el Acuerdo de la Mesa del Parlamento Vasco de 9 de septiembre de 2003 (sobre subvención del grupo parlamentario ABGSA).</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Se interpone recurso de amparo contra el Auto de 1 de octubre de 2003 de la Sala del artículo 61 LOPJ del Tribunal Supremo por el que “se declaró la nulidad de pleno derecho de los acuerdos procedentes del Parlamento Vasco (Acuerdo de 6 de junio de 2003, de la Junta de Portavoces, en el que se mostraba el parecer desfavorable a la propuesta de resolución general de la Presidencia para complemento de una laguna en el Reglamento de la Cámara autonómica)”, interesándose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(suplico). </w:t>
      </w:r>
    </w:p>
    <w:p w:rsidR="0052098F" w:rsidRDefault="0052098F" w:rsidP="0052098F">
      <w:pPr>
        <w:pStyle w:val="TextoNormal"/>
      </w:pPr>
      <w:r>
        <w:t xml:space="preserve">El demandante de amparo fundamenta su legitimación para recurrir en su condición de titular del derecho fundamental que dice vulnerado por el Auto recurrido (art. 23.1 y 2 CE), dado que el Acuerdo anulado por dicho Auto se adoptó con su directa participación en tanto que miembro de la Junta de Portavoces de la Cámara y en ejercicio de las atribuciones propias de su cargo representativo. Sostiene, en segundo lugar, que contra el Auto impugnado no cabe recurso alguno en la vía judicial, tal y como, por lo demás, en el mismo se advierte, ni sería procedente, en particular, intentar el incidente de nulidad previsto en el art. 240.3 </w:t>
      </w:r>
      <w:r>
        <w:lastRenderedPageBreak/>
        <w:t xml:space="preserve">LOPJ, dada la naturaleza de los motivos impugnatorios en los que se fundamenta la demanda de amparo. </w:t>
      </w:r>
    </w:p>
    <w:p w:rsidR="0052098F" w:rsidRDefault="0052098F" w:rsidP="0052098F">
      <w:pPr>
        <w:pStyle w:val="TextoNormal"/>
      </w:pPr>
      <w:r>
        <w:t xml:space="preserve">En cuanto a las razones de fondo esgrimidas por el demandante de amparo, se invoca como vulnerado el derecho fundamental de participación a través de representantes (art. 23.1 y 2 CE) como consecuencia de la anulación, por el Auto recurrido, de los Acuerdos parlamentarios antes indicados. Dicho Auto habría conculcado las facultades que integran el status que el Reglamento del Parlamento Vasco confiere a los parlamentarios que ostentan, por mandato de la Cámara y en virtud de elección por el Pleno, los cargos de Presidente y de miembro de la Mesa, atentando también contra el status propio de los miembros de la Junta de Portavoces. </w:t>
      </w:r>
    </w:p>
    <w:p w:rsidR="0052098F" w:rsidRDefault="0052098F" w:rsidP="0052098F">
      <w:pPr>
        <w:pStyle w:val="TextoNormal"/>
      </w:pPr>
      <w:r>
        <w:t xml:space="preserve">Tras referir la doctrina sobre el derecho fundamental de participación política a la luz de los dos apartados del art. 23 CE recogida en la STC 40/2003, de 27 de febrero, alega el demandante de amparo que su aplicación al caso exige determinar dos extremos. Por un lado, si las facultades pretendidamente menoscabadas por el Tribunal Supremo pueden considerarse una manifestación directa del derecho de participación a través de representantes (art. 23.1 CE) en los términos garantizados por la configuración reglamentaria de los mismos (art. 23.2 CE). Por otro, si el Auto recurrido satisface los criterios interpretativos impuestos por la jurisprudencia constitucional y, antes aún, si la Sala que lo ha dictado es competente para anular actos y disposiciones parlamentarios que no versan sobre personal, administración y gestión patrimonial (art. 42 LOTC y art. 1.3 LJCA). </w:t>
      </w:r>
    </w:p>
    <w:p w:rsidR="0052098F" w:rsidRDefault="0052098F" w:rsidP="0052098F">
      <w:pPr>
        <w:pStyle w:val="TextoNormal"/>
      </w:pPr>
      <w:r>
        <w:t xml:space="preserve">Para el actor, los actos anulados son expresión del derecho fundamental del art. 23 CE e integran un ius in officium específico. Todos ellos, salvo el Acuerdo de 9 de septiembre de 2003 en materia de subvención, se insertan en un procedimiento parlamentario singular, regulado en el art. 24.2 del Reglamento del Parlamento Vasco (en adelante, RPV), que tenía por objeto la corrección de una laguna reglamentaria que hacía imposible atender al requerimiento de la Sala del Tribunal Supremo en orden a la disolución de un grupo parlamentario. Se trata de un procedimiento singular —continúa la demanda— por cuanto, de un lado, el Presidente, la Mesa y la Junta de Portavoces ejercen en él atribuciones muy distintas de las que desempeñan en su labor ordinaria de calificación y admisión a trámite de iniciativas, y, de otro, no intervienen en el mismo ni el Pleno ni ninguna Comisión. Esto último supone que los órganos directivos de la Cámara sustituyen a los estrictamente deliberantes y normalmente competentes para actuar en términos de oportunidad política y que son, por ello, el instrumento común de participación de los ciudadanos en el ejercicio de la función parlamentaria. Todo ello, además, en el ámbito de una materia típicamente reservada a los Reglamentos parlamentarios. </w:t>
      </w:r>
    </w:p>
    <w:p w:rsidR="0052098F" w:rsidRDefault="0052098F" w:rsidP="0052098F">
      <w:pPr>
        <w:pStyle w:val="TextoNormal"/>
      </w:pPr>
      <w:r>
        <w:t xml:space="preserve">Abunda el demandante en la afirmación de que una decisión del contenido de las resoluciones generales ex art. 24.2 RPV siempre comporta, por más que sea limitadamente, una capacidad de orientación política, sosteniendo que las facultades atribuidas en aquel procedimiento al Presidente, a la Mesa y a la Junta de Portavoces son equiparables a los derechos de enmienda, debate y votación ejercidos por los parlamentarios individuales y por los Grupos e integrados en el ius in officium de los representantes políticos. A lo que habría de sumarse la circunstancia de que el objeto mismo de la fallida Resolución General eran las causas de disolución de un grupo parlamentario, materia que pertenece al núcleo de la función representativa parlamentaria (STC 64/2002, de 11 de marzo, FJ 3). </w:t>
      </w:r>
    </w:p>
    <w:p w:rsidR="0052098F" w:rsidRDefault="0052098F" w:rsidP="0052098F">
      <w:pPr>
        <w:pStyle w:val="TextoNormal"/>
      </w:pPr>
      <w:r>
        <w:t xml:space="preserve">Alega seguidamente el demandante de amparo que el Auto recurrido depara una lesión efectiva del art. 23 CE al producir, sin fundamento constitucional alguno, un vaciamiento in abstracto y pro futuro de las facultades que el art. 24.2 RPV reconoce al Presidente y a los miembros de la Mesa y de la Junta de Portavoces, pues no sólo se anulan Acuerdos </w:t>
      </w:r>
      <w:r>
        <w:lastRenderedPageBreak/>
        <w:t xml:space="preserve">adoptados en un concreto procedimiento que, por lo demás, no concluyó con acto formal alguno, sino que se advierte de que la Sala procederá siempre en la misma forma ante futuras resoluciones parlamentarias de la misma naturaleza. Admonición coercitiva con la que, para el actor, se lesiona la libre formación de la voluntad del Parlamento. </w:t>
      </w:r>
    </w:p>
    <w:p w:rsidR="0052098F" w:rsidRDefault="0052098F" w:rsidP="0052098F">
      <w:pPr>
        <w:pStyle w:val="TextoNormal"/>
      </w:pPr>
      <w:r>
        <w:t xml:space="preserve">El escrito de demanda examina a continuación el fundamento que el Auto impugnado puede encontrar en el derecho a la tutela judicial efectiva invocado por el Tribunal Supremo, concretamente en su vertiente del derecho a la ejecución de las resoluciones judiciales firmes; en el caso, la Sentencia de 27 de marzo de 2003 disolutoria de tres partidos políticos. Para el recurrente, de la doctrina constitucional en la materia se deducen tres conclusiones: a) que el derecho a la ejecución no es absoluto; b) que su ámbito propio e infranqueable es la relación procesal sobre la que se haya articulado el debate resuelto por la resolución a ejecutar; y, c) que la fuerza y efectos del título sólo pueden desplegarse cuando sea válida la resolución judicial que lo reconozca por ser fiel al fallo de la sentencia de la que trae causa y por estar ésta fundada en una ley válida aplicada al caso. Por tanto, no cumpliéndose alguna de estas condiciones decaería el principio de la ejecución en sus términos de las resoluciones judiciales, centrándose así la demanda de amparo en el examen de las circunstancias del caso desde esa triple perspectiva. </w:t>
      </w:r>
    </w:p>
    <w:p w:rsidR="0052098F" w:rsidRDefault="0052098F" w:rsidP="0052098F">
      <w:pPr>
        <w:pStyle w:val="TextoNormal"/>
      </w:pPr>
      <w:r>
        <w:t xml:space="preserve">En primer lugar, sostiene el demandante de amparo que el principio de separación de poderes y los derechos de los parlamentarios, en tanto que categorías definidoras del sistema político instaurado en la Constitución (art. 1.1 y 2 CE), constituyen límites a la ejecución de resoluciones judiciales, lo que en modo alguno supone la existencia de una esfera exenta de juridicidad o de control, como acreditan la existencia de la jurisdicción constitucional y la competencia de la ordinaria para el control de los actos administrativos de las Asambleas. El Parlamento Vasco y sus resoluciones están sometidos a Derecho, pero en razón del principio de separación de poderes ese sometimiento sólo puede ser fiscalizado por los Tribunales ordinarios en los términos estrictos y tasados de la Ley de la jurisdicción contencioso-administrativa. Fuera de ello, y al margen de la jurisdicción penal o de la legislación electoral, sólo el Tribunal Constitucional puede enjuiciar su actividad con arreglo al título IX de la Constitución. Sería, por tanto, inaceptable que se invirtieran los términos de la cuestión y, so pretexto de reducir a la mínima expresión los interna corporis o de evitar que los privilegios parlamentarios redunden en perjuicio de derechos fundamentales de terceros, se dé curso al activismo judicial más allá de las leyes delimitadoras de la jurisdicción ordinaria y en perjuicio de los derechos reconocidos en los arts. 23 y 24 CE, que no pueden verse restringidos o menoscabados por las resoluciones judiciales en su contenido constitucionalmente declarado (art. 7.2 LOPJ). Muy por el contrario —prosigue la demanda—, el Auto impugnado omite toda consideración sobre los derechos que por su status corresponden al Presidente del Parlamento y a los miembros de la Mesa y de la Junta de Portavoces, y desde luego no los pondera en su concurrencia con el derecho a la tutela judicial efectiva, único atendido por la Sala y que, por lo demás, se predica del Ministerio Fiscal y de la Abogacía del Estado, es decir, del poder público del Estado, al que se sacrifica en último término un principio tan esencial del Estado mismo como es el de la separación de poderes. </w:t>
      </w:r>
    </w:p>
    <w:p w:rsidR="0052098F" w:rsidRDefault="0052098F" w:rsidP="0052098F">
      <w:pPr>
        <w:pStyle w:val="TextoNormal"/>
      </w:pPr>
      <w:r>
        <w:t xml:space="preserve">En lo que hace a la segunda de las condiciones antes señaladas, alega, a continuación, el demandante de amparo que la ejecución de una Sentencia no puede realizarse con el sacrificio de los derechos fundamentales de terceros ajenos a la relación procesal. Y tal es la circunstancia que concurre en el Presidente y en los miembros de la Mesa y de la Junta de Portavoces del Parlamento Vasco, respecto de quienes en el Auto de la Sala de 24 de julio de 2003 se reconoce que no podrían tener la condición de partes en el proceso en el que tiene su origen el Auto ahora recurrido. Pese a ello, en este último Auto se les conmina a </w:t>
      </w:r>
      <w:r>
        <w:lastRenderedPageBreak/>
        <w:t xml:space="preserve">seguir los dictados de la Sala y a anular los actos parlamentarios que, en ejercicio de sus derechos ex art. 23.1 y 2 CE, han contribuido a producir. A juicio del recurrente, la doctrina sentada en el ATC 659/1987, de 27 de mayo, FJ 2, en relación con el alcance de la jurisdicción del Tribunal Constitucional sobre los actos parlamentarios es tanto más aplicable a la jurisdicción ordinaria. Muy por el contrario, el Tribunal Supremo se habría inspirado en una aplicación analógica de las previsiones de los arts. 103 y sigs. LJCA en materia de ejecución de Sentencias por la Administración, considerando como actos de “personal, administración y gestión patrimonial” unas actuaciones parlamentarias que, por lo dicho, serían inmunes a todo control que no sea el de la jurisdicción constitucional. </w:t>
      </w:r>
    </w:p>
    <w:p w:rsidR="0052098F" w:rsidRDefault="0052098F" w:rsidP="0052098F">
      <w:pPr>
        <w:pStyle w:val="TextoNormal"/>
      </w:pPr>
      <w:r>
        <w:t>En tercer lugar, sostiene el demandante que el Auto recurrido excede la jurisdicción de la Sala del artículo 61 LOPJ, infringe el principio de intangibilidad de la cosa juzgada y causa indefensión. Para el demandante, el fallo de la Sentencia de 27 de marzo de 2003 no incluye como consecuencia necesaria la disolución de ningún grupo parlamentario, efecto éste que tampoco se contempla en el art. 12 de la Ley de partidos políticos como consecuencia natural de la disolución de un partido. La propia Sentencia determinaba los efectos de la disolución de los partidos en ella ilegalizados “con plena independencia de que el estatuto singular de los miembros de dichos partidos siga la suerte prevista para ellos en las normas jurídicas que resulten de aplicación” (FJ séptimo), siendo así que, por lo que hace a los parlamentarios, un elemento sustancial de su “estatuto singular” (cuya disciplina específica corresponde, además, al Reglamento de la Cámara) es el derecho a formar o a integrarse en grupos parlamentarios (así, STC 64/2002, de 11 de marzo, FJ 3). Por ello es inadmisible, para el recurrente, la conclusión alcanzada por la Sala en su Auto de 20 de mayo de 2003 en el sentido de que la Sentencia de 27 de marzo de 2003 daba por supuesto que una de las consecuencias del art. 12 LOPP era la disolución de los grupos parlamentarios, lo que, por otro lado, no se compadecería con lo afirmado en la STC 85/2003, de 8 de mayo, FJ 23. En definitiva, el Auto recurrido habría modificado y tergiversado arbitrariamente, de forma sustancial y palpable, los términos del fallo que pretendía ejecutarse, vulnerando así el principio de intangibilidad de las Sentencias firmes, conforme a la doctrina resumida en la STC 163/2003, de 29 de septiembre, e ignorando, con infracción del art. 5 LOPJ, los arts. 19 a 21 RPV, normas con valor de ley que configuran el estatuto personal de los miembros del Parlamento Vasco y que sólo habrían podido ser objeto, por la Sala del Tribunal Supremo, en su caso, de una cuestión de inconstitucionalidad elevada al Tribunal Constitucional.</w:t>
      </w:r>
    </w:p>
    <w:p w:rsidR="0052098F" w:rsidRDefault="0052098F" w:rsidP="0052098F">
      <w:pPr>
        <w:pStyle w:val="TextoNormal"/>
      </w:pPr>
    </w:p>
    <w:p w:rsidR="0052098F" w:rsidRDefault="0052098F" w:rsidP="0052098F">
      <w:pPr>
        <w:pStyle w:val="TextoNormal"/>
      </w:pPr>
      <w:r w:rsidRPr="0052098F">
        <w:rPr>
          <w:rStyle w:val="NumeroAFNegritaCaracter"/>
        </w:rPr>
        <w:t>4</w:t>
      </w:r>
      <w:r>
        <w:t>. Mediante providencia de 18 de marzo de 2004, la Sección Cuarta de este Tribunal acordó, de conformidad con el art. 50.3 LOTC, requerir al demandante de amparo y al Ministerio Fiscal para que alegaran en relación con la posible carencia de contenido constitucional de la demanda [art. 50.1 c) LOTC], especificándose que el representante procesal del actor debía aportar el documento acreditativo de su condición de parlamentario que decía acompañar con su demanda.</w:t>
      </w:r>
    </w:p>
    <w:p w:rsidR="0052098F" w:rsidRDefault="0052098F" w:rsidP="0052098F">
      <w:pPr>
        <w:pStyle w:val="TextoNormal"/>
      </w:pPr>
    </w:p>
    <w:p w:rsidR="0052098F" w:rsidRDefault="0052098F" w:rsidP="0052098F">
      <w:pPr>
        <w:pStyle w:val="TextoNormal"/>
      </w:pPr>
      <w:r w:rsidRPr="0052098F">
        <w:rPr>
          <w:rStyle w:val="NumeroAFNegritaCaracter"/>
        </w:rPr>
        <w:t>5</w:t>
      </w:r>
      <w:r>
        <w:t>. Por Auto de 14 de octubre de 2004 la Sala Segunda de este Tribunal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6</w:t>
      </w:r>
      <w:r>
        <w:t>. Una vez recibidas las alegaciones interesadas ex art. 50.3 LOTC, la Sala Segunda, por providencia de 28 de octubre de 2004, de conformidad con el art. 11.2 LOTC, acordó conocer del presente recurso de amparo y admitir a trámite la demanda. En consecuencia, y de conformidad con el art. 51 LOTC, se acordó dirigir atenta comunicación a la Sala del artículo 61 LOPJ del Tribunal Supremo a fin de que remitiera certificación o copia adverada de las actuaciones correspondientes a los autos acumulados 6-2002 y 7-2002 desde el Auto de 24 de abril de 2003, y procediera al emplazamiento, en el plazo de diez días, de quienes hubieran sido parte en el procedimiento, con exclusión del demandante de amparo.</w:t>
      </w:r>
    </w:p>
    <w:p w:rsidR="0052098F" w:rsidRDefault="0052098F" w:rsidP="0052098F">
      <w:pPr>
        <w:pStyle w:val="TextoNormal"/>
      </w:pPr>
    </w:p>
    <w:p w:rsidR="0052098F" w:rsidRDefault="0052098F" w:rsidP="0052098F">
      <w:pPr>
        <w:pStyle w:val="TextoNormal"/>
      </w:pPr>
      <w:r w:rsidRPr="0052098F">
        <w:rPr>
          <w:rStyle w:val="NumeroAFNegritaCaracter"/>
        </w:rPr>
        <w:t>7</w:t>
      </w:r>
      <w:r>
        <w:t>. Mediante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al presente recurso de los tramitados en la misma Sala con los números 6462-2003, 6494-2003, 6496-2003, 6498-2003 y 6500-2003.</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escrito de alegaciones del Abogado del Estado se registró en el Tribunal el 12 de enero de 2005. Comienza el representante del Gobierno por especificar que el actor recurre en su condición de portavoz de un grupo parlamentario del Parlamento Vasco y que lo hace contra una resolución judicial en cuanto anula un concreto Acuerdo de la Junta de Portavoces de aquella Cámara, de fecha 6 de junio de 2003 y calificable como acto de trámite y definitivo, imputando a la Sala del artículo 61 LOPJ del Tribunal Supremo la infracción de los arts. 23 y 24.1 CE. En cuanto a la pretendida lesión del art. 23 CE, afirma el Abogado del Estado que la demanda se asienta en la, a su juicio, muy discutible premisa de que las funciones ejercitadas por el actor como miembro de la Junta de Portavoces deben considerarse funciones de representación política cuyo ejercicio sin restricciones indebidas está amparado por el art. 23.2 CE. Siendo esa la cuestión de fondo, entiende el representante del Gobierno que no merece la pena desarrollar el problema en la perspectiva de la concurrencia o no concurrencia del presupuesto procesal de la legitimación del recurrente para instar la defensa de un derecho del que sólo sería titular si, como se sostiene en su recurso, las funciones de los miembros de la Junta de Portavoces quedasen comprendidas en el ámbito de la representación política. </w:t>
      </w:r>
    </w:p>
    <w:p w:rsidR="0052098F" w:rsidRDefault="0052098F" w:rsidP="0052098F">
      <w:pPr>
        <w:pStyle w:val="TextoNormal"/>
      </w:pPr>
      <w:r>
        <w:t xml:space="preserve">Por su lado, la infracción del art. 24.1 CE sería, en una parte, una consecuencia derivada de la previa infracción del art. 23 CE y, en otra, una lesión autónoma, cifrada en un supuesto exceso de jurisdicción y en la vulneración del principio de intangibilidad de la cosa juzgada. Este sería, para el Abogado del Estado, el auténtico fondo de la cuestión suscitada, y respecto de la misma sí cabe plantearse el problema de la legitimación del recurrente para alegar la violación del derecho a la intangibilidad o a la ejecución sin excesos de la Sentencia de 27 de marzo de 2003. Es patente —continúa el escrito de alegaciones— que quien habría padecido el pretendido exceso de ejecución no sería el demandante de amparo, sino el Parlamento Vasco, cuya representación ad extra no corresponde a la Junta de Portavoces, sino al Presidente de la Asamblea o, colegiadamente, a la Mesa (arts. 22.1 y 24.1 RPV). Por ello, </w:t>
      </w:r>
      <w:r>
        <w:lastRenderedPageBreak/>
        <w:t xml:space="preserve">alega el Abogado del Estado, la demanda es en este punto inadmisible por falta de legitimación del actor, aun cuando también examine, con carácter subsidiario, el fundamento de la denunciada infracción del art. 24.1 CE. </w:t>
      </w:r>
    </w:p>
    <w:p w:rsidR="0052098F" w:rsidRDefault="0052098F" w:rsidP="0052098F">
      <w:pPr>
        <w:pStyle w:val="TextoNormal"/>
      </w:pPr>
      <w:r>
        <w:t xml:space="preserve">En cuanto hace a la posible infracción del art. 23 CE, alega el representante del Gobierno que es aconsejable delimitar la queja constitucional del recurrente. En lo que se refiere al art. 23.2 CE sólo cabría reconocer al demandante legitimación para defender su propio derecho fundamental, nunca los ajenos (SSTC 11/1992, de 27 de enero, FJ 2, y 239/2001, de 18 de diciembre, FJ 4), como aquéllos de los que podrían ser titulares los miembros de la Mesa, los otros portavoces, los parlamentarios de ABGSA o los partidos políticos disueltos. De otro lado, en el presente supuesto sólo procedería examinar si el Auto impugnado, en su pronunciamiento concretamente recurrido, viola el derecho del art. 23.2 CE del que pueda ser titular quien demanda y en la calidad con que lo hace. Han de quedar fuera, por tanto, para el Abogado del Estado, las infracciones que cupiera imputar a resoluciones anteriores de la misma Sala, tales como el Auto despachando la ejecución, de 24 de abril de 2003, el Auto de disolución del Grupo Parlamentario, de 20 de mayo de 2003, la providencia por la que se insta el cumplimiento de este último, de 4 de junio de 2003, el Auto en el que se adoptaron medidas de ejecución, de 18 de junio de 2003, o el desestimatorio de la nulidad de actuaciones pretendida respecto del mismo, de 24 de julio de 2003. Resoluciones todas ellas frente a las que el demandante no presentó demanda de amparo en el plazo del art. 44.2 LOTC. </w:t>
      </w:r>
    </w:p>
    <w:p w:rsidR="0052098F" w:rsidRDefault="0052098F" w:rsidP="0052098F">
      <w:pPr>
        <w:pStyle w:val="TextoNormal"/>
      </w:pPr>
      <w:r>
        <w:t xml:space="preserve">Tras exponer la doctrina constitucional resumida en la STC 107/2001, de 23 de abril, FJ 3, sobre el alcance de la protección que el art. 23.2 CE otorga a las funciones de los parlamentarios, afirma el Abogado del Estado que cooperar al informe sobre una iniciativa de resolución general supletoria de lagunas reglamentarias (informe materializado en el Acuerdo de la Junta de Portavoces de 6 de junio de 2003, cuya anulación por el Auto impugnado constituye el único objeto de la demanda) no forma parte del núcleo de la función de representación política de los parlamentarios. La suplencia de lagunas reglamentarias, en la medida en que la Junta de Portavoces interviene en tal cometido, supone, para el Abogado del Estado, el ejercicio de una importante potestad normativa orientada a la dirección de la vida parlamentaria y del gobierno interno de la Asamblea, pero no puede considerarse ejercicio de funciones nucleares de representación política, como son las legislativas o de control. Sin negar que su ejercicio pueda condicionar el desempeño de las funciones de representación de los parlamentarios, especialmente a la hora de organizarse en Grupos, el fundamento constitucional directo de tales funciones de dirección y gobierno interno no estaría en la representación política de los ciudadanos, sino en el buen orden de la actividad parlamentaria. No habría, por tanto, violación del art. 23.2 CE en relación con el art. 23.1 CE. Y aun cuando se concediera dialécticamente que los actos anulados entran en la esfera del art. 23.2 CE, entiende el Abogado del Estado que la infracción del derecho fundamental reposaría en la previa calificación del Auto impugnado como jurídicamente incorrecto por lesivo de la división constitucional de poderes e incurso en exceso jurisdiccional. De manera que, en definitiva, y pese a la impresión que pretende darse en la demanda, la verdadera cuestión es si el Auto recurrido violenta ese principio constitucional, debiendo concluirse, en caso afirmativo, que se habría conculcado el derecho del Parlamento a la tutela judicial efectiva antes que el derecho al libre ejercicio de las potestades de dirección y gobierno de la Cámara que el recurrente entiende protegido por el art. 23.2 CE en relación con el art. 23.1 CE. Naturalmente, de no haber exceso de jurisdicción, no sólo no habría lesión del art. 24.1 CE, sino tampoco infracción del art. 23.2 CE. </w:t>
      </w:r>
    </w:p>
    <w:p w:rsidR="0052098F" w:rsidRDefault="0052098F" w:rsidP="0052098F">
      <w:pPr>
        <w:pStyle w:val="TextoNormal"/>
      </w:pPr>
      <w:r>
        <w:lastRenderedPageBreak/>
        <w:t xml:space="preserve">Con el carácter subsidiario antes anunciado, la última parte del escrito de alegaciones se dedica a la demostración de que, para el Abogado del Estado, no ha habido en el caso infracción alguna del derecho a la tutela judicial efectiva del Parlamento Vasco por exceso de jurisdicción. A este respecto se sostiene, en primer lugar, que la demanda se esfuerza en entrelazar dos cuestiones que deben separarse, a saber: de un lado, si la disolución del Grupo Parlamentario ABGSA es o no una adecuada medida de ejecución de la Sentencia de 27 de marzo de 2003; de otro, si supone o no un exceso de jurisdicción que la Sala declare nulos diversos actos parlamentarios. Para el representante del Gobierno, en este proceso no puede entrarse en la primera de estas cuestiones, pues ni el actor está legitimado para la defensa de derechos ajenos ni recurrió en tiempo y forma contra el Auto disolutorio de 20 de mayo de 2003. Por tanto, sólo cabe discutir sobre el eventual exceso de jurisdicción, que el Abogado del Estado descarta, toda vez que tanto los arts. 117.3 y 118 CE como el propio art. 24.1 CE justifican que se declaren nulos por resolución judicial los actos parlamentarios sin valor de ley que se opongan, impidan u obstaculicen la ejecución de una Sentencia firme, se trate de actos materialmente administrativos de un órgano de la Cámara o de actos relativos al gobierno de la Asamblea y a la dirección de la vida parlamentaria. </w:t>
      </w:r>
    </w:p>
    <w:p w:rsidR="0052098F" w:rsidRDefault="0052098F" w:rsidP="0052098F">
      <w:pPr>
        <w:pStyle w:val="TextoNormal"/>
      </w:pPr>
      <w:r>
        <w:t xml:space="preserve">La división de poderes —continúa el Abogado del Estado— no puede utilizarse como escudo para resistirse al cumplimiento de una resolución judicial firme. Por el contrario, el art. 118 CE fuerza a considerar como jurídicamente debidos los actos internos de cumplimiento de una resolución judicial firme que deban ser adoptados por la Cámara. Si en su lugar los órganos directivos del Parlamento adoptan otros contrarios a tal deber de acatamiento, el Tribunal de ejecución goza de potestad para declararlos nulos. El Abogado del Estado admite la eventualidad de la imposibilidad legal del cumplimiento en sus propios términos de la resolución judicial firme, hipótesis admitida en el art. 18.2 LOPJ y en el art. 105.2 y 3 LJCA, pero en la que el poder público no judicial no goza de la prerrogativa de declarar, por sí y ante sí, la imposibilidad material o legal de ejecución, ni, menos aún, de no ejecutar la resolución firme. Su único derecho es puramente procesal: ha de plantear el problema al Tribunal de ejecución para que sea éste el que valore la real existencia de la causa obstativa y determine luego las medidas necesarias que aseguren la mayor efectividad de la ejecutoria. En otro caso, el Tribunal de ejecución tiene el deber constitucional de reaccionar, pues de no hacerlo no sólo perjudicaría el derecho a la tutela judicial efectiva, sino que haría abdicación de la función que constitucionalmente le impone el art. 117.3 CE. Uno de los medios de reacción es la declaración de nulidad de los actos infractores del deber de cumplimiento, pues los mismos son inequívocamente inválidos con arreglo al art. 6.3 CC o, en su caso, al art. 6.4 del mismo Código. </w:t>
      </w:r>
    </w:p>
    <w:p w:rsidR="0052098F" w:rsidRDefault="0052098F" w:rsidP="0052098F">
      <w:pPr>
        <w:pStyle w:val="TextoNormal"/>
      </w:pPr>
      <w:r>
        <w:t xml:space="preserve">En el presente caso, concluye el Abogado del Estado, la disolución del grupo parlamentario ABGSA por el Auto de 20 de mayo de 2003 era para todos los órganos del Parlamento Vasco un pronunciamiento inatacable, del que debían partir obligadamente. Es cierto que dicho Auto podría ser impugnado en amparo, tal vez por alguna parte ejecutada o interviniente en la ejecución (incluso por la propia Cámara si se hubiera personado como tal), tal vez por los propios integrantes del grupo disuelto, y que de prosperar la demanda su nulidad habría afectado a resoluciones judiciales posteriores, entre ellas el Auto que aquí se impugna. Pero una cosa es que la subsistencia jurídica de este último dependa de otra resolución acaso impugnada en un proceso diferente, y otra muy distinta es el enjuiciamiento independiente de la cuestión relativa a si el Auto de 1 de octubre de 2003 vulnera autónomamente el derecho a la tutela judicial efectiva del Parlamento Vasco, único punto que aquí interesa. Así entendido el objeto de la cuestión, es patente, para el representante del Gobierno, que no ha habido exceso alguno de jurisdicción en el Auto recurrido. </w:t>
      </w:r>
    </w:p>
    <w:p w:rsidR="0052098F" w:rsidRDefault="0052098F" w:rsidP="0052098F">
      <w:pPr>
        <w:pStyle w:val="TextoNormal"/>
      </w:pPr>
      <w:r>
        <w:lastRenderedPageBreak/>
        <w:t>Por lo expuesto, el Abogado del Estado interesa que se dicte Sentencia por la que se declare inadmisible, por falta de legitimación, la petición de amparo basada en la violación del derecho a la tutela judicial efectiva por supuesto exceso de jurisdicción, y se desestime la demanda en lo demás. Con carácter subsidiario, se solicita la desestimación del amparo pretendido por no haber tenido lugar las violaciones de derechos fundamentales en que se basa la demanda.</w:t>
      </w:r>
    </w:p>
    <w:p w:rsidR="0052098F" w:rsidRDefault="0052098F" w:rsidP="0052098F">
      <w:pPr>
        <w:pStyle w:val="TextoNormal"/>
      </w:pPr>
    </w:p>
    <w:p w:rsidR="0052098F" w:rsidRDefault="0052098F" w:rsidP="0052098F">
      <w:pPr>
        <w:pStyle w:val="TextoNormal"/>
      </w:pPr>
      <w:r w:rsidRPr="0052098F">
        <w:rPr>
          <w:rStyle w:val="NumeroAFNegritaCaracter"/>
        </w:rPr>
        <w:t>9</w:t>
      </w:r>
      <w:r>
        <w:t>. Mediante escrito registrado en el Tribunal el 19 de enero de 2005 el representante procesal del demandante de amparo dio por reproducidas las razones contenidas en sus escritos de demanda y de alegaciones ex art. 50.3 LOTC.</w:t>
      </w:r>
    </w:p>
    <w:p w:rsidR="0052098F" w:rsidRDefault="0052098F" w:rsidP="0052098F">
      <w:pPr>
        <w:pStyle w:val="TextoNormal"/>
      </w:pPr>
    </w:p>
    <w:p w:rsidR="0052098F" w:rsidRDefault="0052098F" w:rsidP="0052098F">
      <w:pPr>
        <w:pStyle w:val="TextoNormal"/>
      </w:pPr>
      <w:r w:rsidRPr="0052098F">
        <w:rPr>
          <w:rStyle w:val="NumeroAFNegritaCaracter"/>
        </w:rPr>
        <w:t>10</w:t>
      </w:r>
      <w:r>
        <w:t xml:space="preserve">. El escrito de alegaciones de la representante procesal del partido político Batasuna se registró en el Tribunal el 20 de enero de 2005. En él declara su plena conformidad con la fundamentación jurídica de la demanda de amparo, de manera que, con ánimo de evitar reiteraciones, se limita a enunciar los criterios que, a su juicio, han de conducir a la estimación del recurso. </w:t>
      </w:r>
    </w:p>
    <w:p w:rsidR="0052098F" w:rsidRDefault="0052098F" w:rsidP="0052098F">
      <w:pPr>
        <w:pStyle w:val="TextoNormal"/>
      </w:pPr>
      <w:r>
        <w:t>En primer lugar, que el Parlamento Vasco dispone de autonomía para regular su organización y funcionamiento mediante su propio Reglamento (norma de desarrollo directo de la Constitución y única habilitada para disciplinar la “materia parlamentaria”) y para llevar a cabo las actuaciones ejecutivas de aplicación de sus disposiciones. En segundo lugar, que el grupo parlamentario es una agrupación cuya regulación constituye materia reservada al Reglamento de la Asamblea, creada por los parlamentarios en ejercicio de su derecho de participación política derivado del art. 23.2 CE, en estrecha conexión con el derecho a participar en los asuntos públicos del art. 23.1 CE, e independiente de la formación política en cuyas listas hayan presentado sus candidaturas en las elecciones a la Cámara, según reiterada jurisprudencia (SSTC 5/1983, 10/1983, 36/1990 y 214/1990). En tercer lugar, que la Ley Orgánica de partidos políticos no contiene ninguna previsión sobre la disolución de los grupos parlamentarios ni puede contenerla, por ser materia reservada al Reglamento de la Cámara. En cuarto lugar, que el Auto recurrido en este proceso extralimita el ámbito de la potestad jurisdiccional e invade el ámbito competencial del Parlamento Vasco: de un lado, por pronunciarse sobre un grupo parlamentario en un proceso que versa sobre la ilegalización de un partido político; de otro, porque la Ley de partidos es un canon de enjuiciamiento palmariamente inadecuado para decidir acerca de la conformidad a Derecho de la existencia de un grupo parlamentario, lo cual sólo puede determinarse tomando como base el art. 23 CE y las previsiones del Reglamento; por último, porque los actos y resoluciones de la Cámara relativos a Grupos Parlamentarios sólo pueden ser enjuiciados por el Tribunal Constitucional. Como quinto criterio relevante se afirma el de que el conflicto entre el Parlamento Vasco y el Tribunal Supremo por exceso competencial del segundo no tiene previsto mecanismo para su resolución, por lo que la Cámara no tiene otra posibilidad que actuar conforme a lo dispuesto en su Reglamento. El sexto criterio a considerar sería el de que la vía para cumplir las resoluciones del Tribunal Supremo sobre la disolución del grupo parlamentario ABGSA es la de la modificación del Reglamento parlamentario, al objeto de introducir en él como causa de disolución de los Grupos Parlamentarios la de pertenecer sus integrantes a un partido disuelto por resolución judicial firme, si bien tal causa vulneraría el derecho de los afectados ex art. 23.2 CE en conexión con el art. 23.1 CE. Por último, en fin, sería de observar el criterio de que los órganos del Parlamento Vasco actúan como órganos políticos a la hora de aprobar una resolución de carácter general y ésta es un acto de naturaleza política, no una resolución de carácter meramente instrumental o ejecutivo.</w:t>
      </w:r>
    </w:p>
    <w:p w:rsidR="0052098F" w:rsidRDefault="0052098F" w:rsidP="0052098F">
      <w:pPr>
        <w:pStyle w:val="TextoNormal"/>
      </w:pPr>
    </w:p>
    <w:p w:rsidR="0052098F" w:rsidRDefault="0052098F" w:rsidP="0052098F">
      <w:pPr>
        <w:pStyle w:val="TextoNormal"/>
      </w:pPr>
      <w:r w:rsidRPr="0052098F">
        <w:rPr>
          <w:rStyle w:val="NumeroAFNegritaCaracter"/>
        </w:rPr>
        <w:t>11</w:t>
      </w:r>
      <w:r>
        <w:t xml:space="preserve">. El Ministerio Fiscal presentó sus alegaciones el 20 de enero de 2005. Tras referir los antecedentes del caso y los términos de fundamentación de la demanda, el Ministerio público subraya que el recurso se dirige exclusivamente contra el Auto de 1 de octubre de 2003 y sólo en cuanto se refiere al procedimiento de aprobación de una resolución general, de manera que han de excluirse todas las quejas referidas al hecho mismo de la disolución del grupo parlamentario ABGSA, acordada por Autos de 24 de abril y 20 de mayo de 2003 y cuya impugnación en amparo sería inadmisible por carencia de legitimación —dado que la disolución afectaría a los parlamentarios integrantes del grupo, entre los que no se cuenta el actor—, por falta de agotamiento de la vía judicial y por extemporaneidad. </w:t>
      </w:r>
    </w:p>
    <w:p w:rsidR="0052098F" w:rsidRDefault="0052098F" w:rsidP="0052098F">
      <w:pPr>
        <w:pStyle w:val="TextoNormal"/>
      </w:pPr>
      <w:r>
        <w:t xml:space="preserve">Admitiendo la legitimación del recurrente para impugnar las decisiones del Auto de 1 de octubre de 2003 en su condición de portavoz del grupo parlamentario Eusko Alkartasuna, el Ministerio Fiscal invoca la causa de inadmisión tipificada en el art. 50.1 a) LOTC en relación con el art. 44.1 a) LOTC, pues podía haberse intentado el incidente extraordinario de nulidad, como hizo la propia la Mesa del Parlamento Vasco, según se desprende de las actuaciones del recurso de amparo núm. 1827-2004 interpuesto por la Mesa y desconocido por el Ministerio Fiscal al tiempo de alegar sobre la admisibilidad de la presente demanda en el trámite concedido en su día ex art. 50.3 LOTC. </w:t>
      </w:r>
    </w:p>
    <w:p w:rsidR="0052098F" w:rsidRDefault="0052098F" w:rsidP="0052098F">
      <w:pPr>
        <w:pStyle w:val="TextoNormal"/>
      </w:pPr>
      <w:r>
        <w:t xml:space="preserve">Para el caso de que el Tribunal no apreciara esa causa de inadmisión, el Ministerio público examina la queja relativa a la lesión del art. 24.1 CE, que a su juicio carece de contenido constitucional y debería ser desestimada, tanto por basarse en argumentos que son reproducción de los esgrimidos para argumentar la también denunciada lesión del art. 23 CE como por no ofrecer fundamento la denuncia de su infracción autónoma. A este último respecto, y frente a la pretendida falta de jurisdicción de la Sala del artículo 61 LOPJ, se alega por el Ministerio Fiscal que la atribución de jurisdicción al Tribunal Constitucional (art. 42 LOTC) o, excepcionalmente, a la jurisdicción contencioso- administrativa [art. 1.3 a) LJCA] se refiere esencialmente a actos o disposiciones emanados de las Cámaras en ejercicio de sus competencias, pero cuando se trata, como es el caso, de la ejecución de una resolución judicial necesitada de la colaboración de un Parlamento, entonces es evidente la jurisdicción y competencia del Tribunal sentenciador (art. 117.3 CE, art. 2.1 LOPJ y art. 11.7 y 8 LOPP) para controlar la actuación del órgano encargado de materializar la ejecución e incluso para acudir al expediente de la ejecución subsidiaria y la anulación de los actos o decisiones que supongan un incumplimiento de lo judicialmente acordado. </w:t>
      </w:r>
    </w:p>
    <w:p w:rsidR="0052098F" w:rsidRDefault="0052098F" w:rsidP="0052098F">
      <w:pPr>
        <w:pStyle w:val="TextoNormal"/>
      </w:pPr>
      <w:r>
        <w:t xml:space="preserve">La eficacia directa de determinadas decisiones judiciales —continúa el Ministerio Fiscal—sin necesidad de una intervención parlamentaria relevante se manifiesta en otros supuestos distintos del ahora examinado, como la anulación por Sentencia de la elección de un parlamentario (art. 18.1 RPV) o la condena a pena de inhabilitación absoluta o especial para cargo público impuesta a un parlamentario (arts. 41 a 44 CP), de manera que las previsiones de los arts. 17.3 y 18.5 RPV sobre suspensión o separación de parlamentarios por haber sido condenados por delitos se refieren, lógicamente, a supuestos en que la condena no ha incluido alguna de las indicadas penas. Afirmada, pues, la jurisdicción de la Sala para resolver sobre la ilegalización de determinados partidos habrá de afirmarse, por tanto, que su competencia se extiende a la determinación del alcance de su fallo y a la resolución de todos los incidentes de ejecución, cualquiera que sea el órgano al que se encargan determinados aspectos de su materialización y sin necesidad de acudir a un determinado trámite parlamentario para su ejecución. Ello debe significar también, para el Ministerio Fiscal, la competencia para anular los actos o resoluciones que supongan un impedimento a la ejecución. </w:t>
      </w:r>
    </w:p>
    <w:p w:rsidR="0052098F" w:rsidRDefault="0052098F" w:rsidP="0052098F">
      <w:pPr>
        <w:pStyle w:val="TextoNormal"/>
      </w:pPr>
      <w:r>
        <w:lastRenderedPageBreak/>
        <w:t xml:space="preserve">Añade el Ministerio público que la ejecución de las Sentencias en sus propios términos constituye un interés constitucionalmente protegido (art. 117 CE), cuyo fundamento es el propio derecho a la tutela judicial efectiva (art. 24.1 CE). La única norma procesal que regula la imposibilidad de ejecución es el art. 105 LJCA, que, tras proscribir la declaración de la inejecución total o parcial del fallo, prevé un incidente del que interesa destacar que la Administración encargada de la ejecución sólo tiene la facultad de poner en conocimiento del Tribunal las razones que impedirían la ejecución en sus propios términos, que la decisión final corresponde exclusivamente al Tribunal y que este incidente no supone la inejecución, sino la sustitución de lo acordado por su equivalente. Salvando las distancias del caso, entiende el Ministerio Fiscal que de aquel precepto, en relación con los arts. 117 y 24.1 CE, se desprende que no correspondía al Parlamento Vasco, sino a la Sala, determinar la posibilidad o imposibilidad de ejecución de la Sentencia y de los Autos de disolución del grupo parlamentario. </w:t>
      </w:r>
    </w:p>
    <w:p w:rsidR="0052098F" w:rsidRDefault="0052098F" w:rsidP="0052098F">
      <w:pPr>
        <w:pStyle w:val="TextoNormal"/>
      </w:pPr>
      <w:r>
        <w:t xml:space="preserve">Lo anterior implica, para el Ministerio Fiscal, que decaigan las denuncias de las lesiones formuladas por el actor, pues no puede decirse que la Sala haya incidido en competencias exclusivas del Parlamento Vasco. A su juicio, el principio de separación de poderes y los derechos de los parlamentarios no pueden implicar por sí solos límites absolutos a la ejecución de las Sentencias en sus propios términos. En cuanto a aquel principio (que difícilmente cabría incluir, en abstracto, en un derecho fundamental, único supuesto en el que puede conocer este Tribunal a través del recurso de amparo), porque corresponde a los Tribunales ordinarios el control de la ejecución de sus resoluciones, cualquiera que sea el órgano al que se encarga su cumplimiento. Aceptado este planteamiento, concluye el Ministerio Fiscal, sería claro que no había que acudir a procedimiento parlamentario alguno para la ejecución, sino que bastaba cumplir lo judicialmente acordado. Lo que supone que ni el Parlamento ni sus órganos ostentaban una posición de inmunidad ni, por tanto, eran titulares de derechos fundamentales que determinaran la necesidad de permitir la personación procesal a quien simplemente se le ha ordenado la ejecución de una resolución judicial. </w:t>
      </w:r>
    </w:p>
    <w:p w:rsidR="0052098F" w:rsidRDefault="0052098F" w:rsidP="0052098F">
      <w:pPr>
        <w:pStyle w:val="TextoNormal"/>
      </w:pPr>
      <w:r>
        <w:t xml:space="preserve">En definitiva, el Ministerio Fiscal considera que el Auto impugnado supone el legítimo ejercicio de la función de control de la ejecución de decisiones judiciales, no impugnables en este proceso, cuya materialización se encomienda al Parlamento Vasco, y en el que los trámites procesales sólo deben entenderse, mediante la oportuna personación, entre el Tribunal y las partes ejecutantes y ejecutadas, sin necesidad de que se persone el órgano encargado de la ejecución y sin que resultara necesario para cumplimentar lo acordado por la Sala iniciar trámite parlamentario alguno. En consecuencia, resultaría legítima la decisión anulatoria del Auto recurrido y sería más bien el Parlamento Vasco quien habría desconocido la competencia judicial. </w:t>
      </w:r>
    </w:p>
    <w:p w:rsidR="0052098F" w:rsidRDefault="0052098F" w:rsidP="0052098F">
      <w:pPr>
        <w:pStyle w:val="TextoNormal"/>
      </w:pPr>
      <w:r>
        <w:t>Por lo expuesto, el Ministerio Fiscal interesa la desestimación del recurso de amparo.</w:t>
      </w:r>
    </w:p>
    <w:p w:rsidR="0052098F" w:rsidRDefault="0052098F" w:rsidP="0052098F">
      <w:pPr>
        <w:pStyle w:val="TextoNormal"/>
      </w:pPr>
    </w:p>
    <w:p w:rsidR="0052098F" w:rsidRDefault="0052098F" w:rsidP="0052098F">
      <w:pPr>
        <w:pStyle w:val="TextoNormal"/>
      </w:pPr>
      <w:r w:rsidRPr="0052098F">
        <w:rPr>
          <w:rStyle w:val="NumeroAFNegritaCaracter"/>
        </w:rPr>
        <w:t>12</w:t>
      </w:r>
      <w:r>
        <w:t>. Mediante escrito registrado en este Tribunal el 30 de octubre de 2003, don Gorka Knörr Borràs, Vicepresidente del Parlamento Vasco, representado por el Procurador de los Tribunales don Fernando Bermúdez de Castro y asistido por el Letrado don Joaquín Ruiz-Giménez Aguilar, interpuso recurso de amparo núm. 6462-2003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13</w:t>
      </w:r>
      <w:r>
        <w:t>. Los hechos en los que se fundamenta la demanda son los mismos expuestos en el recurso de amparo núm. 6458-2003, de los que se ha dejado constancia en el antecedente 2.</w:t>
      </w:r>
    </w:p>
    <w:p w:rsidR="0052098F" w:rsidRDefault="0052098F" w:rsidP="0052098F">
      <w:pPr>
        <w:pStyle w:val="TextoNormal"/>
      </w:pPr>
    </w:p>
    <w:p w:rsidR="0052098F" w:rsidRDefault="0052098F" w:rsidP="0052098F">
      <w:pPr>
        <w:pStyle w:val="TextoNormal"/>
      </w:pPr>
      <w:r w:rsidRPr="0052098F">
        <w:rPr>
          <w:rStyle w:val="NumeroAFNegritaCaracter"/>
        </w:rPr>
        <w:t>14</w:t>
      </w:r>
      <w:r>
        <w:t xml:space="preserve">. Se interpone recurso de amparo contra el Auto, de 1 de octubre de 2003, de la Sala del artículo 61 LOPJ del Tribunal Supremo por el que se declaró la nulidad de pleno derecho de los siguientes acuerdos procedentes del Parlamento Vasco: Acuerdo de la Mesa, de 5 de junio de 2003, aprobatorio de una propuesta de Resolución General de la Presidencia; Acuerdo implícito contenido en el oficio del Presidente del Parlamento Vasco de 9 de junio de 2003, conforme al cual se encontraría ante la imposibilidad de dar cumplimiento a determinadas resoluciones judiciales; Acuerdo de la Mesa de 30 de junio de 2003, en el que se ratificaba la imposibilidad legal de dar cumplimiento a las medidas propuestas en el Auto del Tribunal Supremo de 18 de junio de 2003; y Acuerdo de la Mesa de 9 de septiembre de 2003, por el que se reconoce el derecho del grupo parlamentario ABGSA a recibir subvención.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0052098F" w:rsidRDefault="0052098F" w:rsidP="0052098F">
      <w:pPr>
        <w:pStyle w:val="TextoNormal"/>
      </w:pPr>
      <w:r>
        <w:t>La fundamentación jurídica de la demanda es literalmente idéntica a la del recurso de amparo núm. 6458-2003, sintetizada en el antecedente 3 de esta Sentencia, al que nos remitimos.</w:t>
      </w:r>
    </w:p>
    <w:p w:rsidR="0052098F" w:rsidRDefault="0052098F" w:rsidP="0052098F">
      <w:pPr>
        <w:pStyle w:val="TextoNormal"/>
      </w:pPr>
    </w:p>
    <w:p w:rsidR="0052098F" w:rsidRDefault="0052098F" w:rsidP="0052098F">
      <w:pPr>
        <w:pStyle w:val="TextoNormal"/>
      </w:pPr>
      <w:r w:rsidRPr="0052098F">
        <w:rPr>
          <w:rStyle w:val="NumeroAFNegritaCaracter"/>
        </w:rPr>
        <w:t>15</w:t>
      </w:r>
      <w:r>
        <w:t>. Mediante providencia de 18 de marzo de 2003, la Sección Tercera del Tribunal acordó, de conformidad con lo dispuesto en el art. 50.3 LOTC, conceder al demandante de amparo y al Ministerio Fiscal un plazo de diez días para que alegaran cuanto estimasen pertinente en relación con la carencia manifiesta de contenido constitucional de la demanda [art. 50.1 c) LOTC].</w:t>
      </w:r>
    </w:p>
    <w:p w:rsidR="0052098F" w:rsidRDefault="0052098F" w:rsidP="0052098F">
      <w:pPr>
        <w:pStyle w:val="TextoNormal"/>
      </w:pPr>
    </w:p>
    <w:p w:rsidR="0052098F" w:rsidRDefault="0052098F" w:rsidP="0052098F">
      <w:pPr>
        <w:pStyle w:val="TextoNormal"/>
      </w:pPr>
      <w:r w:rsidRPr="0052098F">
        <w:rPr>
          <w:rStyle w:val="NumeroAFNegritaCaracter"/>
        </w:rPr>
        <w:t>16</w:t>
      </w:r>
      <w:r>
        <w:t>. Por Auto de 14 de octubre de 2004 la Sala Segunda de este Tribunal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0052098F" w:rsidRDefault="0052098F" w:rsidP="0052098F">
      <w:pPr>
        <w:pStyle w:val="TextoNormal"/>
      </w:pPr>
    </w:p>
    <w:p w:rsidR="0052098F" w:rsidRDefault="0052098F" w:rsidP="0052098F">
      <w:pPr>
        <w:pStyle w:val="TextoNormal"/>
      </w:pPr>
      <w:r w:rsidRPr="0052098F">
        <w:rPr>
          <w:rStyle w:val="NumeroAFNegritaCaracter"/>
        </w:rPr>
        <w:t>17</w:t>
      </w:r>
      <w:r>
        <w:t>. A la vista de las alegaciones interesadas ex art. 50.3 LOTC, la Sala Segunda, por providencia de 28 de octubre de 2004 y de conformidad con el art. 11.2 LOTC, acordó conocer del presente recurso de amparo y admitir a trámite la demanda. Por ello,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7-2002, se le participara la admisión a trámite del recurso y procediera al emplazamiento, en el plazo de diez días, de quienes hubieran sido parte en el procedimiento, con exclusión del demandante de amparo.</w:t>
      </w:r>
    </w:p>
    <w:p w:rsidR="0052098F" w:rsidRDefault="0052098F" w:rsidP="0052098F">
      <w:pPr>
        <w:pStyle w:val="TextoNormal"/>
      </w:pPr>
    </w:p>
    <w:p w:rsidR="0052098F" w:rsidRDefault="0052098F" w:rsidP="0052098F">
      <w:pPr>
        <w:pStyle w:val="TextoNormal"/>
      </w:pPr>
      <w:r w:rsidRPr="0052098F">
        <w:rPr>
          <w:rStyle w:val="NumeroAFNegritaCaracter"/>
        </w:rPr>
        <w:t>18</w:t>
      </w:r>
      <w:r>
        <w:t xml:space="preserve">. Mediante providencia de 16 de diciembre de 2004 la Sala tuvo por personados y parte a la Procuradora de los Tribunales doña Ana Lobera Argüelles, en nombre y representación del partido político Batasuna, y al Abogado del Estado, acordando dar vista de las </w:t>
      </w:r>
      <w:r>
        <w:lastRenderedPageBreak/>
        <w:t>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número 6458-2003.</w:t>
      </w:r>
    </w:p>
    <w:p w:rsidR="0052098F" w:rsidRDefault="0052098F" w:rsidP="0052098F">
      <w:pPr>
        <w:pStyle w:val="TextoNormal"/>
      </w:pPr>
    </w:p>
    <w:p w:rsidR="0052098F" w:rsidRDefault="0052098F" w:rsidP="0052098F">
      <w:pPr>
        <w:pStyle w:val="TextoNormal"/>
      </w:pPr>
      <w:r w:rsidRPr="0052098F">
        <w:rPr>
          <w:rStyle w:val="NumeroAFNegritaCaracter"/>
        </w:rPr>
        <w:t>19</w:t>
      </w:r>
      <w:r>
        <w:t>. El Abogado del Estado registró su escrito de alegaciones el 12 de enero de 2005. Sus razones son las mismas que las alegadas en el recurso de amparo núm. 6458-2003 —consignadas en el antecedente 8 de esta Sentencia—, con la diferencia de que el representante procesal del Gobierno no discute la legitimación del Vicepresidente del Parlamento Vasco para defender en amparo el derecho a la tutela judicial efectiva de la Asamblea, afirmando que también en ese punto procede la desestimación de la demanda.</w:t>
      </w:r>
    </w:p>
    <w:p w:rsidR="0052098F" w:rsidRDefault="0052098F" w:rsidP="0052098F">
      <w:pPr>
        <w:pStyle w:val="TextoNormal"/>
      </w:pPr>
    </w:p>
    <w:p w:rsidR="0052098F" w:rsidRDefault="0052098F" w:rsidP="0052098F">
      <w:pPr>
        <w:pStyle w:val="TextoNormal"/>
      </w:pPr>
      <w:r w:rsidRPr="0052098F">
        <w:rPr>
          <w:rStyle w:val="NumeroAFNegritaCaracter"/>
        </w:rPr>
        <w:t>20</w:t>
      </w:r>
      <w:r>
        <w:t>. El representante procesal del recurrente, por escrito registrado en el Tribunal el 19 de enero de 2005, dio por reproducidas las alegaciones de la demanda y de su escrito ex art. 50.3 LOTC.</w:t>
      </w:r>
    </w:p>
    <w:p w:rsidR="0052098F" w:rsidRDefault="0052098F" w:rsidP="0052098F">
      <w:pPr>
        <w:pStyle w:val="TextoNormal"/>
      </w:pPr>
    </w:p>
    <w:p w:rsidR="0052098F" w:rsidRDefault="0052098F" w:rsidP="0052098F">
      <w:pPr>
        <w:pStyle w:val="TextoNormal"/>
      </w:pPr>
      <w:r w:rsidRPr="0052098F">
        <w:rPr>
          <w:rStyle w:val="NumeroAFNegritaCaracter"/>
        </w:rPr>
        <w:t>21</w:t>
      </w:r>
      <w:r>
        <w:t>. El escrito de alegaciones del partido político Batasuna se registró en el Tribunal el 20 de enero de 2005, siendo idéntico al presentado en el recurso de amparo núm. 6458-2003, del que se ha dejado constancia en el antecedente 10 de esta resolución.</w:t>
      </w:r>
    </w:p>
    <w:p w:rsidR="0052098F" w:rsidRDefault="0052098F" w:rsidP="0052098F">
      <w:pPr>
        <w:pStyle w:val="TextoNormal"/>
      </w:pPr>
    </w:p>
    <w:p w:rsidR="0052098F" w:rsidRDefault="0052098F" w:rsidP="0052098F">
      <w:pPr>
        <w:pStyle w:val="TextoNormal"/>
      </w:pPr>
      <w:r w:rsidRPr="0052098F">
        <w:rPr>
          <w:rStyle w:val="NumeroAFNegritaCaracter"/>
        </w:rPr>
        <w:t>22</w:t>
      </w:r>
      <w:r>
        <w:t>. El escrito de alegaciones del Ministerio público se registró el 20 de enero de 2005 y es reproducción del presentado en el recurso de amparo núm. 6458-2003, del que se ha dado cuenta en el antecedente 11, al que igualmente nos remitimos.</w:t>
      </w:r>
    </w:p>
    <w:p w:rsidR="0052098F" w:rsidRDefault="0052098F" w:rsidP="0052098F">
      <w:pPr>
        <w:pStyle w:val="TextoNormal"/>
      </w:pPr>
    </w:p>
    <w:p w:rsidR="0052098F" w:rsidRDefault="0052098F" w:rsidP="0052098F">
      <w:pPr>
        <w:pStyle w:val="TextoNormal"/>
      </w:pPr>
      <w:r w:rsidRPr="0052098F">
        <w:rPr>
          <w:rStyle w:val="NumeroAFNegritaCaracter"/>
        </w:rPr>
        <w:t>23</w:t>
      </w:r>
      <w:r>
        <w:t>. Por escrito registrado en el Tribunal el 31 de octubre de 2003, don José Antonio Karrera Aguirrebarrena, portavoz del Grupo Parlamentario Ezker Batua Berdeak del Parlamento Vasco, representado por la Procuradora de los Tribunales doña Mónica de la Paloma Fente Delgado y asistido por el Letrado don José Ángel Esnaola Hernández, interpuso recurso de amparo núm. 6494-2003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0052098F" w:rsidRDefault="0052098F" w:rsidP="0052098F">
      <w:pPr>
        <w:pStyle w:val="TextoNormal"/>
      </w:pPr>
    </w:p>
    <w:p w:rsidR="0052098F" w:rsidRDefault="0052098F" w:rsidP="0052098F">
      <w:pPr>
        <w:pStyle w:val="TextoNormal"/>
      </w:pPr>
      <w:r w:rsidRPr="0052098F">
        <w:rPr>
          <w:rStyle w:val="NumeroAFNegritaCaracter"/>
        </w:rPr>
        <w:t>24</w:t>
      </w:r>
      <w:r>
        <w:t>. Los hechos en los que se fundamenta la demanda son los mismos expuestos en el recurso de amparo núm. 6458-2003, de los que se ha dejado constancia en el antecedente 2 de esta Sentencia.</w:t>
      </w:r>
    </w:p>
    <w:p w:rsidR="0052098F" w:rsidRDefault="0052098F" w:rsidP="0052098F">
      <w:pPr>
        <w:pStyle w:val="TextoNormal"/>
      </w:pPr>
    </w:p>
    <w:p w:rsidR="0052098F" w:rsidRDefault="0052098F" w:rsidP="0052098F">
      <w:pPr>
        <w:pStyle w:val="TextoNormal"/>
      </w:pPr>
      <w:r w:rsidRPr="0052098F">
        <w:rPr>
          <w:rStyle w:val="NumeroAFNegritaCaracter"/>
        </w:rPr>
        <w:t>25</w:t>
      </w:r>
      <w:r>
        <w:t xml:space="preserve">. Se interpone recurso de amparo contra el Auto, de 1 de octubre de 2003, de la Sala del artículo 61 LOPJ del Tribunal Supremo por el que “se declaró la nulidad de pleno derecho de los acuerdos procedentes del Parlamento Vasco (Acuerdo de 6 de junio de 2003, de la Junta de Portavoces, en el que se mostraba el parecer desfavorable a la propuesta de resolución general de la Presidencia para complemento de una laguna en el Reglamento de la </w:t>
      </w:r>
      <w:r>
        <w:lastRenderedPageBreak/>
        <w:t xml:space="preserve">Cámara autonómica)”,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0052098F" w:rsidRDefault="0052098F" w:rsidP="0052098F">
      <w:pPr>
        <w:pStyle w:val="TextoNormal"/>
      </w:pPr>
      <w:r>
        <w:t>La fundamentación jurídica de la demanda es literalmente idéntica a la del recurso de amparo núm. 6458-2003, sintetizada en el antecedente 3 de esta Sentencia, al que nos remitimos.</w:t>
      </w:r>
    </w:p>
    <w:p w:rsidR="0052098F" w:rsidRDefault="0052098F" w:rsidP="0052098F">
      <w:pPr>
        <w:pStyle w:val="TextoNormal"/>
      </w:pPr>
    </w:p>
    <w:p w:rsidR="0052098F" w:rsidRDefault="0052098F" w:rsidP="0052098F">
      <w:pPr>
        <w:pStyle w:val="TextoNormal"/>
      </w:pPr>
      <w:r w:rsidRPr="0052098F">
        <w:rPr>
          <w:rStyle w:val="NumeroAFNegritaCaracter"/>
        </w:rPr>
        <w:t>26</w:t>
      </w:r>
      <w:r>
        <w:t>. Mediante providencia de 18 de marzo de 2004, la Sección Cuarta acordó, de conformidad con lo dispuesto en el art. 50.3 LOTC, requerir al demandante de amparo y al Ministerio Fiscal para que alegaran en relación con la posible carencia de contenido constitucional de la demanda [art. 50.1 c) LOTC].</w:t>
      </w:r>
    </w:p>
    <w:p w:rsidR="0052098F" w:rsidRDefault="0052098F" w:rsidP="0052098F">
      <w:pPr>
        <w:pStyle w:val="TextoNormal"/>
      </w:pPr>
    </w:p>
    <w:p w:rsidR="0052098F" w:rsidRDefault="0052098F" w:rsidP="0052098F">
      <w:pPr>
        <w:pStyle w:val="TextoNormal"/>
      </w:pPr>
      <w:r w:rsidRPr="0052098F">
        <w:rPr>
          <w:rStyle w:val="NumeroAFNegritaCaracter"/>
        </w:rPr>
        <w:t>27</w:t>
      </w:r>
      <w:r>
        <w:t>. Por Auto de 14 de octubre de 2004 la Sala Segunda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0052098F" w:rsidRDefault="0052098F" w:rsidP="0052098F">
      <w:pPr>
        <w:pStyle w:val="TextoNormal"/>
      </w:pPr>
    </w:p>
    <w:p w:rsidR="0052098F" w:rsidRDefault="0052098F" w:rsidP="0052098F">
      <w:pPr>
        <w:pStyle w:val="TextoNormal"/>
      </w:pPr>
      <w:r w:rsidRPr="0052098F">
        <w:rPr>
          <w:rStyle w:val="NumeroAFNegritaCaracter"/>
        </w:rPr>
        <w:t>28</w:t>
      </w:r>
      <w:r>
        <w:t>. Mediante providencia de 28 de octubre de 2004, la Sala Segunda, recibidas las alegaciones interesadas ex art. 50.3 LOTC, acordó, de conformidad con el art. 11.2 LOTC, conocer del presente recurso de amparo y admitir a trámite la demanda. En consecuencia,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7-2002, se le participara la admisión a trámite del recurso y procediera al emplazamiento, en el plazo de diez días, de quienes hubieran sido parte en el procedimiento, con exclusión del demandante de amparo.</w:t>
      </w:r>
    </w:p>
    <w:p w:rsidR="0052098F" w:rsidRDefault="0052098F" w:rsidP="0052098F">
      <w:pPr>
        <w:pStyle w:val="TextoNormal"/>
      </w:pPr>
    </w:p>
    <w:p w:rsidR="0052098F" w:rsidRDefault="0052098F" w:rsidP="0052098F">
      <w:pPr>
        <w:pStyle w:val="TextoNormal"/>
      </w:pPr>
      <w:r w:rsidRPr="0052098F">
        <w:rPr>
          <w:rStyle w:val="NumeroAFNegritaCaracter"/>
        </w:rPr>
        <w:t>29</w:t>
      </w:r>
      <w:r>
        <w:t>. Por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 6458-2003.</w:t>
      </w:r>
    </w:p>
    <w:p w:rsidR="0052098F" w:rsidRDefault="0052098F" w:rsidP="0052098F">
      <w:pPr>
        <w:pStyle w:val="TextoNormal"/>
      </w:pPr>
    </w:p>
    <w:p w:rsidR="0052098F" w:rsidRDefault="0052098F" w:rsidP="0052098F">
      <w:pPr>
        <w:pStyle w:val="TextoNormal"/>
      </w:pPr>
      <w:r w:rsidRPr="0052098F">
        <w:rPr>
          <w:rStyle w:val="NumeroAFNegritaCaracter"/>
        </w:rPr>
        <w:t>30</w:t>
      </w:r>
      <w:r>
        <w:t>. El escrito de alegaciones del Abogado del Estado se registró el 12 de enero de 2005. Su fundamentación coincide con la expuesta en el caso del recurso de amparo núm. 6458-2003 y sintetizada en el antecedente 8 de esta Sentencia, con la salvedad de que en el presente caso el recurrente no asistió a la reunión de las Junta de Portavoces de la que resultó el Acuerdo de 6 de junio de 2003, lo que abundaría, para el representante del Gobierno, en su falta de legitimación para demandar en amparo, por lo que interesa un pronunciamiento de inadmisión o, subsidiariamente, desestimatorio del conjunto de la demanda.</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31</w:t>
      </w:r>
      <w:r>
        <w:t>. El escrito de alegaciones del Ministerio Fiscal se registró el 20 de enero de 2005 y es reproducción del presentado en el recurso de amparo núm. 6458-2003, resumido en el antecedente 11 de esta resolución.</w:t>
      </w:r>
    </w:p>
    <w:p w:rsidR="0052098F" w:rsidRDefault="0052098F" w:rsidP="0052098F">
      <w:pPr>
        <w:pStyle w:val="TextoNormal"/>
      </w:pPr>
    </w:p>
    <w:p w:rsidR="0052098F" w:rsidRDefault="0052098F" w:rsidP="0052098F">
      <w:pPr>
        <w:pStyle w:val="TextoNormal"/>
      </w:pPr>
      <w:r w:rsidRPr="0052098F">
        <w:rPr>
          <w:rStyle w:val="NumeroAFNegritaCaracter"/>
        </w:rPr>
        <w:t>32</w:t>
      </w:r>
      <w:r>
        <w:t>. El escrito de alegaciones de la representante procesal del partido político Batasuna se registró en el Tribunal el 20 de enero de 2005, siendo idéntico al presentado en el recurso de amparo núm. 6458-2003, cuyo contenido se ha sintetizado en el antecedente 10 de esta Sentencia.</w:t>
      </w:r>
    </w:p>
    <w:p w:rsidR="0052098F" w:rsidRDefault="0052098F" w:rsidP="0052098F">
      <w:pPr>
        <w:pStyle w:val="TextoNormal"/>
      </w:pPr>
    </w:p>
    <w:p w:rsidR="0052098F" w:rsidRDefault="0052098F" w:rsidP="0052098F">
      <w:pPr>
        <w:pStyle w:val="TextoNormal"/>
      </w:pPr>
      <w:r w:rsidRPr="0052098F">
        <w:rPr>
          <w:rStyle w:val="NumeroAFNegritaCaracter"/>
        </w:rPr>
        <w:t>33</w:t>
      </w:r>
      <w:r>
        <w:t>. Por diligencia de 25 de enero de 2005 el Secretario de Justicia de la Sala hizo constar que el demandante de amparo no presentó escrito de alegaciones.</w:t>
      </w:r>
    </w:p>
    <w:p w:rsidR="0052098F" w:rsidRDefault="0052098F" w:rsidP="0052098F">
      <w:pPr>
        <w:pStyle w:val="TextoNormal"/>
      </w:pPr>
    </w:p>
    <w:p w:rsidR="0052098F" w:rsidRDefault="0052098F" w:rsidP="0052098F">
      <w:pPr>
        <w:pStyle w:val="TextoNormal"/>
      </w:pPr>
      <w:r w:rsidRPr="0052098F">
        <w:rPr>
          <w:rStyle w:val="NumeroAFNegritaCaracter"/>
        </w:rPr>
        <w:t>34</w:t>
      </w:r>
      <w:r>
        <w:t>. Mediante escrito registrado en el Tribunal el 31 de octubre de 2003, don Juan María Atutxa Mendiola, Presidente del Parlamento Vasco, representado por el Procurador de los Tribunales don Pedro Rodríguez Rodríguez y asistido por los Letrados don José Ignacio Goikoetxeta González y don Javier Velasco Echevarría, interpuso recurso de amparo núm. 6496-2003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0052098F" w:rsidRDefault="0052098F" w:rsidP="0052098F">
      <w:pPr>
        <w:pStyle w:val="TextoNormal"/>
      </w:pPr>
    </w:p>
    <w:p w:rsidR="0052098F" w:rsidRDefault="0052098F" w:rsidP="0052098F">
      <w:pPr>
        <w:pStyle w:val="TextoNormal"/>
      </w:pPr>
      <w:r w:rsidRPr="0052098F">
        <w:rPr>
          <w:rStyle w:val="NumeroAFNegritaCaracter"/>
        </w:rPr>
        <w:t>35</w:t>
      </w:r>
      <w:r>
        <w:t>. Los hechos en los que se fundamenta la demanda son los mismos expuestos en el recurso de amparo núm. 6458-2003 y sintetizados el antecedente 2 de esta Sentencia.</w:t>
      </w:r>
    </w:p>
    <w:p w:rsidR="0052098F" w:rsidRDefault="0052098F" w:rsidP="0052098F">
      <w:pPr>
        <w:pStyle w:val="TextoNormal"/>
      </w:pPr>
    </w:p>
    <w:p w:rsidR="0052098F" w:rsidRDefault="0052098F" w:rsidP="0052098F">
      <w:pPr>
        <w:pStyle w:val="TextoNormal"/>
      </w:pPr>
      <w:r w:rsidRPr="0052098F">
        <w:rPr>
          <w:rStyle w:val="NumeroAFNegritaCaracter"/>
        </w:rPr>
        <w:t>36</w:t>
      </w:r>
      <w:r>
        <w:t xml:space="preserve">. Se interpone recurso de amparo contra el Auto, de 1 de octubre de 2003, de la Sala del artículo 61 LOPJ del Tribunal Supremo anulatorio de los siguientes acuerdos procedentes del Parlamento Vasco: Acuerdo de la Mesa, de 5 de junio de 2003, aprobatorio de una propuesta de Resolución General de la Presidencia; Acuerdo implícito contenido en el oficio del Presidente del Parlamento Vasco de 9 de junio de 2003, conforme al cual se encontraría ante la imposibilidad de dar cumplimiento a determinadas resoluciones judiciales; Acuerdo de la Mesa de 30 de junio de 2003, en el que se ratificaba la imposibilidad legal de dar cumplimiento a las medidas propuestas en el Auto del Tribunal Supremo de 18 de junio de 2003; y Acuerdo de la Mesa de 9 de septiembre de 2003, por el que se reconoce el derecho del Grupo Parlamentario ABGSA a recibir subvención,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0052098F" w:rsidRDefault="0052098F" w:rsidP="0052098F">
      <w:pPr>
        <w:pStyle w:val="TextoNormal"/>
      </w:pPr>
      <w:r>
        <w:t>La fundamentación jurídica de la demanda es literalmente idéntica a la del recurso de amparo núm. 6458-2003, de la que se ha dejado constancia en el antecedente 3 de esta resolución.</w:t>
      </w:r>
    </w:p>
    <w:p w:rsidR="0052098F" w:rsidRDefault="0052098F" w:rsidP="0052098F">
      <w:pPr>
        <w:pStyle w:val="TextoNormal"/>
      </w:pPr>
    </w:p>
    <w:p w:rsidR="0052098F" w:rsidRDefault="0052098F" w:rsidP="0052098F">
      <w:pPr>
        <w:pStyle w:val="TextoNormal"/>
      </w:pPr>
      <w:r w:rsidRPr="0052098F">
        <w:rPr>
          <w:rStyle w:val="NumeroAFNegritaCaracter"/>
        </w:rPr>
        <w:t>37</w:t>
      </w:r>
      <w:r>
        <w:t xml:space="preserve">. Por providencia de 18 de marzo de 2004, la Sección Tercera acordó, de conformidad con lo dispuesto en el art. 50.3 LOTC, requerir al demandante de amparo y al Ministerio </w:t>
      </w:r>
      <w:r>
        <w:lastRenderedPageBreak/>
        <w:t>Fiscal para que alegaran en relación con la posible carencia de contenido constitucional de la demanda [art. 50.1 c) LOTC].</w:t>
      </w:r>
    </w:p>
    <w:p w:rsidR="0052098F" w:rsidRDefault="0052098F" w:rsidP="0052098F">
      <w:pPr>
        <w:pStyle w:val="TextoNormal"/>
      </w:pPr>
    </w:p>
    <w:p w:rsidR="0052098F" w:rsidRDefault="0052098F" w:rsidP="0052098F">
      <w:pPr>
        <w:pStyle w:val="TextoNormal"/>
      </w:pPr>
      <w:r w:rsidRPr="0052098F">
        <w:rPr>
          <w:rStyle w:val="NumeroAFNegritaCaracter"/>
        </w:rPr>
        <w:t>38</w:t>
      </w:r>
      <w:r>
        <w:t>. Por Auto de 14 de octubre de 2004 la Sala Segunda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0052098F" w:rsidRDefault="0052098F" w:rsidP="0052098F">
      <w:pPr>
        <w:pStyle w:val="TextoNormal"/>
      </w:pPr>
    </w:p>
    <w:p w:rsidR="0052098F" w:rsidRDefault="0052098F" w:rsidP="0052098F">
      <w:pPr>
        <w:pStyle w:val="TextoNormal"/>
      </w:pPr>
      <w:r w:rsidRPr="0052098F">
        <w:rPr>
          <w:rStyle w:val="NumeroAFNegritaCaracter"/>
        </w:rPr>
        <w:t>39</w:t>
      </w:r>
      <w:r>
        <w:t>. Mediante providencia de 28 de octubre de 2004, la Sala Segunda, recibidas las alegaciones interesadas ex art. 50.3 LOTC, acordó, de conformidad con el art. 11.2 LOTC, conocer del presente recurso de amparo y admitir a trámite la demanda. En consecuencia,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7-2002, se le participara la admisión a trámite del recurso y procediera al emplazamiento, en plazo de diez días, de quienes hubieran sido parte en el procedimiento, con exclusión del demandante de amparo.</w:t>
      </w:r>
    </w:p>
    <w:p w:rsidR="0052098F" w:rsidRDefault="0052098F" w:rsidP="0052098F">
      <w:pPr>
        <w:pStyle w:val="TextoNormal"/>
      </w:pPr>
    </w:p>
    <w:p w:rsidR="0052098F" w:rsidRDefault="0052098F" w:rsidP="0052098F">
      <w:pPr>
        <w:pStyle w:val="TextoNormal"/>
      </w:pPr>
      <w:r w:rsidRPr="0052098F">
        <w:rPr>
          <w:rStyle w:val="NumeroAFNegritaCaracter"/>
        </w:rPr>
        <w:t>40</w:t>
      </w:r>
      <w:r>
        <w:t>. Por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el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número 6458-2003.</w:t>
      </w:r>
    </w:p>
    <w:p w:rsidR="0052098F" w:rsidRDefault="0052098F" w:rsidP="0052098F">
      <w:pPr>
        <w:pStyle w:val="TextoNormal"/>
      </w:pPr>
    </w:p>
    <w:p w:rsidR="0052098F" w:rsidRDefault="0052098F" w:rsidP="0052098F">
      <w:pPr>
        <w:pStyle w:val="TextoNormal"/>
      </w:pPr>
      <w:r w:rsidRPr="0052098F">
        <w:rPr>
          <w:rStyle w:val="NumeroAFNegritaCaracter"/>
        </w:rPr>
        <w:t>41</w:t>
      </w:r>
      <w:r>
        <w:t>. El Abogado del Estado registró su escrito de alegaciones el 12 de enero de 2005. Sus razones son las mismas que las alegadas en el recurso de amparo núm. 6458-2003 —consignadas en el antecedente 8 de esta Sentencia, al que nos remitimos—, con la diferencia de que el representante procesal del Gobierno no discute la legitimación del Presidente del Parlamento Vasco para defender en amparo el derecho a la tutela judicial efectiva de la Asamblea, afirmando que también en ese punto procede la desestimación de la demanda.</w:t>
      </w:r>
    </w:p>
    <w:p w:rsidR="0052098F" w:rsidRDefault="0052098F" w:rsidP="0052098F">
      <w:pPr>
        <w:pStyle w:val="TextoNormal"/>
      </w:pPr>
    </w:p>
    <w:p w:rsidR="0052098F" w:rsidRDefault="0052098F" w:rsidP="0052098F">
      <w:pPr>
        <w:pStyle w:val="TextoNormal"/>
      </w:pPr>
      <w:r w:rsidRPr="0052098F">
        <w:rPr>
          <w:rStyle w:val="NumeroAFNegritaCaracter"/>
        </w:rPr>
        <w:t>42</w:t>
      </w:r>
      <w:r>
        <w:t>. El escrito de alegaciones del Ministerio Fiscal se registró el 20 de enero de 2005 y es reproducción del presentado en el recurso de amparo núm. 6458-2003, resumido en el antecedente 11 de esta resolución.</w:t>
      </w:r>
    </w:p>
    <w:p w:rsidR="0052098F" w:rsidRDefault="0052098F" w:rsidP="0052098F">
      <w:pPr>
        <w:pStyle w:val="TextoNormal"/>
      </w:pPr>
    </w:p>
    <w:p w:rsidR="0052098F" w:rsidRDefault="0052098F" w:rsidP="0052098F">
      <w:pPr>
        <w:pStyle w:val="TextoNormal"/>
      </w:pPr>
      <w:r w:rsidRPr="0052098F">
        <w:rPr>
          <w:rStyle w:val="NumeroAFNegritaCaracter"/>
        </w:rPr>
        <w:t>43</w:t>
      </w:r>
      <w:r>
        <w:t>. El escrito de alegaciones de la representante procesal del partido político Batasuna se registró en el Tribunal el 20 de enero de 2005, siendo idéntico al presentado en el recurso de amparo núm. 6458-2003 y cuyo contenido se ha resumido en el antecedente 10 de esta Sentencia.</w:t>
      </w:r>
    </w:p>
    <w:p w:rsidR="0052098F" w:rsidRDefault="0052098F" w:rsidP="0052098F">
      <w:pPr>
        <w:pStyle w:val="TextoNormal"/>
      </w:pPr>
    </w:p>
    <w:p w:rsidR="0052098F" w:rsidRDefault="0052098F" w:rsidP="0052098F">
      <w:pPr>
        <w:pStyle w:val="TextoNormal"/>
      </w:pPr>
      <w:r w:rsidRPr="0052098F">
        <w:rPr>
          <w:rStyle w:val="NumeroAFNegritaCaracter"/>
        </w:rPr>
        <w:t>44</w:t>
      </w:r>
      <w:r>
        <w:t>. Por diligencia de 25 de enero de 2005 el Secretario de Justicia de la Sala hizo constar que el demandante de amparo no presentó escrito de alegaciones.</w:t>
      </w:r>
    </w:p>
    <w:p w:rsidR="0052098F" w:rsidRDefault="0052098F" w:rsidP="0052098F">
      <w:pPr>
        <w:pStyle w:val="TextoNormal"/>
      </w:pPr>
    </w:p>
    <w:p w:rsidR="0052098F" w:rsidRDefault="0052098F" w:rsidP="0052098F">
      <w:pPr>
        <w:pStyle w:val="TextoNormal"/>
      </w:pPr>
      <w:r w:rsidRPr="0052098F">
        <w:rPr>
          <w:rStyle w:val="NumeroAFNegritaCaracter"/>
        </w:rPr>
        <w:t>45</w:t>
      </w:r>
      <w:r>
        <w:t>. Por escrito registrado en este Tribunal el 31 de octubre de 2003, doña María de la Concepción Bilbao Cuevas, Secretaria Segunda de la Mesa del Parlamento Vasco, representada por la Procuradora de los Tribunales doña Mónica de la Paloma Fente Delgado y asistida por el Letrado don José Ángel Esnaola Hernández, interpuso recurso de amparo núm. 6498-2003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0052098F" w:rsidRDefault="0052098F" w:rsidP="0052098F">
      <w:pPr>
        <w:pStyle w:val="TextoNormal"/>
      </w:pPr>
    </w:p>
    <w:p w:rsidR="0052098F" w:rsidRDefault="0052098F" w:rsidP="0052098F">
      <w:pPr>
        <w:pStyle w:val="TextoNormal"/>
      </w:pPr>
      <w:r w:rsidRPr="0052098F">
        <w:rPr>
          <w:rStyle w:val="NumeroAFNegritaCaracter"/>
        </w:rPr>
        <w:t>46</w:t>
      </w:r>
      <w:r>
        <w:t>. Los hechos en los que se fundamenta la demanda son prácticamente los expuestos en el recurso de amparo núm. 6458-2003 y sintetizados el antecedente 2 de esta Sentencia, con la particularidad de que se deja constancia de que la demandante de amparo no autorizó pago real alguno derivado de la Resolución de la Mesa de 9 de septiembre de 2003 por la que se reconocía el derecho del grupo parlamentario ABGSA a percibir la correspondiente subvención. Asimismo se refiere el hecho de la interposición por el Fiscal General del Estado de una querella por delito desobediencia contra los miembros de la Mesa del Parlamento Vasco que, como la ahora recurrente, adoptaron los Acuerdos después anulados por el Auto que es objeto de la presente demanda de amparo. La admisión a trámite de dicha querella por Auto de la Sala de lo Civil y Penal del Tribunal Superior de Justicia del País Vasco de 30 de julio de 2003 (rollo núm. 19-2003) se habría verificado con el voto discrepante de dos Magistrados, favorable al planteamiento defendido ahora en la demanda de amparo.</w:t>
      </w:r>
    </w:p>
    <w:p w:rsidR="0052098F" w:rsidRDefault="0052098F" w:rsidP="0052098F">
      <w:pPr>
        <w:pStyle w:val="TextoNormal"/>
      </w:pPr>
    </w:p>
    <w:p w:rsidR="0052098F" w:rsidRDefault="0052098F" w:rsidP="0052098F">
      <w:pPr>
        <w:pStyle w:val="TextoNormal"/>
      </w:pPr>
      <w:r w:rsidRPr="0052098F">
        <w:rPr>
          <w:rStyle w:val="NumeroAFNegritaCaracter"/>
        </w:rPr>
        <w:t>47</w:t>
      </w:r>
      <w:r>
        <w:t xml:space="preserve">. Se interpone recurso de amparo contra el Auto, de 1 de octubre de 2003, de la Sala del artículo 61 LOPJ del Tribunal Supremo anulatorio de los siguientes acuerdos procedentes del Parlamento Vasco: Acuerdo de la Mesa, de 5 de junio de 2003, aprobatorio de una propuesta de Resolución General de la Presidencia; Acuerdo implícito contenido en el oficio del Presidente del Parlamento Vasco de 9 de junio de 2003, conforme al cual se encontraría ante la imposibilidad de dar cumplimiento a determinadas resoluciones judiciales; Acuerdo de la Mesa de 30 de junio de 2003, en el que se ratificaba la imposibilidad legal de dar cumplimiento a las medidas propuestas en el Auto del Tribunal Supremo de 18 de junio de 2003; y Acuerdo de la Mesa de 9 de septiembre de 2003, por el que se reconoce el derecho del Grupo Parlamentario ABGSA a recibir subvención,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0052098F" w:rsidRDefault="0052098F" w:rsidP="0052098F">
      <w:pPr>
        <w:pStyle w:val="TextoNormal"/>
      </w:pPr>
      <w:r>
        <w:t>La fundamentación jurídica de la demanda es literalmente idéntica a la del recurso de amparo núm. 6458-2003, de la que se ha dejado constancia en el antecedente 3 de esta resolución.</w:t>
      </w:r>
    </w:p>
    <w:p w:rsidR="0052098F" w:rsidRDefault="0052098F" w:rsidP="0052098F">
      <w:pPr>
        <w:pStyle w:val="TextoNormal"/>
      </w:pPr>
    </w:p>
    <w:p w:rsidR="0052098F" w:rsidRDefault="0052098F" w:rsidP="0052098F">
      <w:pPr>
        <w:pStyle w:val="TextoNormal"/>
      </w:pPr>
      <w:r w:rsidRPr="0052098F">
        <w:rPr>
          <w:rStyle w:val="NumeroAFNegritaCaracter"/>
        </w:rPr>
        <w:t>48</w:t>
      </w:r>
      <w:r>
        <w:t>. Por providencia de 18 de marzo de 2004, la Sección Tercera acordó, de conformidad con lo dispuesto en el art. 50.3 LOTC, requerir al demandante de amparo y al Ministerio Fiscal para que alegaran en relación con la posible carencia de contenido constitucional de la demanda [art. 50.1 c) LOTC].</w:t>
      </w:r>
    </w:p>
    <w:p w:rsidR="0052098F" w:rsidRDefault="0052098F" w:rsidP="0052098F">
      <w:pPr>
        <w:pStyle w:val="TextoNormal"/>
      </w:pPr>
    </w:p>
    <w:p w:rsidR="0052098F" w:rsidRDefault="0052098F" w:rsidP="0052098F">
      <w:pPr>
        <w:pStyle w:val="TextoNormal"/>
      </w:pPr>
      <w:r w:rsidRPr="0052098F">
        <w:rPr>
          <w:rStyle w:val="NumeroAFNegritaCaracter"/>
        </w:rPr>
        <w:t>49</w:t>
      </w:r>
      <w:r>
        <w:t>. Mediante Auto de 14 de octubre de 2004 la Sala Segunda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0052098F" w:rsidRDefault="0052098F" w:rsidP="0052098F">
      <w:pPr>
        <w:pStyle w:val="TextoNormal"/>
      </w:pPr>
    </w:p>
    <w:p w:rsidR="0052098F" w:rsidRDefault="0052098F" w:rsidP="0052098F">
      <w:pPr>
        <w:pStyle w:val="TextoNormal"/>
      </w:pPr>
      <w:r w:rsidRPr="0052098F">
        <w:rPr>
          <w:rStyle w:val="NumeroAFNegritaCaracter"/>
        </w:rPr>
        <w:t>50</w:t>
      </w:r>
      <w:r>
        <w:t>. Por providencia de 28 de octubre de 2004, la Sala Segunda, recibidas las alegaciones interesadas ex art. 50.3 LOTC, acordó, de conformidad con el art. 11.2 LOTC, conocer del presente recurso de amparo y admitir a trámite la demanda. En consecuencia,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7-2002, se le participara la admisión a trámite del recurso y para que procediera al emplazamiento, en el plazo de diez días, de quienes hubieran sido parte en el procedimiento, con exclusión de la demandante de amparo.</w:t>
      </w:r>
    </w:p>
    <w:p w:rsidR="0052098F" w:rsidRDefault="0052098F" w:rsidP="0052098F">
      <w:pPr>
        <w:pStyle w:val="TextoNormal"/>
      </w:pPr>
    </w:p>
    <w:p w:rsidR="0052098F" w:rsidRDefault="0052098F" w:rsidP="0052098F">
      <w:pPr>
        <w:pStyle w:val="TextoNormal"/>
      </w:pPr>
      <w:r w:rsidRPr="0052098F">
        <w:rPr>
          <w:rStyle w:val="NumeroAFNegritaCaracter"/>
        </w:rPr>
        <w:t>51</w:t>
      </w:r>
      <w:r>
        <w:t>. Mediante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número 6458-2003.</w:t>
      </w:r>
    </w:p>
    <w:p w:rsidR="0052098F" w:rsidRDefault="0052098F" w:rsidP="0052098F">
      <w:pPr>
        <w:pStyle w:val="TextoNormal"/>
      </w:pPr>
    </w:p>
    <w:p w:rsidR="0052098F" w:rsidRDefault="0052098F" w:rsidP="0052098F">
      <w:pPr>
        <w:pStyle w:val="TextoNormal"/>
      </w:pPr>
      <w:r w:rsidRPr="0052098F">
        <w:rPr>
          <w:rStyle w:val="NumeroAFNegritaCaracter"/>
        </w:rPr>
        <w:t>52</w:t>
      </w:r>
      <w:r>
        <w:t>. El Abogado del Estado registró su escrito de alegaciones el 12 de enero de 2005. Sus razones son las mismas que las alegadas en el recurso de amparo núm. 6458-2003 —consignadas en el antecedente 8 de esta Sentencia, al que nos remitimos—, con la diferencia de que el representante procesal del Gobierno no discute la legitimación de un miembro de la Mesa del Parlamento Vasco para defender en amparo el derecho a la tutela judicial efectiva de la Asamblea, afirmando que también en ese punto procede la desestimación de la demanda.</w:t>
      </w:r>
    </w:p>
    <w:p w:rsidR="0052098F" w:rsidRDefault="0052098F" w:rsidP="0052098F">
      <w:pPr>
        <w:pStyle w:val="TextoNormal"/>
      </w:pPr>
    </w:p>
    <w:p w:rsidR="0052098F" w:rsidRDefault="0052098F" w:rsidP="0052098F">
      <w:pPr>
        <w:pStyle w:val="TextoNormal"/>
      </w:pPr>
      <w:r w:rsidRPr="0052098F">
        <w:rPr>
          <w:rStyle w:val="NumeroAFNegritaCaracter"/>
        </w:rPr>
        <w:t>53</w:t>
      </w:r>
      <w:r>
        <w:t>. El escrito de alegaciones de la representante procesal del partido político Batasuna se registró en el Tribunal el 20 de enero de 2005, siendo idéntico al presentado en el recurso de amparo núm. 6458-2003, cuyo contenido se ha resumido en el antecedente 10 de esta Sentencia.</w:t>
      </w:r>
    </w:p>
    <w:p w:rsidR="0052098F" w:rsidRDefault="0052098F" w:rsidP="0052098F">
      <w:pPr>
        <w:pStyle w:val="TextoNormal"/>
      </w:pPr>
    </w:p>
    <w:p w:rsidR="0052098F" w:rsidRDefault="0052098F" w:rsidP="0052098F">
      <w:pPr>
        <w:pStyle w:val="TextoNormal"/>
      </w:pPr>
      <w:r w:rsidRPr="0052098F">
        <w:rPr>
          <w:rStyle w:val="NumeroAFNegritaCaracter"/>
        </w:rPr>
        <w:t>54</w:t>
      </w:r>
      <w:r>
        <w:t>. El escrito de alegaciones del Ministerio Fiscal se registró el 20 de enero de 2005 y es reproducción del presentado en el recurso de amparo núm. 6458-2003, resumido en el antecedente 11 de esta resolución.</w:t>
      </w:r>
    </w:p>
    <w:p w:rsidR="0052098F" w:rsidRDefault="0052098F" w:rsidP="0052098F">
      <w:pPr>
        <w:pStyle w:val="TextoNormal"/>
      </w:pPr>
    </w:p>
    <w:p w:rsidR="0052098F" w:rsidRDefault="0052098F" w:rsidP="0052098F">
      <w:pPr>
        <w:pStyle w:val="TextoNormal"/>
      </w:pPr>
      <w:r w:rsidRPr="0052098F">
        <w:rPr>
          <w:rStyle w:val="NumeroAFNegritaCaracter"/>
        </w:rPr>
        <w:t>55</w:t>
      </w:r>
      <w:r>
        <w:t>. Por diligencia de 25 de enero de 2005 el Secretario de Justicia de la Sala hizo constar que la demandante de amparo no presentó escrito de alegaciones.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56</w:t>
      </w:r>
      <w:r>
        <w:t>. Por escrito registrado en este Tribunal el 31 de octubre de 2003, don Joseba Mirena Egibar Artola, portavoz del grupo parlamentario Eusko Abertzaleak del Parlamento Vasco, representado por el Procurador de los Tribunales don Pedro Rodríguez Rodríguez y asistido por los Letrados don José Ignacio Goikoetxeta González y don Javier Velasco Echevarría, interpuso recurso de amparo núm. 6500-2003 contra el Auto de la Sala del artículo 61 LOPJ del Tribunal Supremo de 1 de octubre de 2003, dictado en procedimiento de ejecución núm. 1-2003, sobre ilegalización de partidos políticos, por el que se declaran nulos diversos Acuerdos del Parlamento Vasco en relación con la ejecución de la Sentencia dictada por la Sala del artículo 61 LOPJ del Tribunal Supremo el 27 de marzo de 2003 en autos acumulados 6-2002 y 7-2002.</w:t>
      </w:r>
    </w:p>
    <w:p w:rsidR="0052098F" w:rsidRDefault="0052098F" w:rsidP="0052098F">
      <w:pPr>
        <w:pStyle w:val="TextoNormal"/>
      </w:pPr>
    </w:p>
    <w:p w:rsidR="0052098F" w:rsidRDefault="0052098F" w:rsidP="0052098F">
      <w:pPr>
        <w:pStyle w:val="TextoNormal"/>
      </w:pPr>
      <w:r w:rsidRPr="0052098F">
        <w:rPr>
          <w:rStyle w:val="NumeroAFNegritaCaracter"/>
        </w:rPr>
        <w:t>57</w:t>
      </w:r>
      <w:r>
        <w:t>. Los hechos en los que se fundamenta la demanda son los mismos expuestos en el recurso de amparo núm. 6458-2003 y sintetizados el antecedente 2 de esta Sentencia.</w:t>
      </w:r>
    </w:p>
    <w:p w:rsidR="0052098F" w:rsidRDefault="0052098F" w:rsidP="0052098F">
      <w:pPr>
        <w:pStyle w:val="TextoNormal"/>
      </w:pPr>
    </w:p>
    <w:p w:rsidR="0052098F" w:rsidRDefault="0052098F" w:rsidP="0052098F">
      <w:pPr>
        <w:pStyle w:val="TextoNormal"/>
      </w:pPr>
      <w:r w:rsidRPr="0052098F">
        <w:rPr>
          <w:rStyle w:val="NumeroAFNegritaCaracter"/>
        </w:rPr>
        <w:t>58</w:t>
      </w:r>
      <w:r>
        <w:t xml:space="preserve">. Se interpone recurso de amparo contra el Auto, de 1 de octubre de 2003, de la Sala del artículo 61 LOPJ del Tribunal Supremo por el que “se declaró la nulidad de pleno derecho de los acuerdos procedentes del Parlamento Vasco (Acuerdo de 6 de junio de 2003, de la Junta de Portavoces, en el que se mostraba el parecer desfavorable a la propuesta de resolución general de la Presidencia para complemento de una laguna en el Reglamento de la Cámara autonómica)”, interesándose en el suplico que se dicte Sentencia por la que se “declare que dicho Auto vulnera los derechos fundamentales a que se refiere el cuerpo de este escrito, anulándolo y reponiendo la situación jurídica previa, con la adopción de cuantos pronunciamientos resulten precisos para su plena efectividad”. </w:t>
      </w:r>
    </w:p>
    <w:p w:rsidR="0052098F" w:rsidRDefault="0052098F" w:rsidP="0052098F">
      <w:pPr>
        <w:pStyle w:val="TextoNormal"/>
      </w:pPr>
      <w:r>
        <w:t>La fundamentación jurídica de la demanda es literalmente idéntica a la del recurso de amparo núm. 6458-2003, de la que se ha dejado constancia en el antecedente 3 de esta Sentencia.</w:t>
      </w:r>
    </w:p>
    <w:p w:rsidR="0052098F" w:rsidRDefault="0052098F" w:rsidP="0052098F">
      <w:pPr>
        <w:pStyle w:val="TextoNormal"/>
      </w:pPr>
    </w:p>
    <w:p w:rsidR="0052098F" w:rsidRDefault="0052098F" w:rsidP="0052098F">
      <w:pPr>
        <w:pStyle w:val="TextoNormal"/>
      </w:pPr>
      <w:r w:rsidRPr="0052098F">
        <w:rPr>
          <w:rStyle w:val="NumeroAFNegritaCaracter"/>
        </w:rPr>
        <w:t>59</w:t>
      </w:r>
      <w:r>
        <w:t>. Por providencia de 18 de marzo de 2004, la Sección Cuarta acordó, de conformidad con lo dispuesto en el art. 50.3 LOTC, requerir al demandante de amparo y al Ministerio Fiscal para que alegaran en relación con la posible carencia de contenido constitucional de la demanda [art. 50.1 c) LOTC].</w:t>
      </w:r>
    </w:p>
    <w:p w:rsidR="0052098F" w:rsidRDefault="0052098F" w:rsidP="0052098F">
      <w:pPr>
        <w:pStyle w:val="TextoNormal"/>
      </w:pPr>
    </w:p>
    <w:p w:rsidR="0052098F" w:rsidRDefault="0052098F" w:rsidP="0052098F">
      <w:pPr>
        <w:pStyle w:val="TextoNormal"/>
      </w:pPr>
      <w:r w:rsidRPr="0052098F">
        <w:rPr>
          <w:rStyle w:val="NumeroAFNegritaCaracter"/>
        </w:rPr>
        <w:t>60</w:t>
      </w:r>
      <w:r>
        <w:t>. Por Auto de 14 de octubre de 2004 la Sala Segunda acordó estimar la causa de abstención formulada por el Excmo. Sr. Magistrado don Pascual Sala Sánchez, quien había formado parte del órgano judicial que siguió el procedimiento en el que se dictaron las resoluciones recurridas en amparo (art. 219.11 LOPJ), apartándole definitivamente del presente recurso.</w:t>
      </w:r>
    </w:p>
    <w:p w:rsidR="0052098F" w:rsidRDefault="0052098F" w:rsidP="0052098F">
      <w:pPr>
        <w:pStyle w:val="TextoNormal"/>
      </w:pPr>
    </w:p>
    <w:p w:rsidR="0052098F" w:rsidRDefault="0052098F" w:rsidP="0052098F">
      <w:pPr>
        <w:pStyle w:val="TextoNormal"/>
      </w:pPr>
      <w:r w:rsidRPr="0052098F">
        <w:rPr>
          <w:rStyle w:val="NumeroAFNegritaCaracter"/>
        </w:rPr>
        <w:t>61</w:t>
      </w:r>
      <w:r>
        <w:t xml:space="preserve">. Mediante providencia de 28 de octubre de 2004, la Sala Segunda, recibidas las alegaciones interesadas ex art. 50.3 LOTC, acordó, de conformidad con el art. 11.2 LOTC, conocer del presente recurso de amparo y admitir a trámite la demanda. En consecuencia, y en aplicación del art. 51 LOTC, se acordó dirigir atenta comunicación a la Sala del artículo 61 LOPJ del Tribunal Supremo a fin de que, habiéndose reclamado ya en el recurso de amparo núm. 6458-2003 certificación o copia adverada de las actuaciones correspondientes a los autos acumulados 6-2002 y 7-2003, se le participara la admisión a trámite del recurso </w:t>
      </w:r>
      <w:r>
        <w:lastRenderedPageBreak/>
        <w:t>y procediera al emplazamiento, en plazo de diez días, de quienes hubieran sido parte en el procedimiento, con exclusión del demandante de amparo.</w:t>
      </w:r>
    </w:p>
    <w:p w:rsidR="0052098F" w:rsidRDefault="0052098F" w:rsidP="0052098F">
      <w:pPr>
        <w:pStyle w:val="TextoNormal"/>
      </w:pPr>
    </w:p>
    <w:p w:rsidR="0052098F" w:rsidRDefault="0052098F" w:rsidP="0052098F">
      <w:pPr>
        <w:pStyle w:val="TextoNormal"/>
      </w:pPr>
      <w:r w:rsidRPr="0052098F">
        <w:rPr>
          <w:rStyle w:val="NumeroAFNegritaCaracter"/>
        </w:rPr>
        <w:t>62</w:t>
      </w:r>
      <w:r>
        <w:t>. Mediante providencia de 16 de diciembre de 2004 la Sala tuvo por personados y parte a la Procuradora de los Tribunales doña Ana Lobera Argüelles, en nombre y representación del partido político Batasuna, y al Abogado del Estado, acordando dar vista de las actuaciones recibidas a las partes personadas y al Ministerio Fiscal por plazo común de veinte días para que dentro del mismo pudieran presentar las alegaciones que estimasen pertinentes, conforme determina el art. 52.1 LOTC. Igualmente se acordó requerir a las partes para que en el plazo de diez días se pronunciaran, conforme al art. 83 LOTC, sobre la acumulación del presente recurso al tramitado en la misma Sala con el núm. 6458-2003.</w:t>
      </w:r>
    </w:p>
    <w:p w:rsidR="0052098F" w:rsidRDefault="0052098F" w:rsidP="0052098F">
      <w:pPr>
        <w:pStyle w:val="TextoNormal"/>
      </w:pPr>
    </w:p>
    <w:p w:rsidR="0052098F" w:rsidRDefault="0052098F" w:rsidP="0052098F">
      <w:pPr>
        <w:pStyle w:val="TextoNormal"/>
      </w:pPr>
      <w:r w:rsidRPr="0052098F">
        <w:rPr>
          <w:rStyle w:val="NumeroAFNegritaCaracter"/>
        </w:rPr>
        <w:t>63</w:t>
      </w:r>
      <w:r>
        <w:t>. El Abogado del Estado registró su escrito de alegaciones el 12 de enero de 2005. Sus razones son las mismas que las alegadas en el recurso de amparo núm. 6458-2003, consignadas en el antecedente 8 de esta Sentencia.</w:t>
      </w:r>
    </w:p>
    <w:p w:rsidR="0052098F" w:rsidRDefault="0052098F" w:rsidP="0052098F">
      <w:pPr>
        <w:pStyle w:val="TextoNormal"/>
      </w:pPr>
    </w:p>
    <w:p w:rsidR="0052098F" w:rsidRDefault="0052098F" w:rsidP="0052098F">
      <w:pPr>
        <w:pStyle w:val="TextoNormal"/>
      </w:pPr>
      <w:r w:rsidRPr="0052098F">
        <w:rPr>
          <w:rStyle w:val="NumeroAFNegritaCaracter"/>
        </w:rPr>
        <w:t>64</w:t>
      </w:r>
      <w:r>
        <w:t>. El escrito de alegaciones de la representante procesal del partido político Batasuna se registró en el Tribunal el 20 de enero de 2005, siendo idéntico al presentado en el recurso de amparo núm. 6458-2003 y cuyo contenido se ha resumido en el antecedente 10 de esta Sentencia.</w:t>
      </w:r>
    </w:p>
    <w:p w:rsidR="0052098F" w:rsidRDefault="0052098F" w:rsidP="0052098F">
      <w:pPr>
        <w:pStyle w:val="TextoNormal"/>
      </w:pPr>
    </w:p>
    <w:p w:rsidR="0052098F" w:rsidRDefault="0052098F" w:rsidP="0052098F">
      <w:pPr>
        <w:pStyle w:val="TextoNormal"/>
      </w:pPr>
      <w:r w:rsidRPr="0052098F">
        <w:rPr>
          <w:rStyle w:val="NumeroAFNegritaCaracter"/>
        </w:rPr>
        <w:t>65</w:t>
      </w:r>
      <w:r>
        <w:t>. El escrito de alegaciones del Ministerio Fiscal se registró el 20 de enero de 2005 y es reproducción del presentado en el recurso de amparo núm. 6458-2003, resumido en el antecedente 11 de esta resolución.</w:t>
      </w:r>
    </w:p>
    <w:p w:rsidR="0052098F" w:rsidRDefault="0052098F" w:rsidP="0052098F">
      <w:pPr>
        <w:pStyle w:val="TextoNormal"/>
      </w:pPr>
    </w:p>
    <w:p w:rsidR="0052098F" w:rsidRDefault="0052098F" w:rsidP="0052098F">
      <w:pPr>
        <w:pStyle w:val="TextoNormal"/>
      </w:pPr>
      <w:r w:rsidRPr="0052098F">
        <w:rPr>
          <w:rStyle w:val="NumeroAFNegritaCaracter"/>
        </w:rPr>
        <w:t>66</w:t>
      </w:r>
      <w:r>
        <w:t>. Por diligencia de 25 de enero de 2005 el Secretario de Justicia de la Sala hizo constar que el demandante de amparo no presentó escrito de alegaciones.</w:t>
      </w:r>
    </w:p>
    <w:p w:rsidR="0052098F" w:rsidRDefault="0052098F" w:rsidP="0052098F">
      <w:pPr>
        <w:pStyle w:val="TextoNormal"/>
      </w:pPr>
    </w:p>
    <w:p w:rsidR="0052098F" w:rsidRDefault="0052098F" w:rsidP="0052098F">
      <w:pPr>
        <w:pStyle w:val="TextoNormal"/>
      </w:pPr>
      <w:r w:rsidRPr="0052098F">
        <w:rPr>
          <w:rStyle w:val="NumeroAFNegritaCaracter"/>
        </w:rPr>
        <w:t>67</w:t>
      </w:r>
      <w:r>
        <w:t>. Por Auto de 20 de diciembre de 2005 la Sala acordó la acumulación de los recursos de amparo núms. 6462-2003, 6494-2003, 6496-2003, 6498-2003 y 6500-2003 al presente recurso de amparo 6458-2003.</w:t>
      </w:r>
    </w:p>
    <w:p w:rsidR="0052098F" w:rsidRDefault="0052098F" w:rsidP="0052098F">
      <w:pPr>
        <w:pStyle w:val="TextoNormal"/>
      </w:pPr>
    </w:p>
    <w:p w:rsidR="0052098F" w:rsidRDefault="0052098F" w:rsidP="0052098F">
      <w:pPr>
        <w:pStyle w:val="TextoNormal"/>
      </w:pPr>
      <w:r w:rsidRPr="0052098F">
        <w:rPr>
          <w:rStyle w:val="NumeroAFNegritaCaracter"/>
        </w:rPr>
        <w:t>68</w:t>
      </w:r>
      <w:r>
        <w:t>. Mediante providencia de 10 de abril de 2008 se acordó señalar para la deliberación y votación de la presente Sentencia el día 14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Los seis recursos de amparo acumulados en este proceso impugnan formalmente una misma resolución judicial (Auto de 1 de octubre de 2003 de la Sala del artículo 61 LOPJ del Tribunal Supremo, dictado en procedimiento de ejecución núm. 1-2003), si bien lo hacen con distinto alcance, pues mientras las demandas de amparo correspondientes a los recursos 6458-2003, 6494-2003 y 6500-2003 hacen de su objeto aquel Auto en la medida en que por él se anula el Acuerdo de la Junta de Portavoces del Parlamento Vasco de 6 de junio de 2003, las otras tres demandas (núms. 6462-2003, 6496- 2003 y 6498-2003) lo recurren en toda la extensión de su contenido, esto es, en cuanto, además de aquel Acuerdo de la Junta </w:t>
      </w:r>
      <w:r>
        <w:lastRenderedPageBreak/>
        <w:t>de Portavoces, también anula los distintos Acuerdos adoptados por la Cámara en el curso de las incidencias a que ha dado lugar el procedimiento de ejecución núm. 1-2003, sobre ilegalización de tres partidos políticos por Sentencia del Tribunal Supremo de 27 de marzo de 2003.</w:t>
      </w:r>
    </w:p>
    <w:p w:rsidR="0052098F" w:rsidRDefault="0052098F" w:rsidP="0052098F">
      <w:pPr>
        <w:pStyle w:val="TextoNormal"/>
      </w:pPr>
      <w:r>
        <w:t>Con el fin de precisar el contenido y alcance de los resoluciones judiciales impugnadas es conveniente recapitular los pormenores de aquel procedimiento de ejecución, recordando que, tras disolver por Sentencia de 27 de marzo de 2003 los partidos políticos Herri Batasuna, Euskal Herritarrok y Batasuna, la Sala del artículo 61 LOPJ del Tribunal Supremo procedió a la ejecución del fallo mediante Acuerdo de 24 de abril de 2003 en el que, entre otros pronunciamientos, acordó, en lo que aquí interesa, requerir al Presidente del Parlamento Vasco para que procediera a la disolución de los grupos parlamentarios que figuraran bajo la denominación de Batasuna. La Mesa de la Cámara Vasca, por Acuerdo de 7 de mayo de 2003, trasladó a la Sala que la disolución de un partido político no puede afectar inmediatamente a un grupo parlamentario, siendo necesaria para la disolución del segundo una resolución específica de los órganos parlamentarios competentes. La Sala, por Auto de 20 de mayo de 2003, acordó declarar la disolución del grupo parlamentario Araba, Bizkaia eta Gipuzkoako Sozialista Abertzaleak en el Parlamento Vasco, expidiendo a tal fin requerimiento al Presidente de la Cámara para que por la Mesa se llevase a efecto sin demora la disolución del citado grupo parlamentario. Por posterior providencia de 4 de junio de 2003 la Sala conminó a la Mesa del Parlamento a hacer efectiva la disolución del grupo parlamentario en el plazo máximo de cinco días.</w:t>
      </w:r>
    </w:p>
    <w:p w:rsidR="0052098F" w:rsidRDefault="0052098F" w:rsidP="0052098F">
      <w:pPr>
        <w:pStyle w:val="TextoNormal"/>
      </w:pPr>
      <w:r>
        <w:t>La Mesa de la Cámara autonómica, por Acuerdo de 5 de junio de 2003, aprobó una propuesta de resolución general de la Presidencia para complementar una laguna en el Reglamento parlamentario en relación con los supuestos de disolución o suspensión de un partido político por resolución judicial, que fue rechazada por la Junta de Portavoces por Acuerdo de 6 de junio de 2003. A continuación, la Sala del Tribunal Supremo, por Auto de 18 de junio de 2003, acordó adoptar por sí determinadas medidas para la material y definitiva disolución del grupo parlamentario Araba, Bizkaia eta Gipuzkoako Sozialista Abertzaleak en el Parlamento Vasco, en tanto que la Mesa de la Cámara, por Acuerdo de 30 de junio de 2003, decidió ratificarse en la imposibilidad legal de dar cumplimiento a las medidas propuestas en el Auto de 18 de junio de 2003.</w:t>
      </w:r>
    </w:p>
    <w:p w:rsidR="0052098F" w:rsidRDefault="0052098F" w:rsidP="0052098F">
      <w:pPr>
        <w:pStyle w:val="TextoNormal"/>
      </w:pPr>
      <w:r>
        <w:t>Finalmente, por posterior Acuerdo de 9 de septiembre de 2003, la Mesa de la Cámara reconoció al grupo parlamentario Araba, Bizkaia eta Gipuzkoako Sozialista Abertzaleak en el Parlamento Vasco el derecho a recibir la subvención correspondiente a los grupos parlamentarios. El Auto ahora impugnado, de 1 de octubre de 2003, declaró nulos de pleno Derecho, por contravenir el derecho a la tutela judicial efectiva y hallarse encaminados a impedir la ejecución de la Sentencia de 27 de marzo de 2003 y los Autos dictados en su ejecución, los Acuerdos de la Mesa del Parlamento Vasco de 5 y 30 de junio de 2003 y de 9 de septiembre de 2003 y de la Junta de Portavoces de 6 de junio de 2003.</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Las seis demandas de amparo comparten una misma fundamentación jurídica, coincidiendo así en denunciar sendas infracciones de los derechos de participación política (art. 23.1 y 2 CE) y a la tutela judicial efectiva (art. 24.1 CE). Entienden los recurrentes, por una parte, que las resoluciones parlamentarias anuladas por el Tribunal Supremo han sido fruto de un proceso en el que sus actores no se han limitado al ejercicio de la labor ordinaria de calificación y admisión a trámite de iniciativas, sino que, por el contrario, se han desempeñado como sujetos competentes para actuar en términos de oportunidad política y, por tanto, </w:t>
      </w:r>
      <w:r>
        <w:lastRenderedPageBreak/>
        <w:t>como instrumento de participación de los ciudadanos en el ejercicio de la función parlamentaria. El Parlamento Vasco se habría visto además gravemente afectado en el ejercicio autónomo de sus funciones, particularmente en la disciplina de la materia reservada con carácter exclusivo a su Reglamento parlamentario. Sostienen también los actores, por otro lado, que la Sala se ha excedido de los límites de la jurisdicción ordinaria que le es propia, infringiendo la intangibilidad de lo juzgado en su Sentencia de 27 de marzo de 2003 al socaire de una ejecución con la que se perjudican los derechos de quienes no fueron parte en aquel proceso, e invadiendo, con grave quiebra del principio de separación de poderes, el ámbito privativo de la legislación, arrogándose además el Tribunal Supremo la facultad de rechazo de las normas con valor de ley que es exclusiva de este Tribunal Constitucional. Desde su posición de coadyuvante, el partido político Batasuna ha suscrito la fundamentación jurídica de todas las demandas.</w:t>
      </w:r>
    </w:p>
    <w:p w:rsidR="0052098F" w:rsidRDefault="0052098F" w:rsidP="0052098F">
      <w:pPr>
        <w:pStyle w:val="TextoNormal"/>
      </w:pPr>
      <w:r>
        <w:t>El Abogado del Estado ha sostenido en este proceso que don Rafael Larreina Valderrama, don José Antonio Karrera Aguirrebarrena y don Joseba Mirena Egibar Artola, demandantes, respectivamente, en los recursos de amparo 6458-2003, 6494-2003 y 6500-2003, carecen, en su condición de portavoces de grupos parlamentarios, de la legitimación necesaria para instar la defensa de la Cámara frente al exceso de jurisdicción en el que pretendidamente habría incurrido el Tribunal Supremo, pues la representación del Parlamento no corresponde a la Junta de Portavoces, sino al Presidente de la Asamblea o, en su caso, a la Mesa del Parlamento, de acuerdo con los arts. 22.1 y 24.1 RPV; esto es, en el caso, sólo a quienes han interpuesto los otros tres recursos acumulados en este procedimiento. En cuanto al fondo, el representante procesal del Gobierno entiende que la cuestión que en realidad aquí se plantea es si el Tribunal Supremo ha incurrido en un exceso de jurisdicción al anular determinados Acuerdos del Parlamento Vasco, concluyendo el Abogado del Estado que en este proceso no cabe pronunciarse sobre la disolución del Grupo Parlamentario acordada por el Tribunal Supremo en resoluciones que no han sido recurridas en amparo, de manera que el Auto impugnado, en cuanto reacción del Tribunal Supremo ante la negativa de la Cámara a ejecutar aquellas resoluciones, ya firmes e inatacables, no ha podido suponer quiebra alguna del art. 24.1 CE invocado por los demandantes.</w:t>
      </w:r>
    </w:p>
    <w:p w:rsidR="0052098F" w:rsidRDefault="0052098F" w:rsidP="0052098F">
      <w:pPr>
        <w:pStyle w:val="TextoNormal"/>
      </w:pPr>
      <w:r>
        <w:t>El Ministerio Fiscal coincide con este planteamiento del Abogado del Estado, pero si bien no discute en ninguno de los casos la legitimación de los recurrentes, sí sostiene que las demandas serían extemporáneas por no haberse intentado el incidente extraordinario de nulidad, como habría hecho la propia Mesa del Parlamento Vasco, según se desprende de las actuaciones de otro recurso de amparo (el núm. 1827-2004).</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Como cuestión previa al examen de fondo es necesario que nos pronunciemos sobre las dos cuestiones procesales planteadas por el Abogado del Estado y el Ministerio público. En cuanto a la legitimación negada por aquél a tres de los demandantes para impetrar la defensa del derecho del Parlamento Vasco a la tutela judicial efectiva, es preciso reparar en que, como bien advierte el representante procesal del Gobierno, los recurrentes no denuncian únicamente una lesión autónoma de aquel derecho fundamental, sino asimismo su infracción indirecta por obra de una lesión previa del art. 23.2 CE, de cuya defensa por los portavoces de los grupos parlamentarios demandantes de amparo no puede hacerse cuestión, ni la hace el Abogado del Estado. Cosa distinta es que, coincidiendo con el representante del Gobierno, dichos portavoces sólo puedan invocar a su vez el art. 23.2 CE si sus funciones parlamentarias tienen cobertura en el ámbito propio de la representación política, cuestión ésta que constituye, precisamente, uno de los problemas de fondo planteados con las demandas y que no puede por tanto resolverse como un mero óbice procesal. Ciertamente, </w:t>
      </w:r>
      <w:r>
        <w:lastRenderedPageBreak/>
        <w:t>la invocación autónoma del art. 24.1 CE desde la perspectiva de los derechos del Parlamento, en principio, no sería aceptable en quien formalmente no representa a la Asamblea, pero la imbricación en este caso de los dos derechos fundamentales invocados es tan íntima como para que también a ese respecto sea preferible entrar en su fondo. Especialmente cuando siempre habríamos de hacerlo desde el momento en que la falta de legitimación señalada por el Abogado del Estado no afectaría a todos los demandantes.</w:t>
      </w:r>
    </w:p>
    <w:p w:rsidR="0052098F" w:rsidRDefault="0052098F" w:rsidP="0052098F">
      <w:pPr>
        <w:pStyle w:val="TextoNormal"/>
      </w:pPr>
      <w:r>
        <w:t>Frente a lo sostenido por el Ministerio Fiscal, las demandas de amparo no incurren en la causa de inadmisión tipificada en el art. 50.1 a), en relación con el art. 44.1 a) LOTC, por falta de agotamiento de todos los remedios procesales disponibles en la vía judicial. Con todo, y al hilo de la última de las observaciones del Ministerio público, es menester que nos detengamos en la circunstancia de que, en efecto, con posterioridad a los recursos que ahora resolvemos, y teniendo por objeto el mismo Auto del Tribunal Supremo contra el que aquéllos se dirigen, la Mesa del Parlamento Vasco interpuso el recurso de amparo núm. 1827-2004, planteado una vez que la Sala del artículo 61 LOPJ hubiera desestimado, por Auto de 18 de noviembre de 2003, un incidente de nulidad intentado contra su Auto de 1 de octubre de 2003, esto es, contra el Auto sobre el que ahora se nos pide un juicio de constitucionalidad.</w:t>
      </w:r>
    </w:p>
    <w:p w:rsidR="0052098F" w:rsidRDefault="0052098F" w:rsidP="0052098F">
      <w:pPr>
        <w:pStyle w:val="TextoNormal"/>
      </w:pPr>
      <w:r>
        <w:t>Lo anterior podría suponer que las presentes demandas de amparo fueran, en efecto, prematuras. En esa dirección apuntaría, por lo demás, el hecho de que aquel recurso núm.  1827-2004, si bien fue inadmitido por ATC 515/2005 (Sección Cuarta), de 19 de diciembre, no lo fue por extemporáneo, sino por carencia manifiesta de contenido que justificara una resolución sobre el fondo. Quiere ello decir que si el incidente de nulidad intentado tras el Auto de 1 de octubre de 2003 no resultó ser entonces manifiestamente improcedente, acaso fuera exigible para tener por debidamente agotada la vía judicial que ha precedido a las demandas de amparo que ahora examinamos. Sin embargo, debe advertirse que la queja deducida en el recurso inadmitido por el ATC 515/2005 se sustanciaba alrededor de una pretendida lesión del derecho de la Cámara autonómica a no padecer indefensión, supuesto para el que el incidente de nulidad es obligado como requisito a efectos del agotamiento de la vía ordinaria. Descartada ex art. 50.1 c) LOTC esa específica denuncia de vulneración del derecho a la tutela judicial efectiva sin indefensión, la Sección Cuarta acordó inadmitir también aquel recurso en la parte en que asimismo se denunciaban las lesiones que constituyen el objeto de las presentes demandas de amparo. Entre otras razones, además de por plantearse la cuestión en aquel supuesto como una suerte de conflicto interorgánico, por haber sido ya admitidos a trámite estos seis recursos acumulados y estar así asegurado el enjuiciamiento del problema de fondo.</w:t>
      </w:r>
    </w:p>
    <w:p w:rsidR="0052098F" w:rsidRDefault="0052098F" w:rsidP="0052098F">
      <w:pPr>
        <w:pStyle w:val="TextoNormal"/>
      </w:pPr>
      <w:r>
        <w:t>En definitiva, el incidente de nulidad de actuaciones era pertinente para denunciar autónomamente en amparo una infracción del derecho a no padecer indefensión, pero nunca sería exigible para recurrir el Auto de 1 de octubre de 2003 por la vulneración de otros derechos fundamentales. Ahora bien, los recurrentes no se quejan de ninguna indefensión, como se hizo en el recurso de amparo 1827-2004 por un recurrente distinto, en concreto, la Mesa del Parlamento Vasco.</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El problema constitucional de fondo que finalmente entramos a examinar no puede tener, pese al planteamiento de los recurrentes, el alcance que se desprende de sus demandas.  Habrá de analizarse, por supuesto, si el Auto de 1 de octubre de 2003 ha incurrido en un exceso de jurisdicción lesivo de los derechos invocados, muy particularmente de los garantizados por el art. 23 CE. Pero para determinar la realidad de ese exceso no podremos enjuiciar las resoluciones judiciales de las que trae causa ese concreto Auto; sea la causa </w:t>
      </w:r>
      <w:r>
        <w:lastRenderedPageBreak/>
        <w:t>inmediata que supone el Auto de 20 de mayo de 2003, ni, naturalmente, la más remota representada por la Sentencia de 27 de marzo de 2003. Esto es, deben quedar fuera de nuestro examen tanto la Sentencia de cuya ejecución se trata en los autos en los que se ha acordado la resolución de 1 de octubre de 2003, como el Auto por el que el Tribunal Supremo dispuso expresamente la disolución del grupo parlamentario ABGSA. Como coinciden en alegar el Abogado del Estado y el Ministerio Público, no cabe ahora discutir si el Tribunal Supremo podía o no disolver aquel grupo al ejecutar aquella Sentencia, pues lo cierto es que la disolución judicial del grupo parlamentario tuvo lugar con el Auto de 20 de mayo de 2003 y cuanto pudiera oponerse a esa decisión debió intentarse ante este Tribunal por medio de un recurso de amparo dirigido en plazo contra ese concreto Auto judicial. Las tentativas de la Cámara en orden a la ejecución de aquel Auto por vía de una reforma de su Reglamento que, a su juicio, era inexcusable ante la invocada existencia de una laguna de imposible integración, pudieran haber justificado, dada la singularidad del caso y la imposibilidad de recurrir a algún precedente, que el recurso de amparo ante este Tribunal se hubiera interpuesto en un plazo computable con la mayor flexibilidad posible, atendidas las actuaciones de la Cámara para alcanzar una solución parlamentaria a la cuestión planteada. Sin embargo, el Parlamento Vasco y sus Diputados dieron por concluyente su juicio sobre la imposibilidad de ejecutar la disolución acordada por el Tribunal Supremo, sin reparar en que sólo a éste le cabía pronunciarse definitivamente al respecto. Sólo cuando, constatada la voluntad de la Cámara de hacer perfecta abstracción del mandato judicial al asignar al grupo parlamentario judicialmente disuelto una subvención, el Tribunal Supremo reaccionó con la anulación de los Acuerdos parlamentarios que se oponían a la ejecución de su voluntad, convinieron los demandantes en dirigir sendos amparos contra esa última intervención judicial.</w:t>
      </w:r>
    </w:p>
    <w:p w:rsidR="0052098F" w:rsidRDefault="0052098F" w:rsidP="0052098F">
      <w:pPr>
        <w:pStyle w:val="TextoNormal"/>
      </w:pPr>
      <w:r>
        <w:t>Así las cosas, para determinar si el Tribunal Supremo se ha excedido en el ejercicio de su jurisdicción hemos de atenernos estrictamente a los límites en los que esa jurisdicción quedó necesariamente enmarcada una vez firmes en la vía judicial ordinaria —e inatacables en la constitucional de amparo— las resoluciones cuya efectividad pretendía asegurar la Sala del artículo 61 LOPJ frente a la inobservancia del Parlamento Vasco. Quiere decirse que el alegado exceso en la jurisdicción ejercida por el Tribunal Supremo al disolver el grupo parlamentario —caso de haberse producido— sería absolutamente independiente del que se hubiera podido cometer al dictar el Auto aquí recurrido. Una vez firmes las resoluciones en las que se ha formalizado aquel eventual primer exceso, lo cierto es que dicho supuesto exceso ya no puede ser objeto de nuestro enjuiciamiento, del mismo modo que jurídicamente se diluye toda infracción material que no haya sido denunciada y reparada en tiempo y por los cauces procesalmente previstos por el ordenamiento. En consecuencia, la jurisdicción ejercida por el Tribunal Supremo al dictar el Auto de 1 de octubre de 2003 le obligaba a remover cualesquiera resoluciones parlamentarias impeditivas de la ejecución de un Auto previo que había devenido firme y ejecutable. Entre tales resoluciones parlamentarias habían de incluirse, desde luego, tanto las que, haciendo abstracción de la disolución, distribuían a favor del grupo determinadas subvenciones (Acuerdo de 9 de septiembre de 2003), como aquéllas que, a partir del Acuerdo de 5 de junio de 2003, intentaron mediatizar la ejecución del Auto del Tribunal Supremo de 20 de mayo de 2003 a través de un procedimiento que la Sala del artículo 61 LOPJ consideró improcedente cuantas veces insistió en exigir al Parlamento la ejecución inmediata de su resolución disolutoria.</w:t>
      </w:r>
    </w:p>
    <w:p w:rsidR="0052098F" w:rsidRDefault="0052098F" w:rsidP="0052098F">
      <w:pPr>
        <w:pStyle w:val="TextoNormal"/>
      </w:pPr>
      <w:r>
        <w:t xml:space="preserve">Lo que así resulta es entonces que la Sala del artículo 61 LOPJ no podía dejar de reaccionar frente a una serie de resoluciones parlamentarias manifiestamente contrarias al contenido de una resolución judicial ya irresistible, el Auto de 1 de octubre de 2003, a cuyo </w:t>
      </w:r>
      <w:r>
        <w:lastRenderedPageBreak/>
        <w:t>cumplimiento quedan todos, ciudadanos y poderes públicos, obligados de manera indiscutible e innegociable (arts. 9.1 y 118 CE). No ha habido ahí exceso alguno de jurisdicción ni lesión ninguna de derechos fundamentales, quizás afectados en su contenido por resoluciones judiciales antecedentes que, en virtud de la pasividad de quienes como titulares de tales derechos pudieron padecer su infracción y no reaccionaron por los cauces legalmente establecidos al efecto, han adquirido toda la autoridad del ordenamiento y, como éste, han de ser acatadas sin discusión.</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Desestimar los recursos de amparo acumulados núms. 6458-2003, 6462-2003, 6494-2003, 6496-2003, 6498-2003 y 6500-2003, interpuestas por don Rafael Larreina Valderrama, don Gorka Knörr Borràs, don José Antonio Karrera Aguirrebarrena, don Juan María Atutxa Mendiola, doña María de la Concepción Bilbao Cuevas y don Joseba Mirena Egibar Artola.</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catorce de abril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4" w:name="SENTENCIA_2008_51"/>
      <w:r>
        <w:lastRenderedPageBreak/>
        <w:t>SENTENCIA 51/2008, de 14 de abril de 2008</w:t>
      </w:r>
    </w:p>
    <w:bookmarkEnd w:id="54"/>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117, de 14 de mayo de 2008)</w:t>
      </w:r>
    </w:p>
    <w:p w:rsidR="0052098F" w:rsidRDefault="0052098F" w:rsidP="0052098F">
      <w:pPr>
        <w:pStyle w:val="TtuloBOE"/>
      </w:pPr>
    </w:p>
    <w:p w:rsidR="0052098F" w:rsidRDefault="0052098F" w:rsidP="0052098F">
      <w:pPr>
        <w:pStyle w:val="SntesisDescriptiva"/>
      </w:pPr>
      <w:r>
        <w:t>ECLI:ES:TC:2008:51</w:t>
      </w:r>
    </w:p>
    <w:p w:rsidR="0052098F" w:rsidRDefault="0052098F" w:rsidP="0052098F">
      <w:pPr>
        <w:pStyle w:val="SntesisDescriptiva"/>
      </w:pPr>
    </w:p>
    <w:p w:rsidR="0052098F" w:rsidRDefault="0052098F" w:rsidP="0052098F">
      <w:pPr>
        <w:pStyle w:val="SntesisDescriptiva"/>
      </w:pPr>
      <w:r>
        <w:t>Recurso de amparo 5351-2004. Promovido por doña Annie Arraud Milbeau respecto a la Sentencia de la Sala de lo Civil del Tribunal Supremo que, en grado de casación, desestimó su demanda contra don Manuel Vicent Recatalà y la editorial Santillana por un pasaje del libro “Jardín de Villa Valeria”.</w:t>
      </w:r>
    </w:p>
    <w:p w:rsidR="0052098F" w:rsidRDefault="0052098F" w:rsidP="0052098F">
      <w:pPr>
        <w:pStyle w:val="SntesisDescriptiva"/>
      </w:pPr>
    </w:p>
    <w:p w:rsidR="0052098F" w:rsidRDefault="0052098F" w:rsidP="0052098F">
      <w:pPr>
        <w:pStyle w:val="SntesisAnaltica"/>
      </w:pPr>
      <w:r>
        <w:t>Supuesta vulneración del derecho al honor: fragmento de una novela, ejercicio del derecho de creación literaria, que identifica a una persona fallecida sin emplear frases vejatorias ni desmerecedoras de la reputación o consideración ajenas.</w:t>
      </w:r>
    </w:p>
    <w:p w:rsidR="0052098F" w:rsidRDefault="0052098F" w:rsidP="0052098F">
      <w:pPr>
        <w:pStyle w:val="SntesisAnaltica"/>
      </w:pPr>
    </w:p>
    <w:p w:rsidR="0052098F" w:rsidRDefault="0052098F" w:rsidP="0052098F">
      <w:pPr>
        <w:pStyle w:val="Extracto"/>
      </w:pPr>
      <w:r>
        <w:t>1.</w:t>
      </w:r>
      <w:r>
        <w:tab/>
        <w:t>No se ha vulnerado el honor de la persona aludida en el pasaje litigioso, ya que no puede desconocerse que dicho pasaje constituye un ejercicio del derecho fundamental a la producción y creación literaria, que protege la creación de un universo de ficción que puede tomar datos de la realidad como puntos de referencia, sin que resulte posible acudir a criterios de veracidad o de instrumentalidad [FJ 7].</w:t>
      </w:r>
    </w:p>
    <w:p w:rsidR="0052098F" w:rsidRDefault="0052098F" w:rsidP="0052098F">
      <w:pPr>
        <w:pStyle w:val="Extracto"/>
      </w:pPr>
    </w:p>
    <w:p w:rsidR="0052098F" w:rsidRDefault="0052098F" w:rsidP="0052098F">
      <w:pPr>
        <w:pStyle w:val="Extracto"/>
      </w:pPr>
      <w:r>
        <w:t>2.</w:t>
      </w:r>
      <w:r>
        <w:tab/>
        <w:t>El párrafo litigioso no puede considerarse lesivo del honor la persona pretendidamente ofendida, claramente identificada, teniendo en cuenta su fallecimiento once años antes y que, interpretadas en su conjunto en el contexto de una obra literaria, las frases aparentemente vulneradoras de dicho honor no pueden considerarse ni en sí mismas vejatorias ni desmerecedoras de la reputación o consideración ajenas [FJ 7].</w:t>
      </w:r>
    </w:p>
    <w:p w:rsidR="0052098F" w:rsidRDefault="0052098F" w:rsidP="0052098F">
      <w:pPr>
        <w:pStyle w:val="Extracto"/>
      </w:pPr>
    </w:p>
    <w:p w:rsidR="0052098F" w:rsidRDefault="0052098F" w:rsidP="0052098F">
      <w:pPr>
        <w:pStyle w:val="Extracto"/>
      </w:pPr>
      <w:r>
        <w:t>3.</w:t>
      </w:r>
      <w:r>
        <w:tab/>
        <w:t>El paso del tiempo diluye necesariamente la potencialidad agresiva sobre la consideración pública o social de los individuos en el sentido constitucional del término (STC 43/2004) [FJ 6].</w:t>
      </w:r>
    </w:p>
    <w:p w:rsidR="0052098F" w:rsidRDefault="0052098F" w:rsidP="0052098F">
      <w:pPr>
        <w:pStyle w:val="Extracto"/>
      </w:pPr>
    </w:p>
    <w:p w:rsidR="0052098F" w:rsidRDefault="0052098F" w:rsidP="0052098F">
      <w:pPr>
        <w:pStyle w:val="Extracto"/>
      </w:pPr>
      <w:r>
        <w:t>4.</w:t>
      </w:r>
      <w:r>
        <w:tab/>
        <w:t>El derecho al honor, que hemos calificado de personalísimo y a diferencia de lo que sucede con la intimidad no se extiende a la familia, con la muerte de las personas se transforma en gran medida, vinculándose sobre todo a la memoria o al recuerdo por parte de sus allegados, de ahí que no pueda postularse que su contenido constitucional y la intensidad de su protección sean los mismos que en el caso de las personas vivas, (SSTC 105/1990, 214/1991, 43/2004) [FJ 6].</w:t>
      </w:r>
    </w:p>
    <w:p w:rsidR="0052098F" w:rsidRDefault="0052098F" w:rsidP="0052098F">
      <w:pPr>
        <w:pStyle w:val="Extracto"/>
      </w:pPr>
    </w:p>
    <w:p w:rsidR="0052098F" w:rsidRDefault="0052098F" w:rsidP="0052098F">
      <w:pPr>
        <w:pStyle w:val="Extracto"/>
      </w:pPr>
      <w:r>
        <w:t>5.</w:t>
      </w:r>
      <w:r>
        <w:tab/>
        <w:t>El hecho de identificar directamente al personaje, su tono jocoso y la calificación personal negativa que se desprende de las mismas deben llevarnos a considerar que las dos últimas frases, referidas a la indumentaria y al comportamiento sexual de dicho personaje, son susceptibles, al menos a priori, de vulnerar el honor de la persona [FJ 6].</w:t>
      </w:r>
    </w:p>
    <w:p w:rsidR="0052098F" w:rsidRDefault="0052098F" w:rsidP="0052098F">
      <w:pPr>
        <w:pStyle w:val="Extracto"/>
      </w:pPr>
    </w:p>
    <w:p w:rsidR="0052098F" w:rsidRDefault="0052098F" w:rsidP="0052098F">
      <w:pPr>
        <w:pStyle w:val="Extracto"/>
      </w:pPr>
      <w:r>
        <w:lastRenderedPageBreak/>
        <w:t>6.</w:t>
      </w:r>
      <w:r>
        <w:tab/>
        <w:t>No todas las frases del pasaje impugnado afectan negativamente a la reputación de la persona, así, las relativas a su carácter, a su profesión y a su militancia política no pueden considerarse afrentosos ni susceptibles de vulnerar su honor, y la alusión a las fobias obsesivas del personaje, se limita a describir una aversión apasionada que tampoco puede considerarse vejatoria, insultante o con capacidad para incidir negativamente en dicho derecho [FJ 6].</w:t>
      </w:r>
    </w:p>
    <w:p w:rsidR="0052098F" w:rsidRDefault="0052098F" w:rsidP="0052098F">
      <w:pPr>
        <w:pStyle w:val="Extracto"/>
      </w:pPr>
    </w:p>
    <w:p w:rsidR="0052098F" w:rsidRDefault="0052098F" w:rsidP="0052098F">
      <w:pPr>
        <w:pStyle w:val="Extracto"/>
      </w:pPr>
      <w:r>
        <w:t>7.</w:t>
      </w:r>
      <w:r>
        <w:tab/>
        <w:t>Doctrina sobre el honor, y en concreto sobre el de las personas fallecidas (SSTC 180/1999, 52/2002, 43/2004) [FFJJ 3, 6].</w:t>
      </w:r>
    </w:p>
    <w:p w:rsidR="0052098F" w:rsidRDefault="0052098F" w:rsidP="0052098F">
      <w:pPr>
        <w:pStyle w:val="Extracto"/>
      </w:pPr>
    </w:p>
    <w:p w:rsidR="0052098F" w:rsidRDefault="0052098F" w:rsidP="0052098F">
      <w:pPr>
        <w:pStyle w:val="Extracto"/>
      </w:pPr>
      <w:r>
        <w:t>8.</w:t>
      </w:r>
      <w:r>
        <w:tab/>
        <w:t>Desde un punto de vista constitucional resulta evidente que el texto litigioso constituye un ejercicio del derecho fundamental a la producción y creación literaria, máxime al tratarse de un fragmento de una novela lo que permite encuadrarlo sin ningún género de dudas en este derecho fundamental específico, reconocido en la letra b) del art. 20.1 CE [FJ 5].</w:t>
      </w:r>
    </w:p>
    <w:p w:rsidR="0052098F" w:rsidRDefault="0052098F" w:rsidP="0052098F">
      <w:pPr>
        <w:pStyle w:val="Extracto"/>
      </w:pPr>
    </w:p>
    <w:p w:rsidR="0052098F" w:rsidRDefault="0052098F" w:rsidP="0052098F">
      <w:pPr>
        <w:pStyle w:val="Extracto"/>
      </w:pPr>
      <w:r>
        <w:t>9.</w:t>
      </w:r>
      <w:r>
        <w:tab/>
        <w:t>El carácter literario de la obra en la que se inserta el pasaje litigioso, aunque en la misma se hace referencia a personajes, lugares y hechos reales, el género novelístico de la misma y el hecho de no tratarse de unas memorias impiden trasladar a este ámbito las exigencias de veracidad propias de la transmisión de hechos y, por lo tanto, de la libertad de información, dada su transformación para dar lugar a un universo de ficción nuevo [FJ 5].</w:t>
      </w:r>
    </w:p>
    <w:p w:rsidR="0052098F" w:rsidRDefault="0052098F" w:rsidP="0052098F">
      <w:pPr>
        <w:pStyle w:val="Extracto"/>
      </w:pPr>
    </w:p>
    <w:p w:rsidR="0052098F" w:rsidRDefault="0052098F" w:rsidP="0052098F">
      <w:pPr>
        <w:pStyle w:val="Extracto"/>
      </w:pPr>
      <w:r>
        <w:t>10.</w:t>
      </w:r>
      <w:r>
        <w:tab/>
        <w:t>El objetivo principal del derecho a la creación y producción literaria es proteger la libertad del propio proceso creativo literario, manteniéndolo inmune frente a cualquier forma de censura previa (art. 20.2 CE) y protegiéndolo respecto de toda interferencia ilegítima proveniente de los poderes públicos o de los particulares [FJ 5].</w:t>
      </w:r>
    </w:p>
    <w:p w:rsidR="0052098F" w:rsidRDefault="0052098F" w:rsidP="0052098F">
      <w:pPr>
        <w:pStyle w:val="Extracto"/>
      </w:pPr>
    </w:p>
    <w:p w:rsidR="0052098F" w:rsidRDefault="0052098F" w:rsidP="0052098F">
      <w:pPr>
        <w:pStyle w:val="Extracto"/>
      </w:pPr>
      <w:r>
        <w:t>11.</w:t>
      </w:r>
      <w:r>
        <w:tab/>
        <w:t>La creación literaria, al igual que la artística, tiene una proyección externa derivada de la voluntad de su autor, quien crea para comunicarse, de ahí que su ámbito de protección no se limite exclusivamente a la obra literaria aisladamente considerada, sino también a su difusión (STC 153/1985) [FJ 5].</w:t>
      </w:r>
    </w:p>
    <w:p w:rsidR="0052098F" w:rsidRDefault="0052098F" w:rsidP="0052098F">
      <w:pPr>
        <w:pStyle w:val="Extracto"/>
      </w:pPr>
    </w:p>
    <w:p w:rsidR="0052098F" w:rsidRDefault="0052098F" w:rsidP="0052098F">
      <w:pPr>
        <w:pStyle w:val="Extracto"/>
      </w:pPr>
      <w:r>
        <w:t>12.</w:t>
      </w:r>
      <w:r>
        <w:tab/>
        <w:t>Aunque el apartado 4 del art. 20 CE dispone que todas las libertades reconocidas en este precepto tienen su límite en el derecho al honor, a la intimidad, a la propia imagen y a la protección de la juventud y de la infancia, sin embargo, el buen gusto o la calidad literaria no constituyen límites constitucionales a dicho derecho [FJ 5].</w:t>
      </w:r>
    </w:p>
    <w:p w:rsidR="0052098F" w:rsidRDefault="0052098F" w:rsidP="0052098F">
      <w:pPr>
        <w:pStyle w:val="Extracto"/>
      </w:pPr>
    </w:p>
    <w:p w:rsidR="0052098F" w:rsidRDefault="0052098F" w:rsidP="0052098F">
      <w:pPr>
        <w:pStyle w:val="Extracto"/>
      </w:pPr>
      <w:r>
        <w:t>13.</w:t>
      </w:r>
      <w:r>
        <w:tab/>
        <w:t>Doctrina sobre el derecho a la producción y creación literaria, artística, científica y técnica (SSTC 153/1985, 43/2004) [FJ 5].</w:t>
      </w:r>
    </w:p>
    <w:p w:rsidR="0052098F" w:rsidRDefault="0052098F" w:rsidP="0052098F">
      <w:pPr>
        <w:pStyle w:val="Extracto"/>
      </w:pPr>
    </w:p>
    <w:p w:rsidR="0052098F" w:rsidRDefault="0052098F" w:rsidP="0052098F">
      <w:pPr>
        <w:pStyle w:val="Extracto"/>
      </w:pPr>
      <w:r>
        <w:t>14.</w:t>
      </w:r>
      <w:r>
        <w:tab/>
        <w:t>Resulta difícil descartar a priori cualquier lesión del derecho al honor sin entrar a valorar los otros derechos fundamentales concurrentes, sobre todo con los amparados en el art. 20 CE, lo que hace de la ponderación judicial el método interpretativo materialmente empleado para resolver dichos conflictos, otorgando prevalencia a uno de ellos a la luz de las circunstancias del caso [FJ 3].</w:t>
      </w:r>
    </w:p>
    <w:p w:rsidR="0052098F" w:rsidRDefault="0052098F" w:rsidP="0052098F">
      <w:pPr>
        <w:pStyle w:val="Extracto"/>
      </w:pPr>
    </w:p>
    <w:p w:rsidR="0052098F" w:rsidRDefault="0052098F" w:rsidP="0052098F">
      <w:pPr>
        <w:pStyle w:val="Extracto"/>
      </w:pPr>
      <w:r>
        <w:t>15.</w:t>
      </w:r>
      <w:r>
        <w:tab/>
        <w:t>Doctrina sobre el control constitucional de la ponderación judicial de derechos fundamentales (SSTC 112/2000, 52/2002)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5351-2004, promovido por doña Annie Arraud Milbeau, representada por el Procurador de los Tribunales don Ramiro Reynolds Martínez y asistida por el Letrado don José María Montes Mesa, contra la Sentencia de la Sala de lo Civil del Tribunal Supremo núm. 822/2004, de 12 de julio, dictada en el recurso de casación 5150-2000, formulado contra la Sentencia de la Sección Novena de la Audiencia Provincial de Madrid de fecha 22 de septiembre de 2000, recaída en recurso de apelación 1144-1997, y por la que se confirma la Sentencia del Juzgado de Primera Instancia núm. 40 de Madrid, de 10 de septiembre de 1997, dimanante del juicio de menor cuantía 296-1997. Ha intervenido el Ministerio Fiscal. Han comparecido don Manuel Vicent Recatalà y la Editorial Santillana, S.A., representados por el Procurador de los Tribunales don Gabriel de Diego Quevedo. Ha sido Ponente el Magistrado don Ramón Rodríguez Arribas,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7 de septiembre de 2004 tuvo entrada en el Registro General de este Tribunal escrito de interposición del recurso de amparo del que se hace mérito en el encabezamiento, dirigido contra la Sentencia 822/2004 de la Sala de lo Civil del Tribunal Supremo, por la que se casa y anula la Sentencia de la Sección Novena de la Audiencia Provincial de Madrid de fecha 22 de septiembre de 2000 y se confirma la Sentencia del Juzgado de Primera Instancia núm. 40 de Madrid, de 10 de septiembre de 1997, dimanante del juicio de menor cuantía 296-1997. El recurso atribuye a la resolución recurrida “la vulneración del art. 7.1.1, en relación con el art. 2.1 de la Ley Orgánica 1/1982, de 5 de mayo, de protección civil al honor, a la intimidad personal y familiar, y a la propia imagen que garantiza el art. 18.1 CE”.</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más relevantes para la resolución de dicho recurso son los siguientes: </w:t>
      </w:r>
    </w:p>
    <w:p w:rsidR="0052098F" w:rsidRDefault="0052098F" w:rsidP="0052098F">
      <w:pPr>
        <w:pStyle w:val="TextoNormal"/>
      </w:pPr>
      <w:r>
        <w:t xml:space="preserve">a) En abril de 1996 el escritor Manuel Vicent publicó un libro, titulado “Jardín de Villa Valeria”, editado por Santillana, S.A., del que se hicieron varias ediciones y reimpresiones. </w:t>
      </w:r>
      <w:r>
        <w:lastRenderedPageBreak/>
        <w:t xml:space="preserve">En la primera edición de dicho libro, concretamente en la pág. 106, puede leerse el siguiente fragmento: </w:t>
      </w:r>
    </w:p>
    <w:p w:rsidR="0052098F" w:rsidRDefault="0052098F" w:rsidP="0052098F">
      <w:pPr>
        <w:pStyle w:val="TextoNormal"/>
      </w:pPr>
      <w:r>
        <w:t xml:space="preserve">“Bajo los pinos había jóvenes que luego se harían famosos en la política. El líder del grupo parecía ser Pedro Ramón Moliner, hijo de María Moliner, un tipo que siempre intervenía de forma brillante. Era catedrático de industriales en Barcelona, aparte de militante declarado del PSOE. Tenía cuatro fobias obsesivas: los homosexuales, los poetas, los curas y los catalanes. También usaba un taparrabos rojo chorizo, muy ajustado a las partes. Solía calentarse jugueteando libidinosamente bajo los pinos con las mujeres de los amigos para después poder funcionar con la suya como un gallo”. </w:t>
      </w:r>
    </w:p>
    <w:p w:rsidR="0052098F" w:rsidRDefault="0052098F" w:rsidP="0052098F">
      <w:pPr>
        <w:pStyle w:val="TextoNormal"/>
      </w:pPr>
      <w:r>
        <w:t xml:space="preserve">b) La viuda de la persona citada en el fragmento anterior interpuso en febrero de 1997 demanda civil contra el autor del libro y contra la editorial responsable de su publicación por considerar que dicho pasaje constituía una intromisión ilegítima en el honor y en la intimidad personal y familiar de su marido. El Juzgado de Primera Instancia núm. 40 de Madrid desestimó dicha demanda por Sentencia de 10 de diciembre de 1997, al concluir que tal pasaje no tenía entidad suficiente para ser considerado una intromisión ilegítima en el honor y la intimidad personal y familiar del afectado, por contenerse en una novela que relata hechos ficticios con los que se pretendía representar a una determinada generación. En este contexto se consideró que dicho fragmento no ocasionaba un resultado difamatorio, pues, además de contener alguna frase elogiosa, carecía de cualquier efecto de desmerecimiento público y, por ende, no deterioraba la dignidad ajena. </w:t>
      </w:r>
    </w:p>
    <w:p w:rsidR="0052098F" w:rsidRDefault="0052098F" w:rsidP="0052098F">
      <w:pPr>
        <w:pStyle w:val="TextoNormal"/>
      </w:pPr>
      <w:r>
        <w:t xml:space="preserve">c) Recurrida en apelación por la ahora demandante, la Sentencia de instancia fue revocada por la Sentencia 562/2000, de 22 de septiembre, de la Sección Novena de la Audiencia Provincial de Madrid, que vino a estimar la demanda interpuesta en su momento por la recurrente, reconociendo que se había producido una intromisión ilegítima en el honor de su marido. Tras recordar la jurisprudencia constitucional sobre el derecho al honor y su conflicto con las libertades de expresión e información, y señalar que las expresiones objeto de litigio debían interpretarse en el contexto del libro en que aparecen, consideró que eran innecesarias para el cumplimiento de las finalidades del mismo, que no eran otras que las de exponer de forma novelada las vivencias de una serie de personas durante la transición política española. Al suponer, por el contrario, un evidente menosprecio y descrédito en la consideración social de la persona aludida, que no se justifica ni por la libertad de expresión de su autor ni por el lenguaje coloquial o el ambiente relajado en que se encontraban los personajes descritos, la Audiencia Provincial consideró que constituían una intromisión ilegítima en el honor de dicha persona. En consecuencia, se condenó al autor de dichas expresiones y a la editorial del libro a indemnizar a la demandante en la cuantía que se determinara en ejecución de la Sentencia, así como a suprimir las referencias que se hacen a su marido, a publicar el fallo de la Sentencia en el diario “El País” y a pagar las costas de la primera instancia. </w:t>
      </w:r>
    </w:p>
    <w:p w:rsidR="0052098F" w:rsidRDefault="0052098F" w:rsidP="0052098F">
      <w:pPr>
        <w:pStyle w:val="TextoNormal"/>
      </w:pPr>
      <w:r>
        <w:t xml:space="preserve">d) Interpuesto por los demandados y apelados recurso de casación, la Sentencia de la Sala de lo Civil del Tribunal Supremo ahora recurrida en amparo casó y anuló la Sentencia de apelación, confirmando en su lugar la dictada en primera instancia. Partiendo de la base de que “no se trata tanto de hacer una correcta ponderación de la colisión entre derecho al honor y la libertad de expresión o el derecho a la información veraz, como de considerar si se ha producido una intromisión, proscrita legalmente, a aquel derecho, protegido constitucionalmente”, es decir, de que “no es un tema de colisión, sino de calificación”, en esta Sentencia se considera que las expresiones litigiosas no constituyen una intromisión ilegítima en el derecho al honor, al no contener una descalificación, demérito o vejación de la persona aludida con entidad suficiente para ser considerada como tal. En este sentido se </w:t>
      </w:r>
      <w:r>
        <w:lastRenderedPageBreak/>
        <w:t>señala que lo que más destaca en el texto es el carácter de líder del personaje y su forma brillante, mientras que otros extremos más secundarios como sus fobias y sus juegos eróticos no pueden ser considerados objetivamente como atentatorios al honor. Interpretado en su conjunto se trata de un párrafo que forma parte de una novela, concretamente, del relato novelado de unos hechos ficticios, en el que no se emplean expresiones que puedan ser calificadas de insultantes, injuriosas o vejatorias, sin que sea competencia de los Tribunales de Justicia realizar una crítica literaria o pronunciarse sobre la concreción, exactitud, buen gusto y consideración de una obra literaria que, en su momento, fue bien aceptada por público y crítica. Tras señalar que la Sentencia de apelación “no explica porqué y en qué sentido se produce una intromisión en el honor ni … qué expresiones son las que lo atacan”, se señala que “el libro no relata acontecimientos históricos sino hechos de carácter exclusivamente ficticio, de tal manera que el lector es consciente en todo momento que se trata de una novela debida exclusivamente al ingenio del redactor”. También se aduce que “la incorporación de personajes reales y la valoración que de ellos se realiza no deja de ser un mero juicio personal u opinión subjetiva del autor que no tienen ni pueden tener carácter definitorio de sus respectivas personalidades”. “Lejos de tratar de humillar o escarnecer al Sr. Moliner, el autor, desde el conocimiento de la superior apreciación intelectual del afectado (capacidad de liderazgo, brillantez, catedrático) señala algunos aspectos señaladamente contradictorios con dichas cualidades (sus fobias y determinados comportamientos) producto sin duda de la época juvenil que se relata, sin utilizar en ningún caso expresiones o manifestaciones que puedan calificarse de injuriosas o denigrantes”.</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A partir de estos hechos la demanda de amparo, atribuye a la Sentencia de la Sala Primera del Tribunal Supremo “la vulneración del artículo 7.1.1, en relación con el 2.1 de la Ley Orgánica 1/1982, de 5 de mayo, de protección civil al honor, a la intimidad personal y familiar y a la propia imagen que garantiza el art. 18.1 CE”. Tras reproducir algunos de los pasajes que llevan al Tribunal Supremo a casar la Sentencia de apelación y recordar algunos de los argumentos que le conducen a confirmar el fallo desestimatorio de primera instancia, la demandante aduce que la Sentencia recurrida se aparta de la línea jurisprudencial seguida tanto por el Tribunal Supremo como por el Tribunal Constitucional. Por lo que respecta a la jurisprudencia constitucional señala que la misma exige que las intromisiones en el derecho al honor únicamente son legítimas si el contenido de la información que se revela se desenvuelve en el marco del interés general del asunto al que se refiere dicha información. Tras vincular el derecho al honor con la reputación o la consideración ajena, se rebate el criterio del Tribunal Supremo mediante los argumentos sostenidos por la Audiencia Provincial de Madrid. Así se considera que el párrafo litigioso contiene afirmaciones insultantes, que son innecesarias para el cumplimiento de los fines que se pretenden en el libro, no pudiéndose entender amparadas por la libertad de expresión. En este mismo sentido se sostiene que tales expresiones suponen un evidente desmerecimiento y descrédito en la consideración social del personaje descrito, que no puede justificarse, ni a partir del contexto del libro, ni de la imagen que pretende darse con el mismo, ni por el lenguaje o el contexto de las reuniones descritas. Por todo ello la demandante de amparo discrepa abiertamente de los interrogantes contenidos en el Fundamento Jurídico Tercero de la Sentencia recurrida en relación con los motivos que llevaron a la Sentencia de apelación a calificar dicho pasaje de intromisión ilegítima en el derecho al honor. Por el contrario, no sólo considera que las frases empleadas son denigrantes e injuriosas per se, sino que en el caso de su párrafo final también se ataca de manera muy vejatoria y humillante a la demandante de amparo. Por todo ello se solicita la estimación del amparo, la nulidad de la Sentencia recurrida, así como </w:t>
      </w:r>
      <w:r>
        <w:lastRenderedPageBreak/>
        <w:t>el reconocimiento expreso del derecho de la recurrente a que se dicte una resolución en los términos en que fue dictada la Sentencia de apelación.</w:t>
      </w:r>
    </w:p>
    <w:p w:rsidR="0052098F" w:rsidRDefault="0052098F" w:rsidP="0052098F">
      <w:pPr>
        <w:pStyle w:val="TextoNormal"/>
      </w:pPr>
    </w:p>
    <w:p w:rsidR="0052098F" w:rsidRDefault="0052098F" w:rsidP="0052098F">
      <w:pPr>
        <w:pStyle w:val="TextoNormal"/>
      </w:pPr>
      <w:r w:rsidRPr="0052098F">
        <w:rPr>
          <w:rStyle w:val="NumeroAFNegritaCaracter"/>
        </w:rPr>
        <w:t>4</w:t>
      </w:r>
      <w:r>
        <w:t>. La Sección Cuarta de este Tribunal acordó, por providencia de 21 de diciembre de 2005 conceder a la demandante de amparo y al Ministerio Fiscal un plazo común de diez días, en virtud de lo previsto en el art. 50.3 LOTC, para presentar alegaciones respecto a la posible carencia manifiesta de contenido constitucional de la demanda de amparo.</w:t>
      </w:r>
    </w:p>
    <w:p w:rsidR="0052098F" w:rsidRDefault="0052098F" w:rsidP="0052098F">
      <w:pPr>
        <w:pStyle w:val="TextoNormal"/>
      </w:pPr>
    </w:p>
    <w:p w:rsidR="0052098F" w:rsidRDefault="0052098F" w:rsidP="0052098F">
      <w:pPr>
        <w:pStyle w:val="TextoNormal"/>
      </w:pPr>
      <w:r w:rsidRPr="0052098F">
        <w:rPr>
          <w:rStyle w:val="NumeroAFNegritaCaracter"/>
        </w:rPr>
        <w:t>5</w:t>
      </w:r>
      <w:r>
        <w:t>. El 12 de enero de 2006 fueron registradas en este Tribunal las alegaciones del representante de la recurrente reiterando los fundamentos jurídicos contenidos en la demanda y añadiendo la doctrina derivada de las SSTC 115/2000 y 186/2001. La relevancia constitucional del recurso también se argumenta aduciendo que los elogios contenidos en el pasaje litigioso no pueden compensar las expresiones vejatorias empleadas en el mismo, así como que la alusión a su marido no está en absoluto relacionada con el resto de la obra. También se señala que las referencias a personajes reales no presentan ningún interés para el lector desde un punto de vista histórico o cultural, y que las alusiones a su comportamiento sexual implican una desvalorización de las mujeres y una concepción de las relaciones sexuales y del matrimonio que no son aceptables y que también han perjudicado a sus hijos.</w:t>
      </w:r>
    </w:p>
    <w:p w:rsidR="0052098F" w:rsidRDefault="0052098F" w:rsidP="0052098F">
      <w:pPr>
        <w:pStyle w:val="TextoNormal"/>
      </w:pPr>
    </w:p>
    <w:p w:rsidR="0052098F" w:rsidRDefault="0052098F" w:rsidP="0052098F">
      <w:pPr>
        <w:pStyle w:val="TextoNormal"/>
      </w:pPr>
      <w:r w:rsidRPr="0052098F">
        <w:rPr>
          <w:rStyle w:val="NumeroAFNegritaCaracter"/>
        </w:rPr>
        <w:t>6</w:t>
      </w:r>
      <w:r>
        <w:t>. Las alegaciones del Ministerio Fiscal en relación con la posible carencia manifiesta de contenido constitucional de la demanda tuvieron entrada en el Registro General del Tribunal Constitucional el 13 de enero de 2006. En ellas se insta la admisión a trámite del recurso, aunque se advierten “las limitaciones derivadas de las aportaciones documentales efectuadas con la presentación de la demanda”. Con estas cautelas se intentan identificar en primer lugar los derechos fundamentales en conflicto, así como sus titulares. Tal y como se reconoce en las resoluciones judiciales precedentes, por un lado se consideran afectados los derechos al honor y a la intimidad personal y familiar de la persona aludida en el fragmento litigioso. Aún aceptando que su fallecimiento puede determinar que la posible infracción de tales derechos carezca manifiestamente de contenido constitucional, no cabe negar, en opinión del Fiscal, que la recurrente puede tener interés en rehabilitar la imagen de su esposo mediante la declaración de la vulneración de tales derechos, máxime cuando ella también resulta afectada por las alusiones contenidas en dicho texto. Para esta parte los derechos que entran en conflicto con el derecho al honor y a la intimidad no son, en cambio, la libertad de expresión del autor de la obra o la libertad de difundir información veraz por parte de la editorial o de la sociedad en su conjunto, sino el derecho a la producción y creación literarias reconocido en el art. 20.1 b) CE. Determinados los derechos en conflicto, el Fiscal considera que la demanda de amparo no carece manifiestamente de contenido constitucional, puesto que no puede negarse que la demandante tiene interés en que se rehabilite la imagen de su esposo mediante la declaración de la vulneración de sus derechos por unas opiniones que se consideran vejatorias.</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Haciendo uso de la facultad prevista en el art. 11.2 LOTC, la Sala Segunda de este Tribunal acordó recabar el conocimiento del presente recurso de amparo, admitiéndolo a trámite por providencia de 18 de abril de 2006. En aplicación de lo dispuesto en el art. 51 LOTC, se dirigió a la Sala de lo Civil del Tribunal Supremo, a la Sección Novena de la Audiencia Provincial de Madrid y al Juzgado de Primera Instancia núm. 40 de esta ciudad interesando la remisión de las actuaciones judiciales derivadas del presente caso. Todo ello </w:t>
      </w:r>
      <w:r>
        <w:lastRenderedPageBreak/>
        <w:t>condicionado a que el Procurador de la demandante remitiese escritura de poder original acreditando ostentar su representación.</w:t>
      </w:r>
    </w:p>
    <w:p w:rsidR="0052098F" w:rsidRDefault="0052098F" w:rsidP="0052098F">
      <w:pPr>
        <w:pStyle w:val="TextoNormal"/>
      </w:pPr>
    </w:p>
    <w:p w:rsidR="0052098F" w:rsidRDefault="0052098F" w:rsidP="0052098F">
      <w:pPr>
        <w:pStyle w:val="TextoNormal"/>
      </w:pPr>
      <w:r w:rsidRPr="0052098F">
        <w:rPr>
          <w:rStyle w:val="NumeroAFNegritaCaracter"/>
        </w:rPr>
        <w:t>8</w:t>
      </w:r>
      <w:r>
        <w:t>. El 26 de abril de 2006 fue recibida en este Tribunal copia del poder original de representación otorgado por la recurrente a su Procurador.</w:t>
      </w:r>
    </w:p>
    <w:p w:rsidR="0052098F" w:rsidRDefault="0052098F" w:rsidP="0052098F">
      <w:pPr>
        <w:pStyle w:val="TextoNormal"/>
      </w:pPr>
    </w:p>
    <w:p w:rsidR="0052098F" w:rsidRDefault="0052098F" w:rsidP="0052098F">
      <w:pPr>
        <w:pStyle w:val="TextoNormal"/>
      </w:pPr>
      <w:r w:rsidRPr="0052098F">
        <w:rPr>
          <w:rStyle w:val="NumeroAFNegritaCaracter"/>
        </w:rPr>
        <w:t>9</w:t>
      </w:r>
      <w:r>
        <w:t>. El 22 de mayo de 2006 fueron registradas en este Tribunal las actuaciones judiciales remitidas por la Sección Novena de la Audiencia Provincial de Madrid, así como por la Sala Primera del Tribunal Supremo.</w:t>
      </w:r>
    </w:p>
    <w:p w:rsidR="0052098F" w:rsidRDefault="0052098F" w:rsidP="0052098F">
      <w:pPr>
        <w:pStyle w:val="TextoNormal"/>
      </w:pPr>
    </w:p>
    <w:p w:rsidR="0052098F" w:rsidRDefault="0052098F" w:rsidP="0052098F">
      <w:pPr>
        <w:pStyle w:val="TextoNormal"/>
      </w:pPr>
      <w:r w:rsidRPr="0052098F">
        <w:rPr>
          <w:rStyle w:val="NumeroAFNegritaCaracter"/>
        </w:rPr>
        <w:t>10</w:t>
      </w:r>
      <w:r>
        <w:t>. El 6 de junio de 2006 tuvo entrada en el Registro General de este Tribunal escrito presentado por don Gabriel de Diego Quevedo, Procurador de los Tribunales y de don Manuel Vicent Recatalà y de la Editorial Santillana, S.A., personándose en el presente proceso de amparo como parte.</w:t>
      </w:r>
    </w:p>
    <w:p w:rsidR="0052098F" w:rsidRDefault="0052098F" w:rsidP="0052098F">
      <w:pPr>
        <w:pStyle w:val="TextoNormal"/>
      </w:pPr>
    </w:p>
    <w:p w:rsidR="0052098F" w:rsidRDefault="0052098F" w:rsidP="0052098F">
      <w:pPr>
        <w:pStyle w:val="TextoNormal"/>
      </w:pPr>
      <w:r w:rsidRPr="0052098F">
        <w:rPr>
          <w:rStyle w:val="NumeroAFNegritaCaracter"/>
        </w:rPr>
        <w:t>11</w:t>
      </w:r>
      <w:r>
        <w:t>. El 21 de junio de 2006 fueron recibidas en este Tribunal las actuaciones judiciales remitidas por el Juzgado de Primera Instancia núm. 40 de Madrid.</w:t>
      </w:r>
    </w:p>
    <w:p w:rsidR="0052098F" w:rsidRDefault="0052098F" w:rsidP="0052098F">
      <w:pPr>
        <w:pStyle w:val="TextoNormal"/>
      </w:pPr>
    </w:p>
    <w:p w:rsidR="0052098F" w:rsidRDefault="0052098F" w:rsidP="0052098F">
      <w:pPr>
        <w:pStyle w:val="TextoNormal"/>
      </w:pPr>
      <w:r w:rsidRPr="0052098F">
        <w:rPr>
          <w:rStyle w:val="NumeroAFNegritaCaracter"/>
        </w:rPr>
        <w:t>12</w:t>
      </w:r>
      <w:r>
        <w:t>. Mediante diligencia de ordenación de 29 de junio de 2006 la Secretaría de Justicia de la Sala Segunda tuvo por personado al Procurador de don Manuel Vicent Recatalà y de la Editorial Santillana, S. A., siempre que aportase escritura del poder original acreditativa de dicha representación. También acordó dar vista de las actuaciones recibidas a las partes personadas y al Ministerio Fiscal por un plazo común de veinte días, dentro del cual podían presentar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13</w:t>
      </w:r>
      <w:r>
        <w:t>. El 27 de julio de 2006 fueron registradas en este Tribunal las alegaciones de la recurrente, dando por reproducidos los fundamentos jurídicos contenidos en el escrito de interposición del recurso.</w:t>
      </w:r>
    </w:p>
    <w:p w:rsidR="0052098F" w:rsidRDefault="0052098F" w:rsidP="0052098F">
      <w:pPr>
        <w:pStyle w:val="TextoNormal"/>
      </w:pPr>
    </w:p>
    <w:p w:rsidR="0052098F" w:rsidRDefault="0052098F" w:rsidP="0052098F">
      <w:pPr>
        <w:pStyle w:val="TextoNormal"/>
      </w:pPr>
      <w:r w:rsidRPr="0052098F">
        <w:rPr>
          <w:rStyle w:val="NumeroAFNegritaCaracter"/>
        </w:rPr>
        <w:t>14</w:t>
      </w:r>
      <w:r>
        <w:t xml:space="preserve">. El 31 de julio de 2006 tuvieron entrada en el Registro General de este Tribunal las alegaciones formuladas por el representante de don Manuel Vicent Recatalà y de la Editorial Santillana, S.A. Partiendo de su adhesión a la Sentencia recurrida, se sostiene que el texto litigioso no constituye una intromisión ilegítima en el derecho al honor del marido de la recurrente. Sin que sea necesario realizar una ponderación entre dos derechos enfrentados, se considera que no ha podido haber tal intromisión, teniendo en cuenta la brevedad de dicho texto, el contexto literario en que se inscribe y su contenido. Así se recuerda que el pasaje litigioso se limita a unas breves líneas, en las que se destaca sobre todo la brillantez intelectual y la capacidad de liderazgo del personaje aludido, y que, por tanto, no afectan negativamente a su reputación. Además las alusiones presuntamente ofensivas, que son sumamente heterogéneas e inconexas, ocupan un papel eminentemente subalterno en dicho texto, que impide considerar lo contrario, máxime teniendo en cuenta el contexto literario en que se realizan. En este sentido se señala que se trata de una obra de ficción que no pretende relatar unos hechos reales, sino recrear desde la ficción acontecimientos lejanos en el tiempo y situados en una época muy distinta. Las alegaciones del autor del texto también confieren gran importancia a su finalidad, que no es la de dañar la reputación del afectado, sino la de cualquier obra literaria, es decir, la meramente artística. Desde este punto de vista, y frente </w:t>
      </w:r>
      <w:r>
        <w:lastRenderedPageBreak/>
        <w:t>a lo que se argumenta en la demanda, se considera incorrecto plantearse si las expresiones empleadas por su autor eran o no innecesarias para los fines del libro, puesto que este extremo debe someterse a la soberanía del autor y únicamente puede evaluarse desde la perspectiva de la crítica literaria, que es completamente ajena al ejercicio de la jurisdicción.</w:t>
      </w:r>
    </w:p>
    <w:p w:rsidR="0052098F" w:rsidRDefault="0052098F" w:rsidP="0052098F">
      <w:pPr>
        <w:pStyle w:val="TextoNormal"/>
      </w:pPr>
    </w:p>
    <w:p w:rsidR="0052098F" w:rsidRDefault="0052098F" w:rsidP="0052098F">
      <w:pPr>
        <w:pStyle w:val="TextoNormal"/>
      </w:pPr>
      <w:r w:rsidRPr="0052098F">
        <w:rPr>
          <w:rStyle w:val="NumeroAFNegritaCaracter"/>
        </w:rPr>
        <w:t>15</w:t>
      </w:r>
      <w:r>
        <w:t>. El 6 de septiembre de 2006 fue registrado en este Tribunal escrito del Ministerio Fiscal interesando la suspensión del plazo de presentación de alegaciones con el objeto de requerir del órgano judicial competente la remisión de un ejemplar de la novela de la que trae causa el recurso, dada la necesidad de contextualizar el fragmento litigioso en dicha obra.</w:t>
      </w:r>
    </w:p>
    <w:p w:rsidR="0052098F" w:rsidRDefault="0052098F" w:rsidP="0052098F">
      <w:pPr>
        <w:pStyle w:val="TextoNormal"/>
      </w:pPr>
    </w:p>
    <w:p w:rsidR="0052098F" w:rsidRDefault="0052098F" w:rsidP="0052098F">
      <w:pPr>
        <w:pStyle w:val="TextoNormal"/>
      </w:pPr>
      <w:r w:rsidRPr="0052098F">
        <w:rPr>
          <w:rStyle w:val="NumeroAFNegritaCaracter"/>
        </w:rPr>
        <w:t>16</w:t>
      </w:r>
      <w:r>
        <w:t>. Mediante diligencia de ordenación de 14 de septiembre de 2006 la Secretaría de Justicia de la Sala Segunda acordó solicitar al Juzgado de Primera Instancia núm. 40 de Madrid la remisión del libro “Jardín Villa Valeria” aportado a la causa, suspendiendo el plazo para presentar alegaciones. También se reiteró el requerimiento al Procurador de su autor y de la sociedad editora para que aportase escritura de poder original acreditativa de su representación.</w:t>
      </w:r>
    </w:p>
    <w:p w:rsidR="0052098F" w:rsidRDefault="0052098F" w:rsidP="0052098F">
      <w:pPr>
        <w:pStyle w:val="TextoNormal"/>
      </w:pPr>
    </w:p>
    <w:p w:rsidR="0052098F" w:rsidRDefault="0052098F" w:rsidP="0052098F">
      <w:pPr>
        <w:pStyle w:val="TextoNormal"/>
      </w:pPr>
      <w:r w:rsidRPr="0052098F">
        <w:rPr>
          <w:rStyle w:val="NumeroAFNegritaCaracter"/>
        </w:rPr>
        <w:t>17</w:t>
      </w:r>
      <w:r>
        <w:t>. El 21 de septiembre de 2006 fue registrada en este Tribunal la escritura requerida en esta última diligencia.</w:t>
      </w:r>
    </w:p>
    <w:p w:rsidR="0052098F" w:rsidRDefault="0052098F" w:rsidP="0052098F">
      <w:pPr>
        <w:pStyle w:val="TextoNormal"/>
      </w:pPr>
    </w:p>
    <w:p w:rsidR="0052098F" w:rsidRDefault="0052098F" w:rsidP="0052098F">
      <w:pPr>
        <w:pStyle w:val="TextoNormal"/>
      </w:pPr>
      <w:r w:rsidRPr="0052098F">
        <w:rPr>
          <w:rStyle w:val="NumeroAFNegritaCaracter"/>
        </w:rPr>
        <w:t>18</w:t>
      </w:r>
      <w:r>
        <w:t>. Mediante diligencia de ordenación de 26 de octubre de 2006 de la Secretaría de Justicia de la Sala Segunda se tuvieron por recibidos el ejemplar de la obra “Villa Valeria” remitido por el Juzgado de Primera Instancia núm. 40 de Madrid (3ª edición, mayo de 1996), así como el poder del representante de su autor y de la editorial Santillana, S.A., concediéndose al Ministerio Fiscal un plazo de veinte días para formular alegaciones.</w:t>
      </w:r>
    </w:p>
    <w:p w:rsidR="0052098F" w:rsidRDefault="0052098F" w:rsidP="0052098F">
      <w:pPr>
        <w:pStyle w:val="TextoNormal"/>
      </w:pPr>
    </w:p>
    <w:p w:rsidR="0052098F" w:rsidRDefault="0052098F" w:rsidP="0052098F">
      <w:pPr>
        <w:pStyle w:val="TextoNormal"/>
      </w:pPr>
      <w:r w:rsidRPr="0052098F">
        <w:rPr>
          <w:rStyle w:val="NumeroAFNegritaCaracter"/>
        </w:rPr>
        <w:t>19</w:t>
      </w:r>
      <w:r>
        <w:t xml:space="preserve">. El día 4 de diciembre de 2006 fueron registradas las alegaciones del Fiscal instando la desestimación de la demanda por considerar que el fragmento litigioso no ha vulnerado el derecho al honor. Siguiendo el criterio empleado con ocasión del trámite del art. 50.3 LOTC, en dicho escrito se identifican en primer lugar los derechos fundamentales en conflicto, llegándose a la conclusión que en el presente caso colisionan los derechos al honor y a la intimidad personal y familiar del personaje citado en el párrafo litigioso, con el derecho a la creación literaria de su autor. Tras recordar la jurisprudencia constitucional sobre la ponderación entre el derecho al honor y los arts. 20.1 a) y b) CE y sobre el derecho a la libertad de creación literaria, se aduce que en el presente caso se entrecruza un relato de ficción o novelesco sobre una instancia de realidad. Los personajes y los sucesos descritos en la novela son reales y no ficticios, por lo que la proyección de ideas o actitudes sobre los mismos, sean éstas reales o ficticias, afectan a su consideración y existencia real. Desde esta perspectiva la atribución de ciertas fobias o comportamientos a dichos personajes no puede calificarse necesariamente de innocua, no vejatoria o innecesaria, ni debe quedar relevada de trascendencia por el simple hecho que también se destaquen virtudes de los mismos. A juicio del Fiscal resulta imprescindible ponderar los diversos derechos fundamentales en juego teniendo en cuenta la naturaleza de creación literaria de la obra en que se inserta el pasaje en cuestión. A partir de la lectura de la novela se concluye que en la misma se superpone la creación literaria a un contexto, propio de memorias de modo que se está en presencia de un material literario y novelesco contextualizado sobre hechos históricos, personajes </w:t>
      </w:r>
      <w:r>
        <w:lastRenderedPageBreak/>
        <w:t>reales y sucesos personales. Aislar en este contexto expresiones y juicios descriptivos concretos del tono e intención del relato supondría, a juicio del Fiscal, establecer una suerte de torre de marfil o decantación artificial en las que el evidente propósito de remembranza y elaboración novelesca del autor se vería sustituido por una estricta visión de recopilación exclusivamente propia de unas memorias casi como una dación de cuenta de hechos históricos en los que se habría faltado tanto a la verdad como al honor. Es por ello por lo que, aún reconociendo que los juicios de valor descriptivos contenidos en el relato pudieran ser considerados como ofensivos para el honor y la memoria de quien es el sujeto de los mismos, no resulta posible aislarlos del derecho de creación literaria reconocido en el art. 20.1 b) CE. A partir del examen del conjunto de la obra el Fiscal se inclina a otorgar preferencia a este último derecho, habida cuenta de que ese es el contexto literario en que se escribieron las frases que han dado lugar al pleito civil. De ahí que se solicite la desestimación de la demanda.</w:t>
      </w:r>
    </w:p>
    <w:p w:rsidR="0052098F" w:rsidRDefault="0052098F" w:rsidP="0052098F">
      <w:pPr>
        <w:pStyle w:val="TextoNormal"/>
      </w:pPr>
    </w:p>
    <w:p w:rsidR="0052098F" w:rsidRDefault="0052098F" w:rsidP="0052098F">
      <w:pPr>
        <w:pStyle w:val="TextoNormal"/>
      </w:pPr>
      <w:r w:rsidRPr="0052098F">
        <w:rPr>
          <w:rStyle w:val="NumeroAFNegritaCaracter"/>
        </w:rPr>
        <w:t>20</w:t>
      </w:r>
      <w:r>
        <w:t>. Mediante diligencia de ordenación de 12 de diciembre de 2006 se hizo constar la recepción de las alegaciones de las diversas partes, quedando el recurso pendiente de deliberación.</w:t>
      </w:r>
    </w:p>
    <w:p w:rsidR="0052098F" w:rsidRDefault="0052098F" w:rsidP="0052098F">
      <w:pPr>
        <w:pStyle w:val="TextoNormal"/>
      </w:pPr>
    </w:p>
    <w:p w:rsidR="0052098F" w:rsidRDefault="0052098F" w:rsidP="0052098F">
      <w:pPr>
        <w:pStyle w:val="TextoNormal"/>
      </w:pPr>
      <w:r w:rsidRPr="0052098F">
        <w:rPr>
          <w:rStyle w:val="NumeroAFNegritaCaracter"/>
        </w:rPr>
        <w:t>21</w:t>
      </w:r>
      <w:r>
        <w:t>. El 26 de junio de 2007 fue registrado en este Tribunal escrito del representante de la recurrente poniendo en conocimiento de la Sala que el pasaje litigioso ha sido modificado en la edición de la obra “Jardín del Villa Valeria” publicada en julio de 2002 por Suma de Letras, S.L. Para apreciar el alcance de la modificación se aporta fotocopia de esta última edición. En ella se constata que el nombre del cónyuge de la recurrente ha sido sustituido por el de Fidel Lapiedra y que se ha suprimido la referencia a María Moliner.</w:t>
      </w:r>
    </w:p>
    <w:p w:rsidR="0052098F" w:rsidRDefault="0052098F" w:rsidP="0052098F">
      <w:pPr>
        <w:pStyle w:val="TextoNormal"/>
      </w:pPr>
    </w:p>
    <w:p w:rsidR="0052098F" w:rsidRDefault="0052098F" w:rsidP="0052098F">
      <w:pPr>
        <w:pStyle w:val="TextoNormal"/>
      </w:pPr>
      <w:r w:rsidRPr="0052098F">
        <w:rPr>
          <w:rStyle w:val="NumeroAFNegritaCaracter"/>
        </w:rPr>
        <w:t>22</w:t>
      </w:r>
      <w:r>
        <w:t xml:space="preserve">. Por providencia de 10 de abril de 2008, se señaló para deliberación y votación de la presente Sentencia el día 14 del mismo mes y año. </w:t>
      </w:r>
    </w:p>
    <w:p w:rsidR="0052098F" w:rsidRDefault="0052098F" w:rsidP="0052098F">
      <w:pPr>
        <w:pStyle w:val="TextoNormal"/>
      </w:pPr>
      <w:r>
        <w:t>Ha decidido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La demandante de amparo impugna mediante el presente recurso y por la vía del art. 44 LOTC la Sentencia núm. 822/2004 de la Sala de lo Civil del Tribunal Supremo, de 12 de julio de 2004, a la que atribuye “la vulneración del art. 7.1.1 en relación con el art. 2.1, de la Ley Orgánica 1/1982, de 5 de mayo, de protección civil al honor, a la intimidad y a la propia imagen que garantiza el artículo 18.1 de la Constitución Española”. Como es sabido la naturaleza del recurso de amparo impide suscitar ante este Tribunal cuestiones de legalidad ordinaria, ni siquiera en supuestos como el presente, que tienen su origen en la protección civil de un derecho fundamental. Por ello nuestro análisis debe circunscribirse exclusivamente a si la Sentencia impugnada ha vulnerado o no el derecho fundamental invocado en la demanda.  Dejando para más adelante la concreta identificación de este derecho y de su titular, el hecho de haber impugnado una resolución judicial por la vía del art. 44 LOTC tampoco debe hacernos olvidar que materialmente, y como suele ser habitual en los derechos de la vida privada tutelados en el art. 18.1 CE, nos encontramos con un conflicto entre particulares que se ha intentado resolver ante la jurisdicción ordinaria.  En todo caso el carácter especial y subsidiario de la jurisdicción de amparo obligan a circunscribir nuestro </w:t>
      </w:r>
      <w:r>
        <w:lastRenderedPageBreak/>
        <w:t>análisis exclusivamente a si la Sentencia impugnada ha infringido el contenido constitucional de los derechos aducidos en la demanda.</w:t>
      </w:r>
    </w:p>
    <w:p w:rsidR="0052098F" w:rsidRDefault="0052098F" w:rsidP="0052098F">
      <w:pPr>
        <w:pStyle w:val="TextoNormal"/>
      </w:pPr>
    </w:p>
    <w:p w:rsidR="0052098F" w:rsidRDefault="0052098F" w:rsidP="0052098F">
      <w:pPr>
        <w:pStyle w:val="TextoNormal"/>
      </w:pPr>
      <w:r w:rsidRPr="0052098F">
        <w:rPr>
          <w:rStyle w:val="NumeroAFNegritaCaracter"/>
        </w:rPr>
        <w:t>2</w:t>
      </w:r>
      <w:r>
        <w:t>. El origen del presente recurso se encuentra en el siguiente fragmento de la novela “Jardín de Villa Valeria” del escritor Manuel Vicent, editada por Santillana, S. A.:</w:t>
      </w:r>
    </w:p>
    <w:p w:rsidR="0052098F" w:rsidRDefault="0052098F" w:rsidP="0052098F">
      <w:pPr>
        <w:pStyle w:val="TextoNormal"/>
      </w:pPr>
      <w:r>
        <w:t>“Bajo los pinos había jóvenes que luego se harían famosos en la política. El líder del grupo parecía ser Pedro Ramón Moliner, hijo de María Moliner, un tipo que siempre intervenía de forma brillante. Era catedrático de industriales en Barcelona, aparte de militante declarado del PSOE. Tenía cuatro fobias obsesivas: los homosexuales, los poetas, los curas y los catalanes. También usaba un taparrabos rojo chorizo, muy ajustado a las partes. Solía calentarse jugueteando libidinosamente bajo los pinos con las mujeres de los amigos para después poder funcionar con la suya como un gallo”.</w:t>
      </w:r>
    </w:p>
    <w:p w:rsidR="0052098F" w:rsidRDefault="0052098F" w:rsidP="0052098F">
      <w:pPr>
        <w:pStyle w:val="TextoNormal"/>
      </w:pPr>
      <w:r>
        <w:t>Como se ha reflejado en los antecedentes, la demandante de amparo, viuda de la persona aludida en este pasaje, ha venido reclamando en la vía ordinaria la protección civil del honor y de la intimidad personal y familiar de su difunto marido.  Tras haberla obtenido en apelación, la Sentencia recurrida casó la Sentencia de apelación y confirmó la Sentencia de primera instancia, que consideraba que dicho fragmento no constituía una intromisión ilegítima en el derecho al honor y a la intimidad personal y familiar del cónyuge fallecido. En opinión de la recurrente este pronunciamiento supone una nueva vulneración de los derechos fundamentales de su marido.</w:t>
      </w:r>
    </w:p>
    <w:p w:rsidR="0052098F" w:rsidRDefault="0052098F" w:rsidP="0052098F">
      <w:pPr>
        <w:pStyle w:val="TextoNormal"/>
      </w:pPr>
    </w:p>
    <w:p w:rsidR="0052098F" w:rsidRDefault="0052098F" w:rsidP="0052098F">
      <w:pPr>
        <w:pStyle w:val="TextoNormal"/>
      </w:pPr>
      <w:r w:rsidRPr="0052098F">
        <w:rPr>
          <w:rStyle w:val="NumeroAFNegritaCaracter"/>
        </w:rPr>
        <w:t>3</w:t>
      </w:r>
      <w:r>
        <w:t>. A efectos del enjuiciamiento de la cuestión planteada, lo primero que debe señalarse son las discrepancias que existen respecto del enfoque que debe emplearse para resolver el conflicto que está en el origen del presente proceso. Por un lado, la Sala de lo Civil del Tribunal Supremo ha fundamentado su decisión partiendo de la base que el problema planteado no es de colisión de derechos, sino de calificación. Según su parecer, “no se trata tanto de hacer una correcta ponderación de la colisión entre el derecho al honor y la libertad de expresión o el derecho a la información veraz, como de considerar si se ha producido una intromisión … a aquel derecho, protegido constitucionalmente”. A partir de este enfoque, compartido también por el autor y la sociedad editora del pasaje litigioso, el Tribunal Supremo ha considerado que éste no constituye una perturbación del derecho al honor de la persona aludida, al no tener entidad suficiente para ello. Frente a este planteamiento el Ministerio Fiscal ha abordado el caso desde la perspectiva del conflicto entre dos derechos fundamentales, derechos que identifica sin seguir los términos del debate suscitado en la vía previa. En todo caso, este enfoque no le ha impedido coincidir con el autor y editor del pasaje litigioso, al solicitar de este Tribunal un fallo desestimatorio.</w:t>
      </w:r>
    </w:p>
    <w:p w:rsidR="0052098F" w:rsidRDefault="0052098F" w:rsidP="0052098F">
      <w:pPr>
        <w:pStyle w:val="TextoNormal"/>
      </w:pPr>
      <w:r>
        <w:t xml:space="preserve">Como resulta de su exposición, las diferencias entre estos diversos enfoques son más aparentes que reales. A primera vista un comportamiento que no tiene entidad suficiente para ser considerado lesivo de un derecho fundamental no puede ser censurado desde una perspectiva constitucional. Máxime si, como en el presente caso, está conectado con el ejercicio de otro derecho fundamental. Sin la concurrencia de dos derechos fundamentales no hay, en efecto, ponderación posible. De ahí que el enfoque que se deriva de la Sentencia recurrida y de las alegaciones del autor y del editor del texto litigioso resulte constitucionalmente acertado, puesto que si se descarta la posible lesión del derecho al honor en ningún caso es posible acceder a la petición de la demandante. Pero al margen de consideraciones teóricas, lo cierto es que en éste y en la mayor parte de supuestos resulta difícil descartar a priori cualquier lesión del derecho al honor sin entrar a valorar los otros derechos fundamentales concurrentes. Como hemos señalado reiteradamente (SSTC 180/1999, de 11 de </w:t>
      </w:r>
      <w:r>
        <w:lastRenderedPageBreak/>
        <w:t>octubre, FJ 4; y 52/2002, de 25 de febrero, FJ 5) el honor constituye un “concepto jurídico normativo cuya precisión depende de las normas, valores e ideas sociales vigentes en cada momento”. Ello no significa que este Tribunal haya renunciado a definir su contenido constitucional abstracto al afirmar que este derecho ampara la buena reputación de una persona, protegiéndola frente a expresiones o mensajes que la hagan desmerecer en la consideración ajena al ir en su descrédito o menosprecio (por todas, SSTC 185/1989, de 13 de noviembre, FJ 4; 176/1995, de 11 de diciembre, FJ 3; 180/1999, de 11 de octubre, FJ 4; y 52/2002, de 25 de febrero, FJ 5). Pero aunque existen supuestos en los que la lesión del derecho al honor puede descartarse de entrada, su contenido indeterminado y el hecho de entrar habitualmente en conflicto con otros derechos fundamentales (sobre todo con los amparados en el art. 20 CE) convierten a la ponderación judicial en un método interpretativo prácticamente consubstancial a la concreción del ámbito de protección del derecho al honor y a la concreción de su ámbito de protección. Prueba de ello es que la propia Sentencia recurrida, a pesar de rechazar que estemos ante un problema de ponderación, no deja de tener en cuenta el contexto literario en que se inscribe el fragmento litigioso, así como el carácter principal o secundario de las expresiones pretendidamente lesivas  del derecho al honor para rechazar cualquier vulneración de este último. Y lo mismo puede decirse del autor y del editor de dicho pasaje, que también aluden al contexto de ficción, a la brevedad del texto y a su carácter secundario para negar tal posibilidad al margen de cualquier ponderación. Como suele ser habitual, pues, en los conflictos entre particulares que afectan al art. 18.1 CE, la concurrencia de otros derechos fundamentales y el carácter no absoluto, sino principial y, por lo tanto, apriorístico, de todos ellos hacen de la ponderación judicial el método interpretativo materialmente empleado para resolver dichos conflictos, otorgando prevalencia a uno de ellos a la luz de las circunstancias del caso.</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Llegados a este punto, y constatado que la Sentencia recurrida tampoco es ajena a este método interpretativo, debemos recordar que este Tribunal no se limita a controlar la razonabilidad de las ponderaciones judiciales impugnadas por la vía del recurso de amparo, sino que debe verificar si los órganos judiciales han realizado una “ponderación constitucionalmente adecuada” de los derechos en conflicto (SSTC 112/2000, de 5 de mayo, FJ 5; 46/2002, de 25 de febrero, FJ 2; y 52/2002, de 3 de abril, FJ 2). Como hemos ido desarrollando en una jurisprudencia que resulta ampliamente conocida, en este control el Tribunal Constitucional está vinculado por los hechos declarados probados por los órganos judiciales ordinarios (STC 43/2004, de 23 de marzo, FJ 3), pero no por las valoraciones o criterios empleados por estos últimos al resolver las pretensiones dirigidas frente a los mismos (SSTC 171/1990, de 12 de noviembre, FJ 4, y 299/2006, de 23 de octubre, FJ 3). Aunque no constituye una doctrina tan reiterada, también hemos señalado que no basta con que los órganos judiciales hayan efectuado una ponderación o valoración de los derechos constitucionales en conflicto (SSTC 105/1990, de 6 de junio, FJ 7, y 297/2000, de 11 de diciembre, FJ 3), sino que a este Tribunal también le compete “verificar si los órganos judiciales han hecho una delimitación constitucionalmente adecuada de los mismos” (STC 297/2000, de 11 de diciembre, FJ 3), así como si dicha ponderación se ha efectuado “de modo que se respete la definición y valoración constitucional de esos bienes” (STC 105/1990, de 6 de junio, FJ 7) o “de acuerdo con el valor que corresponde a cada uno de ellos” (SSTC 136/1994, de 9 de mayo, FJ 2, y 19/1996, de 12 de febrero, FJ 3). En esta misma línea, y a los efectos de la resolución del presente recurso, conviene señalar que el control de la ponderación judicial que debe realizarse en amparo debe incluir, no sólo la correcta identificación de los derechos en conflicto, sino también la delimitación de su concreto ámbito de </w:t>
      </w:r>
      <w:r>
        <w:lastRenderedPageBreak/>
        <w:t>protección, puesto que, como se ha señalado anteriormente, sin la concurrencia de dos derechos en conflicto no hay ponderación posible, debiéndose reconocer eficacia inmediata al derecho fundamental que se pretende ejercer. En todo caso, teniendo en cuenta el carácter sustantivo de los derechos  en conflicto y la necesidad de limitar nuestro análisis a la eventual vulneración del invocado en la demanda, el control de la ponderación judicial no puede desvincularse del resultado de la misma, respecto al fallo de la Sentencia impugnada. Partiendo de este enfoque a continuación se analizarán los derechos fundamentales que aparentemente entran en conflicto en el presente supuesto, para, de este modo, poder determinar a continuación si la Sentencia impugnada ha realizado una ponderación constitucionalmente adecuada de los mismos.</w:t>
      </w:r>
    </w:p>
    <w:p w:rsidR="0052098F" w:rsidRDefault="0052098F" w:rsidP="0052098F">
      <w:pPr>
        <w:pStyle w:val="TextoNormal"/>
      </w:pPr>
    </w:p>
    <w:p w:rsidR="0052098F" w:rsidRDefault="0052098F" w:rsidP="0052098F">
      <w:pPr>
        <w:pStyle w:val="TextoNormal"/>
      </w:pPr>
      <w:r w:rsidRPr="0052098F">
        <w:rPr>
          <w:rStyle w:val="NumeroAFNegritaCaracter"/>
        </w:rPr>
        <w:t>5</w:t>
      </w:r>
      <w:r>
        <w:t>. Aunque ni en la resolución recurrida ni en ninguno de los pronunciamientos previos se ha reconocido ello expresamente, desde un punto de vista constitucional resulta evidente, como señala el Ministerio Fiscal, que el texto litigioso constituye un ejercicio del derecho fundamental a la producción y creación literaria. Si bien la demandante y algunas de las resoluciones previas han aludido en algún momento a las libertades de información y de expresión, el hecho de tratarse de un fragmento de una novela que cuenta con diversas ediciones permite encuadrarlo sin ningún género de dudas en este derecho fundamental específico, reconocido en la letra b) del art. 20.1 CE junto a la producción y creación artística, científica y técnica. Al igual que sucede con estas libertades, hasta el momento no han sido muchos los pronunciamientos de este Tribunal que se han referido específicamente al derecho a la producción y creación literaria. En la mayoría de los mismos nos hemos limitado a señalar la estrecha relación que existe entre tal derecho y la libertad de expresión. Así hemos considerado que la producción y creación literaria constituye una “concreción del derecho a expresar libremente pensamientos, ideas y opiniones” (SSTC 153/1985, de 7 de noviembre, FJ 5; y 43/2004, de 23 de marzo, FJ 5), una “faceta” de la libertad de expresión (ATC 152/1993, 24 de mayo, FJ 2), o un “ámbito” en que se manifiesta la libertad de pensamiento y expresión (ATC 130/1985, de 27 de febrero, FJ 2), manifestaciones todas ellas que llevan implícita la idea de que la libertad protegida por el art. 20.1 a) CE no es sólo la política, sino también la artística. Pero más allá de este hecho y de forma similar a como se ha reconocido respecto de la libertad de producción y creación científica (STC 43/2004, de 23 de marzo, FJ 5), la constitucionalización expresa del derecho a la producción y creación literaria le otorgan un contenido autónomo que, sin excluirlo, va más allá de la libertad de expresión.</w:t>
      </w:r>
    </w:p>
    <w:p w:rsidR="0052098F" w:rsidRDefault="0052098F" w:rsidP="0052098F">
      <w:pPr>
        <w:pStyle w:val="TextoNormal"/>
      </w:pPr>
      <w:r>
        <w:t>Así, el objetivo principal de este derecho es proteger la libertad del propio proceso creativo literario, manteniéndolo inmune frente a cualquier forma de censura previa (art. 20.2 CE) y protegiéndolo respecto de toda interferencia ilegítima proveniente de los poderes públicos o de los particulares. Como en toda actividad creativa, que por definición es prolongación de su propio autor y en la que se entremezclan impresiones y experiencias del mismo, la creación literaria da nacimiento a una nueva realidad, que se forja y transmite a través de la palabra escrita, y que no se identifica con la realidad empírica. De ahí que no resulte posible trasladar a este ámbito el criterio de la veracidad, definitorio de la libertad de información, o el de la relevancia pública de los personajes o hechos narrados, o el de la necesidad de la información para contribuir a la formación de una opinión pública libre. Además hay que tener en cuenta que la creación literaria, al igual que la artística, tiene una proyección externa derivada de la voluntad de su autor, quien crea para comunicarse, como vino a reconocer implícitamente la STC 153/1985, de 7 de noviembre, FJ 5. De ahí que su ámbito de protección no se limite exclusivamente a la obra literaria aisladamente considerada, sino también a su difusión.</w:t>
      </w:r>
    </w:p>
    <w:p w:rsidR="0052098F" w:rsidRDefault="0052098F" w:rsidP="0052098F">
      <w:pPr>
        <w:pStyle w:val="TextoNormal"/>
      </w:pPr>
      <w:r>
        <w:lastRenderedPageBreak/>
        <w:t>En el presente supuesto el carácter literario de la obra en la que se inserta el pasaje litigioso está fuera de toda duda. Aunque en la misma se hace referencia a personajes, lugares y hechos reales, el género novelístico de la obra y el hecho de no tratarse de unas memorias impiden desconocer su carácter ficticio y, con ello, trasladar a este ámbito las exigencias de veracidad propias de la transmisión de hechos y, por lo tanto, de la libertad de información. Es más, la propia libertad de creación literaria ampara dicha desconexión con la realidad, así como su transformación para dar lugar a un universo de ficción nuevo. En el caso concreto de la novela aquí analizada, las referencias a la generación a la que pertenece el personaje aludido en el pasaje litigioso y a su evolución durante la etapa de la transición política es evidente que no pretenden ser fidedignas, sino que pueden requerir de recursos literarios, como la exageración para cumplir la función que se persigue en la obra. Todo ello encuentra en el derecho a la creación literaria una cobertura constitucional.  Y no sólo en el caso del autor del fragmento controvertido, sino también en el de la editorial que ha hecho posible su publicación, sin la cual la obra literaria pierde gran parte de su sentido. Al igual que sucede con los restantes derechos fundamentales, sin embargo, es evidente que el ejercicio del derecho a la creación y producción literaria también está sometido a límites constitucionales que este Tribunal ha ido perfilando progresivamente. Sin ir más lejos, el propio apartado 4 del art. 20 CE dispone que todas las libertades reconocidas en este precepto tienen su límite en el derecho al honor, a la intimidad, a la propia imagen y a la protección de la juventud y de la infancia. En cambio, y tal y como se desprende de la propia Sentencia recurrida, el buen gusto o la calidad literaria no constituyen límites constitucionales a dicho derecho. En cualquier caso, y dados los términos en que se ha desarrollado el presente proceso, nuestro análisis debe limitarse a los derechos reconocidos en el art. 18.1 CE, que son los que pretendidamente han sido vulnerados mediante el ejercicio del derecho a la producción y creación literaria.</w:t>
      </w:r>
    </w:p>
    <w:p w:rsidR="0052098F" w:rsidRDefault="0052098F" w:rsidP="0052098F">
      <w:pPr>
        <w:pStyle w:val="TextoNormal"/>
      </w:pPr>
    </w:p>
    <w:p w:rsidR="0052098F" w:rsidRDefault="0052098F" w:rsidP="0052098F">
      <w:pPr>
        <w:pStyle w:val="TextoNormal"/>
      </w:pPr>
      <w:r w:rsidRPr="0052098F">
        <w:rPr>
          <w:rStyle w:val="NumeroAFNegritaCaracter"/>
        </w:rPr>
        <w:t>6</w:t>
      </w:r>
      <w:r>
        <w:t>. Concretado el derecho fundamental que puede verse afectado por el pasaje controvertido, lo primero que debe analizarse es si dicha afectación resulta producida desde una perspectiva constitucional, que es la única que nos compete. Conviene recordar, en este sentido, que la vía ordinaria se ha ocupado de la protección del honor desde una perspectiva civil y que, como se ha señalado anteriormente, las valoraciones empleadas para dar respuesta a las pretensiones de las partes no vinculan a este Tribunal. Por ello debemos abordar dos cuestiones que, aun cuando no han sido planteadas abiertamente por las partes, deben ser analizadas antes de controlar la ponderación judicial realizada en la Sentencia impugnada.</w:t>
      </w:r>
    </w:p>
    <w:p w:rsidR="0052098F" w:rsidRDefault="0052098F" w:rsidP="0052098F">
      <w:pPr>
        <w:pStyle w:val="TextoNormal"/>
      </w:pPr>
      <w:r>
        <w:t xml:space="preserve">La primera de ellas afecta a la titularidad del derecho al honor invocado por la demandante de amparo. En el presente caso la legitimación para recurrir y la titularidad del derecho fundamental invocado no coinciden en una misma persona, sino que la recurrente pretende salvaguardar el honor de su marido, fallecido once años antes de la publicación del pasaje litigioso. El dato fisiológico de la muerte no puede ser soslayado tratándose de un derecho como el del honor, que en alguna ocasión hemos calificado de personalísimo (STC 214/1991, de 11 de noviembre, FJ 3) y que, a diferencia de lo que sucede con la intimidad, el art. 18.1 CE no se extiende a la familia. Con la muerte de las personas su reputación se transforma en gran medida, vinculándose sobre todo a la memoria o al recuerdo por parte de sus allegados. De ahí que no pueda postularse que su contenido constitucional y la intensidad de su protección sean los mismos que en el caso de las personas vivas. En este sentido cabe recordar cómo en la ya mencionada STC 43/2004, de 23 de marzo, relativa a un reportaje en que se aludía a la participación de un familiar de los recurrentes en el Consejo de Guerra que condenó a muerte a un conocido político de la Segunda República, este Tribunal </w:t>
      </w:r>
      <w:r>
        <w:lastRenderedPageBreak/>
        <w:t>no negó la posibilidad de acudir en amparo en defensa del honor del familiar fallecido. Pero también reconoció que el paso del tiempo diluye necesariamente la potencialidad agresiva sobre la consideración pública o social de los individuos en el sentido constitucional del término y, por consiguiente, “la condición obstativa de la personalidad frente al ejercicio de las libertades del art. 20 CE” (FJ 5). Como sucedió en esta Sentencia, es en la ponderación del derecho al honor con dichas libertades y no en la identificación de los derechos en conflicto donde debe tenerse en cuenta, pues, el dato del fallecimiento de la persona cuya reputación se considera ofendida.</w:t>
      </w:r>
    </w:p>
    <w:p w:rsidR="0052098F" w:rsidRDefault="0052098F" w:rsidP="0052098F">
      <w:pPr>
        <w:pStyle w:val="TextoNormal"/>
      </w:pPr>
      <w:r>
        <w:t>La segunda cuestión sobre la posible vulneración del derecho al honor que debe ser aclarada es la concreta delimitación de las frases a las que se atribuye tal vulneración.  Como ocurre siempre que se aduce una infracción de este derecho, el contexto en el que se produce resulta decisivo para poder determinar si la misma se ha verificado efectivamente. Y más en un caso como el presente, en el que el pasaje litigioso se inserta en una obra literaria, dotándole de unas características que no podemos ignorar. La mera lectura de dicho pasaje pone de relieve, de entrada, que no todas las frases del mismo han podido afectar negativamente a la reputación de la persona.  Así, las tres primeras frases se limitan a presentarlo y a destacar algunos aspectos relativos a su carácter (liderazgo y brillantez), a su profesión y a su militancia política que en ningún caso pueden considerarse afrentosos y, por lo tanto, susceptibles de vulnerar su honor. Lo mismo puede decirse de la alusión a las “fobias obsesivas” del personaje, puesto que la misma se limita a describir una aversión apasionada que tampoco puede considerarse en sí misma vejatoria, insultante o con capacidad para incidir negativamente en dicho derecho. Aunque no puede olvidarse la necesidad de interpretar el pasaje litigioso no sólo en su conjunto, sino también en el contexto de la obra en que se inserta, parece evidente que el origen último de la pretendida vulneración del derecho al honor se sitúa en sus dos últimas frases, referidas a la indumentaria y al comportamiento sexual de dicho personaje.</w:t>
      </w:r>
    </w:p>
    <w:p w:rsidR="0052098F" w:rsidRDefault="0052098F" w:rsidP="0052098F">
      <w:pPr>
        <w:pStyle w:val="TextoNormal"/>
      </w:pPr>
      <w:r>
        <w:t>Como se ha señalado anteriormente, tanto la Sentencia recurrida como el autor y el editor del fragmento litigioso parten de la interpretación conjunta del mismo para llegar a la conclusión de que no puede ser calificado de intromisión ilegítima en el derecho al honor, puesto que las referencias negativas son secundarias, no son en sí mismas injuriosas o denigrantes y no pretenden escarnecer o humillar al personaje aludido.  Pero en la línea de lo que señala el representante del Ministerio Fiscal no es posible descartar, al menos a priori, que las dos últimas frases y, sobre todo, la última puedan afectar a su honor, entendido, como se ha recordado anteriormente, como “concepto jurídico normativo cuya precisión depende de las normas, valores e ideas sociales vigentes en cada momento”, que en todo caso debe incluir “la buena reputación de una persona” y la protección frente a “expresiones o mensajes que la hagan desmerecedora de la consideración ajena al ir en su descrédito o menosprecio” o que “sean tenidas por afrentosas en el concepto público”. Aunque aquellas frases no pueden calificarse de insultantes o vejatorias y deben situarse en el contexto de una obra literaria, el hecho de identificar directamente al personaje, su tono jocoso y la calificación personal negativa que se desprende de las mismas deben llevarnos a considerar, que son susceptibles, al menos a priori, de vulnerar el honor de la persona.</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Identificados y concretados los derechos fundamentales en conflicto, el control de la Sentencia recurrida debe limitarse a verificar, como se ha señalado anteriormente, si ha realizado una ponderación constitucionalmente adecuada de los mismos y si, en definitiva, ha vulnerado el derecho fundamental invocado en la demanda de amparo.  Ciertamente, dicha Sentencia no ha identificado formalmente los derechos en conflicto, puesto que no ha hecho </w:t>
      </w:r>
      <w:r>
        <w:lastRenderedPageBreak/>
        <w:t>ninguna referencia explícita al derecho a la creación y producción literaria ejercitado con la publicación del fragmento litigioso. Pero tampoco ha realizado una valoración constitucionalmente reprochable de los mismos al considerar que la intromisión en el derecho al honor no ha tenido la suficiente entidad para lesionarlo. Y es que, como se ha señalado anteriormente, para llegar a esta conclusión la Sentencia recurrida ha tenido en cuenta aspectos como el contexto literario en que se inscribe dicho fragmento, el carácter secundario de las expresiones pretendidamente lesivas del derecho al honor o el que ninguno de los términos empleados puede considerarse en sí mismo vejatorio, argumentos todos ellos que denotan que materialmente no se ha desconocido la concurrencia de otros bienes jurídicos.</w:t>
      </w:r>
    </w:p>
    <w:p w:rsidR="0052098F" w:rsidRDefault="0052098F" w:rsidP="0052098F">
      <w:pPr>
        <w:pStyle w:val="TextoNormal"/>
      </w:pPr>
      <w:r>
        <w:t>Desde una perspectiva constitucional —única que nos corresponde— y teniendo en cuenta el resultado alcanzado, no podemos más que coincidir con el parecer de la Sala de lo Civil del Tribunal Supremo, puesto que las circunstancias concretas del caso impiden considerar que se ha vulnerado el honor de la persona aludida en el pasaje litigioso.  En efecto, tal y como se ha señalado en los fundamentos jurídicos precedentes, no puede desconocerse que dicho pasaje constituye un ejercicio del derecho fundamental a la producción y creación literaria [art. 20.1 b) CE] que, como tal, protege la creación de un universo de ficción que puede tomar datos de la realidad como puntos de referencia, sin que resulte posible acudir a criterios de veracidad o de instrumentalidad para limitar una labor creativa y, por lo tanto, subjetiva como es la literaria. Por otro lado, y como también se desprende de cuanto se ha señalado anteriormente, el párrafo litigioso, a pesar de identificar claramente a la persona pretendidamente ofendida, no puede considerarse lesivo de su honor, teniendo en cuenta su fallecimiento once años antes, que no nos encontramos ante un supuesto de sucesión procesal, y que, interpretado en su conjunto y en el contexto de una obra literaria que pretende describir la evolución de una determinada generación, el fragmento litigioso y, concretamente, las frases aparentemente vulneradoras de dicho honor no pueden considerarse ni en sí mismas vejatorias ni desmerecedoras de la reputación o consideración ajenas.</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Denegar el amparo solicitado por doña Annie Arraud Milbeau.</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catorce de abril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5" w:name="SENTENCIA_2008_52"/>
      <w:r>
        <w:lastRenderedPageBreak/>
        <w:t>SENTENCIA 52/2008, de 14 de abril de 2008</w:t>
      </w:r>
    </w:p>
    <w:bookmarkEnd w:id="55"/>
    <w:p w:rsidR="0052098F" w:rsidRDefault="0052098F" w:rsidP="0052098F">
      <w:pPr>
        <w:pStyle w:val="TtuloResolucin"/>
      </w:pPr>
      <w:r>
        <w:t>Sala Primera</w:t>
      </w:r>
    </w:p>
    <w:p w:rsidR="0052098F" w:rsidRDefault="0052098F" w:rsidP="0052098F">
      <w:pPr>
        <w:pStyle w:val="TtuloResolucin"/>
      </w:pPr>
    </w:p>
    <w:p w:rsidR="0052098F" w:rsidRDefault="0052098F" w:rsidP="0052098F">
      <w:pPr>
        <w:pStyle w:val="TtuloBOE"/>
      </w:pPr>
      <w:r>
        <w:t>("BOE" núm. 117, de 14 de mayo de 2008)</w:t>
      </w:r>
    </w:p>
    <w:p w:rsidR="0052098F" w:rsidRDefault="0052098F" w:rsidP="0052098F">
      <w:pPr>
        <w:pStyle w:val="TtuloBOE"/>
      </w:pPr>
    </w:p>
    <w:p w:rsidR="0052098F" w:rsidRDefault="0052098F" w:rsidP="0052098F">
      <w:pPr>
        <w:pStyle w:val="SntesisDescriptiva"/>
      </w:pPr>
      <w:r>
        <w:t>ECLI:ES:TC:2008:52</w:t>
      </w:r>
    </w:p>
    <w:p w:rsidR="0052098F" w:rsidRDefault="0052098F" w:rsidP="0052098F">
      <w:pPr>
        <w:pStyle w:val="SntesisDescriptiva"/>
      </w:pPr>
    </w:p>
    <w:p w:rsidR="0052098F" w:rsidRDefault="0052098F" w:rsidP="0052098F">
      <w:pPr>
        <w:pStyle w:val="SntesisDescriptiva"/>
      </w:pPr>
      <w:r>
        <w:t>Recurso de amparo 6421-2004. Promovido por don Alberto Viedma Morillas respecto a los Autos de la Audiencia Provincial y de un Juzgado de Instrucción de Madrid que acordaron el sobreseimiento provisional de unas diligencias previas por delito de torturas.</w:t>
      </w:r>
    </w:p>
    <w:p w:rsidR="0052098F" w:rsidRDefault="0052098F" w:rsidP="0052098F">
      <w:pPr>
        <w:pStyle w:val="SntesisDescriptiva"/>
      </w:pPr>
    </w:p>
    <w:p w:rsidR="0052098F" w:rsidRDefault="0052098F" w:rsidP="0052098F">
      <w:pPr>
        <w:pStyle w:val="SntesisAnaltica"/>
      </w:pPr>
      <w:r>
        <w:t>Vulneración del derecho a la tutela judicial efectiva: investigación insuficiente de una denuncia de tortura o tratos inhumanos y degradantes sufridos bajo custodia policial (STC 34/2008). Voto particular.</w:t>
      </w:r>
    </w:p>
    <w:p w:rsidR="0052098F" w:rsidRDefault="0052098F" w:rsidP="0052098F">
      <w:pPr>
        <w:pStyle w:val="SntesisAnaltica"/>
      </w:pPr>
    </w:p>
    <w:p w:rsidR="0052098F" w:rsidRDefault="0052098F" w:rsidP="0052098F">
      <w:pPr>
        <w:pStyle w:val="Extracto"/>
      </w:pPr>
      <w:r>
        <w:t>1.</w:t>
      </w:r>
      <w:r>
        <w:tab/>
        <w:t>Vulnera el derecho a la tutela judicial efectiva la decisión de archivar las diligencias penales abiertas como consecuencia una denuncia de tortura o tratos inhumanos y degradantes sufridos bajo custodia policial cuando en el momento del cierre de la instrucción perviven sospechas razonables acerca de la posible comisión de los hechos denunciados, existiendo todavía medios de investigación disponibles para tratar de despejar tales sospechas [FFJJ 3, 6].</w:t>
      </w:r>
    </w:p>
    <w:p w:rsidR="0052098F" w:rsidRDefault="0052098F" w:rsidP="0052098F">
      <w:pPr>
        <w:pStyle w:val="Extracto"/>
      </w:pPr>
    </w:p>
    <w:p w:rsidR="0052098F" w:rsidRDefault="0052098F" w:rsidP="0052098F">
      <w:pPr>
        <w:pStyle w:val="Extracto"/>
      </w:pPr>
      <w:r>
        <w:t>2.</w:t>
      </w:r>
      <w:r>
        <w:tab/>
        <w:t>No resulta determinante de la falta de veracidad de una denuncia de tortura el hecho de que el detenido se negara a ser reconocido en sede judicial, pues dicha negativa puede deberse a una voluntad condicionada por la intensa intimidación previa o por el miedo a verse sometido de nuevo a la custodia de los agresores [FJ 4].</w:t>
      </w:r>
    </w:p>
    <w:p w:rsidR="0052098F" w:rsidRDefault="0052098F" w:rsidP="0052098F">
      <w:pPr>
        <w:pStyle w:val="Extracto"/>
      </w:pPr>
    </w:p>
    <w:p w:rsidR="0052098F" w:rsidRDefault="0052098F" w:rsidP="0052098F">
      <w:pPr>
        <w:pStyle w:val="Extracto"/>
      </w:pPr>
      <w:r>
        <w:t>3.</w:t>
      </w:r>
      <w:r>
        <w:tab/>
        <w:t>La falta de credibilidad de la denuncia puede ser desmentida por el testimonio inmediato del denunciante, que constituye un medio de indagación particularmente idóneo al respecto [FJ 5].</w:t>
      </w:r>
    </w:p>
    <w:p w:rsidR="0052098F" w:rsidRDefault="0052098F" w:rsidP="0052098F">
      <w:pPr>
        <w:pStyle w:val="Extracto"/>
      </w:pPr>
    </w:p>
    <w:p w:rsidR="0052098F" w:rsidRDefault="0052098F" w:rsidP="0052098F">
      <w:pPr>
        <w:pStyle w:val="Extracto"/>
      </w:pPr>
      <w:r>
        <w:t>4.</w:t>
      </w:r>
      <w:r>
        <w:tab/>
        <w:t>El canon de la investigación suficiente se refiere tanto a la inexistencia e sospechas razonables como a la utilidad de continuar con la instrucción [FJ 5].</w:t>
      </w:r>
    </w:p>
    <w:p w:rsidR="0052098F" w:rsidRDefault="0052098F" w:rsidP="0052098F">
      <w:pPr>
        <w:pStyle w:val="Extracto"/>
      </w:pPr>
    </w:p>
    <w:p w:rsidR="0052098F" w:rsidRDefault="0052098F" w:rsidP="0052098F">
      <w:pPr>
        <w:pStyle w:val="Extracto"/>
      </w:pPr>
      <w:r>
        <w:t>5.</w:t>
      </w:r>
      <w:r>
        <w:tab/>
        <w:t>Aplica la doctrina sobre las exigencias derivadas del derecho a la tutela judicial efectiva en relación con las decisiones judiciales de sobreseimiento de instrucciones penales incoadas por denuncias de torturas o de tratos inhumanos o degradantes (SSTC 224/2007, 34/2008) [FJ 2].</w:t>
      </w:r>
    </w:p>
    <w:p w:rsidR="0052098F" w:rsidRDefault="0052098F" w:rsidP="0052098F">
      <w:pPr>
        <w:pStyle w:val="Extracto"/>
      </w:pPr>
    </w:p>
    <w:p w:rsidR="0052098F" w:rsidRDefault="0052098F" w:rsidP="0052098F">
      <w:pPr>
        <w:pStyle w:val="Extracto"/>
      </w:pPr>
      <w:r>
        <w:t>6.</w:t>
      </w:r>
      <w:r>
        <w:tab/>
        <w:t>Aplica doctrina del Tribunal Europeo de Derechos Humano sobre las exigencias derivadas del derecho a la tutela judicial efectiva en relación con las decisiones judiciales de sobreseimiento de instrucciones penales incoadas por denuncias de torturas o de tratos inhumanos o degradantes (SSTEDH caso Kmetty c. Hungría, de 16 de diciembre de 2003, caso Martínez Sala y otros c. España, de 2 de noviembre de 2004) [FJ 2].</w:t>
      </w:r>
    </w:p>
    <w:p w:rsidR="0052098F" w:rsidRDefault="0052098F" w:rsidP="0052098F">
      <w:pPr>
        <w:pStyle w:val="Extracto"/>
      </w:pPr>
    </w:p>
    <w:p w:rsidR="0052098F" w:rsidRDefault="0052098F" w:rsidP="0052098F">
      <w:pPr>
        <w:pStyle w:val="Extracto"/>
      </w:pPr>
      <w:r>
        <w:lastRenderedPageBreak/>
        <w:t>7.</w:t>
      </w:r>
      <w:r>
        <w:tab/>
        <w:t>Procede la anulación de los Autos impugnados y la retroacción de las actuaciones para que se dispense al recurrente la tutela judicial demandada [FJ 6].</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6421-2004, promovido por don Alberto Viedma Morillas, representado por la Procuradora de los Tribunales doña Ana Isabel Lobera Argüelles y bajo la dirección de los Letrados don Iñigo Elkoro Ayastuy y doña Izaskun González Bengoa, contra el Auto de la Sección Sexta de la Audiencia Provincial de Madrid de 16 de septiembre de 2004, dictado en el rollo de apelación núm. 276-2004, por el que se desestima el recurso de apelación interpuesto contra el Auto del Juzgado de Instrucción núm. 14 de Madrid de 20 de mayo de 2004, por el que se desestima el recurso de reforma interpuesto contra el Auto de 12 de abril de 2004, de sobreseimiento provisional y archivo de las diligencias previas núm. 6324-2002, incoadas por denuncia de torturas. Ha intervenido el Ministerio Fiscal. Ha sido Ponente el Magistrado don Pablo Pérez Tremps,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registrado en este Tribunal el 27 de octubre de 2004, la Procuradora de los Tribunales doña Ana Isabel Lobera Argüelles, actuando en nombre y representación de don Alberto Viedma Morillas, y bajo la dirección de los Letrados don Iñigo Elkoro Ayastuy y doña Izaskun González Bengoa, interpuso demanda de amparo contra las resoluciones judiciales citadas en el encabezamiento.</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El recurso tiene su origen en los siguientes antecedentes: </w:t>
      </w:r>
    </w:p>
    <w:p w:rsidR="0052098F" w:rsidRDefault="0052098F" w:rsidP="0052098F">
      <w:pPr>
        <w:pStyle w:val="TextoNormal"/>
      </w:pPr>
      <w:r>
        <w:t xml:space="preserve">a) El recurrente, mediante escrito presentado el 22 de abril de 2002 ante los Juzgados de San Sebastián, puso en conocimiento de la autoridad judicial diversos hechos por considerar que podrían ser constitutivo de un delito de torturas. En el escrito relata que, tras ser detenido en su domicilio por la Guardia civil el 28 de febrero de 2002 y durante el trayecto al cuartel de Pamplona, recibió golpes “en la cabeza, nuca y en los testículos” y que en el calabozo de las dependencias de la Guardia civil le golpearon “con las manos en la cabeza, en la nuca, estómago, testículos y tirones de pelo” y le amenazaron con pegarle un tiro colocando una pistola en su cabeza, además de con ponerle “la bolsa, electrodos y con la bañera”. Igualmente, puso de manifiesto que fue trasladado al hospital porque estaba “muy nervioso y </w:t>
      </w:r>
      <w:r>
        <w:lastRenderedPageBreak/>
        <w:t xml:space="preserve">mareado” y que allí, tras una primera exploración médica y a la espera de los resultados de una analítica de sangre, permaneció en una habitación con tres guardias civiles durante unos cuarenta minutos en que siguieron las amenazas y humillaciones. Finalmente el Médico le dijo que los resultados habían salido bien y que todo se debía a los nervios, dándole una pastilla. </w:t>
      </w:r>
    </w:p>
    <w:p w:rsidR="0052098F" w:rsidRDefault="0052098F" w:rsidP="0052098F">
      <w:pPr>
        <w:pStyle w:val="TextoNormal"/>
      </w:pPr>
      <w:r>
        <w:t xml:space="preserve">También señaló en su escrito de denuncia que durante los interrogatorios en el calabozo de las dependencias de la Guardia civil en Madrid “me pusieron la bolsa, me golpearon, sufrí presiones psicológicas, insultos, humillaciones y amenazas”, relatando, entre otras cosas, que le pusieron una bolsa en la cabeza unas ocho veces mientras permanecía inmovilizado atado a una silla y que “[c]uando me ponían la bolsa, tenía la sensación de que me ahogaba, no podía respirar, parecía que me moría”; que le golpearon “en la cabeza, en la nuca, estómago, testículos y patadas en la parte trasera” y que los golpes “me los daban con las manos, pies y con periódicos bien prietos y enroscados a la cabeza, con mucha fuerza”, refiriendo que se le pusieron la nuca y la espalda rojas; que los gritos eran constantes; que le amenazaban con ponerle “los electrodos y con la bañera”; que le ponían una pistola en la boca; que le decían que habían detenido a su madre y que la estaban torturando; que no le dejaban descansar, obligándole a permanecer en pie durante horas y a firmar folios en blanco, amenazándole con que si no hablaba le “iban a poner la declaración que ellos quisieran en aquellos folios”. Por último, relató que el Médico forense le vio unas cuatro veces y que no le dijo nada de las torturas porque estaba amenazado por los guardias civiles, “por lo que cuando me visitaba le decía que me encontraba bien”, y que ante el Juez se negó a declarar, aunque le dijo que había sido torturado. La denuncia finaliza solicitando que se aporten a la causa los informes que el Médico forense practicó durante la detención en la Dirección General de la Guardia civil en Madrid, que se le tome declaración como denunciante y que se identifique a los agentes de la Guardia civil que intervinieron en la detención y participaron en los interrogatorios. </w:t>
      </w:r>
    </w:p>
    <w:p w:rsidR="0052098F" w:rsidRDefault="0052098F" w:rsidP="0052098F">
      <w:pPr>
        <w:pStyle w:val="TextoNormal"/>
      </w:pPr>
      <w:r>
        <w:t xml:space="preserve">b) La denuncia dio lugar a la incoación de las diligencias previas núm. 978-2002 por el Juzgado de Instrucción núm. 5 de San Sebastián, que por Auto de 2 de mayo de 2002 se inhibió a favor del Juzgado Decano Central de Instrucción, no siendo aceptada la competencia por Auto del Juzgado Central de Instrucción núm. 2 de Madrid de 12 de julio de 2002, que se inhibió a favor del Juzgado Decano de Instrucción de Madrid. El Juzgado de Instrucción núm. 14 de Madrid, tras incoar las diligencias previas núm. 6324-2002, por Auto de 24 de julio de 2002 se inhibió a favor del Juzgado Decano de Instrucción de Pamplona, siendo rechazada por Auto del Juzgado de Instrucción núm. 2 de Pamplona de 18 de noviembre de 2002. Aceptada la competencia por el Juzgado de Instrucción núm. 14 de Madrid, éste dictó providencia de 11 de enero de 2003 instando a la Dirección General de la Guardia Civil a remitir la declaración allí prestada por el denunciante, el informe del Médico forense que le reconoció y el informe del hospital de Pamplona al que fue trasladado. Por oficio de 29 de enero de 2003 se remitió la documentación requerida si bien respecto de los informes del medico forense se afirmó que no se disponía en esa unidad de ninguna copia “toda vez que el facultativo designado por el Juzgado Central de Instrucción … no entregó copia de los mismos a la Instrucción, por lo cual tampoco se pudo adjuntarlos al atestado”. </w:t>
      </w:r>
    </w:p>
    <w:p w:rsidR="0052098F" w:rsidRDefault="0052098F" w:rsidP="0052098F">
      <w:pPr>
        <w:pStyle w:val="TextoNormal"/>
      </w:pPr>
      <w:r>
        <w:t xml:space="preserve">c) Mediante providencia de 28 de febrero de 2003 se requirió de los Juzgados Centrales de Instrucción núms. 1 y 2 remisión de una copia del reconocimiento forense efectuado al denunciante durante su permanencia en las dependencias de la Guardia civil de Madrid. Mediante sendas providencias de 14 de noviembre de 2003 y de 8 de marzo de 2004 se reiteró el requerimiento al Juzgado Central de Instrucción núm. 1, que, con fecha de 4 de marzo de 2004 remitió diversos documentos obrantes en el sumario 7-2002. Así, se adjuntó </w:t>
      </w:r>
      <w:r>
        <w:lastRenderedPageBreak/>
        <w:t xml:space="preserve">diligencia del instructor del atestado redactado por la Guardia civil en Pamplona, en el que se hacía constar que el 28 de febrero de 2002 el recurrente manifestó al personal de custodia que sufría un malestar y mareo generalizado, acordándose que fuera trasladado a un centro sanitario para su examen y diagnóstico y que finalizados éstos se extendió el oportuno parte Médico, constatándose un “eritema leve en zona superior derecha de la espalda” y una “taquicardia de 96 por minuto”, concluyéndose con un juicio clínico de “mareo en situación de ansiedad. Exploraciones normales”, adjuntando el parte médico. Igualmente, se acompañaron sendas diligencias del instructor del atestado redactado por la Guardia civil en las dependencias de Madrid, en el que se hacía constar que los días 1, 2 y 3 de marzo de 2003 se personó en las dependencias de la Dirección General el Médico forense del Juzgado Central de Instrucción núm. 2 para el reconocimiento facultativo de cinco detenidos, entre ellos el recurrente, y que “ no dejó ‘parte facultativo’ del examen aludido; causa esta por la que no se une a esta diligencia”. En la diligencia del día 3 se hizo constar que el Médico “ordena que al detenido Alberto Viedma se le proporcione una cápsula de Rovamycine 500 cada seis horas”. Por último, también se adjuntó diligencia del Juzgado Central de Instrucción núm. 2 de información de derechos al detenido de 4 de marzo de 2002, en la que consta que “no desea ser reconocido por el médico forense”. </w:t>
      </w:r>
    </w:p>
    <w:p w:rsidR="0052098F" w:rsidRDefault="0052098F" w:rsidP="0052098F">
      <w:pPr>
        <w:pStyle w:val="TextoNormal"/>
      </w:pPr>
      <w:r>
        <w:t xml:space="preserve">d) Por Auto de 12 de abril de 2004 se acordó el sobreseimiento provisional y el archivo de la causa, al no aparece debidamente justificada la perpetración del delito. El recurrente interpuso recurso de reforma y subsidiario de apelación, argumentando, por un lado, la falta de motivación del Auto impugnado y, por otro, la deficiente instrucción desarrollada, habida cuenta de la gravedad del delito denunciado, ya que restaban por practicar diligencias de averiguación relevantes como era la propia declaración del denunciante, la identificación de los agentes que participaron en la custodia para que prestaran declaración o los remisión de los informes médicos. El recurso de reforma fue desestimado por Auto de 20 de mayo de 2004, afirmando que carecía de verosimilitud la denuncia por el propio proceder del denunciante, ya que “una vez en Madrid y en sede judicial, se negó a ser reconocido por el Médico forense a fin de que oportuna, y no extemporáneamente como ahora, se hubiera podido aclarar la realidad de las torturas por él denunciadas”. </w:t>
      </w:r>
    </w:p>
    <w:p w:rsidR="0052098F" w:rsidRDefault="0052098F" w:rsidP="0052098F">
      <w:pPr>
        <w:pStyle w:val="TextoNormal"/>
      </w:pPr>
      <w:r>
        <w:t xml:space="preserve">e) El recurrente, en su escrito de alegaciones en el recurso de apelación, insistió en la insuficiente instrucción practicada, añadiendo entre las diligencias que no habían sido practicadas y que podrían esclarecer los hechos la declaración de los Médicos que reconocieron al detenido en los calabozos y en el hospital de Pamplona, habida cuenta de la ausencia de informes del Médico forense en contradicción con el protocolo de uso en estos casos. La Sección Sexta de la Audiencia Provincial de Madrid, por Auto de 16 de septiembre de 2004, dictado en el rollo de apelación 276-2004, desestimó el recurso, poniendo de manifiesto, en primer lugar, la circunstancia de que “la denuncia es formulada por una persona con una relación de grave animadversión contra los agentes de la guardia civil a los que denuncia, pues éstos lo habían detenido por considerarle autor de delitos graves; por lo que los hechos denunciados deben ser necesariamente corroborados objetivamente de alguna forma para que se les deba dar credibilidad suficiente como para justificar la instrucción de causa penal contra agentes policiales por hechos derivados del ejercicio de sus funciones”. A partir de ello destaca que de las actuaciones no resulta hecho o circunstancia objetiva que corrobore mínimamente la versión del denunciante, sino más bien lo contrario, toda vez que “en el informe del hospital en el que fue reconocido el detenido no se hace constar que sufriera lesión alguna ni signo alguno derivado de malos tratos, siendo también contradictorio con el hecho de que hubiera sufrido algún tipo de malos tratos el que el propio detenido no </w:t>
      </w:r>
      <w:r>
        <w:lastRenderedPageBreak/>
        <w:t>deseara ser reconocido por el Médico forense cuando estaba ya a disposición judicial inmediatamente después de salir del control de los guardias civiles que lo habían detenido”. A ello añade que el recurrente no expresa “qué diligencias concretas faltan por practicar y de las que pudieran resultar datos o circunstancias objetivas que corroborasen los hechos denunciados, además de tenerse también en cuenta lo extraño de la conducta del propio recurrente cuando fue puesto en su día a disposición del Juzgado Central de Instrucción, pues extraña debe reputarse la conducta de negarse a ser reconocido por el Médico Forense del Juzgado en el caso de que fuere cierto que hubiera sido objeto de tan graves y reiterados malos tratos como los que denuncia, que podrían haber dejado marcas apreciables para un médico”.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El recurrente aduce en su demanda de amparo que se ha vulnerado sus derechos a la integridad física y moral (art. 15 CE), a la tutela judicial efectiva (art. 24.1 CE) y a un proceso con todas la garantías y uso de los medios pertinentes de prueba para la defensa (art. 24.2 CE). La primera queja la justifica en que, habiéndose denunciado diversas agresiones físicas y maltrato de palabra, no ha existido un procedimiento judicial que haya permitido una reparación jurídica suficiente. Las dos restantes quejas, en relación con la anterior, las fundamenta en que no se ha desarrollado una actividad judicial suficiente en averiguación de los hechos denunciados, al no haberse practicado diversas diligencias que resultaban relevantes como son las de reconocimiento de los agentes actuantes y su posible toma de declaración, así como la del denunciante, ya que en este tipo de delitos resulta fundamental el testimonio de la víctima. Igualmente, destaca que no se han solicitado los informes médicos forenses al Juez de instrucción sino a la Dirección General de la Guardia Civil, a pesar de que dichos informes debían ser remitidos directamente al Juez. </w:t>
      </w:r>
    </w:p>
    <w:p w:rsidR="0052098F" w:rsidRDefault="0052098F" w:rsidP="0052098F">
      <w:pPr>
        <w:pStyle w:val="TextoNormal"/>
      </w:pPr>
      <w:r>
        <w:t>Por último, en la demanda se pone de manifiesto que, careciendo de motivación los Autos del Juzgado de Instrucción, los argumentos del Auto de apelación no resultan suficientes para sustentar la decisión de archivo, ya que la falta de denuncia del maltrato en las dependencias policiales, en el hospital o ante el Médico forense se debía, obviamente, a que las declaraciones se realizan precisamente ante las personas que serían las denunciadas o compañeros de las mismas y en una situación de intensa intimidación previa, destacando que sí denunció las torturas ante el Juez de instrucción. Del mismo modo, incide en que “no todas las torturas relatadas son objetivables si no se dispone de la suficiente aptitud y medios para ello”, que en el caso de malos tratos infligidos durante la detención es evidente la dificultad para conocer lo ocurrido, y que ello y la gravedad del delito es lo que “obliga a agotar la investigación, practicándose para ello todas las diligencias que puedan resultar de ayuda para el conocimiento de los hechos”, tal como han manifestado el Comité contra la Tortura y el Comité para la Prevención de la Tortura, al señalar que “los jueces no deberían considerar la ausencia de marcas o restos coherentes con tales denuncias como prueba suficiente de la falsedad de las mismas” y que debe evaluarse “la credibilidad de la persona autora de las mismas”, que “debería ser interrogada por el juez sobre esta específica cuestión”.</w:t>
      </w:r>
    </w:p>
    <w:p w:rsidR="0052098F" w:rsidRDefault="0052098F" w:rsidP="0052098F">
      <w:pPr>
        <w:pStyle w:val="TextoNormal"/>
      </w:pPr>
    </w:p>
    <w:p w:rsidR="0052098F" w:rsidRDefault="0052098F" w:rsidP="0052098F">
      <w:pPr>
        <w:pStyle w:val="TextoNormal"/>
      </w:pPr>
      <w:r w:rsidRPr="0052098F">
        <w:rPr>
          <w:rStyle w:val="NumeroAFNegritaCaracter"/>
        </w:rPr>
        <w:t>4</w:t>
      </w:r>
      <w:r>
        <w:t>. La Secretaría de Justicia de la Sección Segunda de este Tribunal, por diligencia de ordenación de 15 de marzo de 2005, conforme a lo previsto en el art. 88 LOTC, requirió de los órganos judiciales correspondientes la remisión del testimonio de las actuaciones que dieron lugar al presente procedimiento.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5</w:t>
      </w:r>
      <w:r>
        <w:t>. La Sección Segunda de este Tribunal acordó, por providencia de 14 de julio de 2005, admitir a trámite la demanda de amparo y dirigir atenta comunicación al órgano judicial competente para el emplazamiento a quienes hubieran sido parte en este procedimiento para comparecer en el mismo.</w:t>
      </w:r>
    </w:p>
    <w:p w:rsidR="0052098F" w:rsidRDefault="0052098F" w:rsidP="0052098F">
      <w:pPr>
        <w:pStyle w:val="TextoNormal"/>
      </w:pPr>
    </w:p>
    <w:p w:rsidR="0052098F" w:rsidRDefault="0052098F" w:rsidP="0052098F">
      <w:pPr>
        <w:pStyle w:val="TextoNormal"/>
      </w:pPr>
      <w:r w:rsidRPr="0052098F">
        <w:rPr>
          <w:rStyle w:val="NumeroAFNegritaCaracter"/>
        </w:rPr>
        <w:t>6</w:t>
      </w:r>
      <w:r>
        <w:t>. Por diligencia de ordenación de la Secretaría de Justicia de la Sala Primera de este Tribunal de 23 de septiembre de 2005, a tenor del art. 52 LOTC, se acordó dar vista de las actuaciones al Ministerio Fiscal y a las partes personadas por plazo común de veinte días para que pudieran presentar las alegaciones que a su derecho convinieran.</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El Ministerio Fiscal, en escrito registrado el 27 de octubre de 2005, interesó que se otorgara el amparo por vulneración del derecho a la integridad física (art. 15 CE) y se declarara la nulidad de las resoluciones impugnadas con retroacción de actuaciones para que “por parte del Juzgado Instructor se proceda a un nuevo pronunciamiento una vez disponga del resultado de las diligencias de prueba admitidas y no plenamente practicadas”. A esos efectos, destaca que conforme a la jurisprudencia del Tribunal Europeo de Derechos Humanos sobre el art. 3 CEDH existe una doble obligación sustantiva y procesal: la primera consistente no sólo en no infligir malos tratos a quienes están sujetos a su potestad, sino también en proteger la integridad física de las personas privadas de libertad por su mayor vulnerabilidad y la segunda consistente en la necesidad de llevar a cabo una investigación efectiva para la identificación y castigo de los responsables cuando existan motivos razonables para creer que se han realizado tratamientos contrarios al art. 3 sobre personas privadas de libertad, siendo esta una obligación también contenida en los arts. 12 y 13 de la Convención de las Naciones Unidas contra la tortura y otros tratos o penas crueles, inhumanos o degradantes. Así, pone de manifiesto que el art. 15 CE tiene entre sus contenidos una vertiente procesal equiparable, siendo exigible una diligente investigación que permita disipar todas las dudas en los casos de denuncia de haber sido sometido a torturas. </w:t>
      </w:r>
    </w:p>
    <w:p w:rsidR="0052098F" w:rsidRDefault="0052098F" w:rsidP="0052098F">
      <w:pPr>
        <w:pStyle w:val="TextoNormal"/>
      </w:pPr>
      <w:r>
        <w:t>A partir de ello, el Ministerio Fiscal incide en que en este caso no se habría observado ese especial deber de diligencia, ya que “aun cuando deba estimarse que la decisión judicial de sobreseimiento se apoya en elementos de no desdeñable relevancia, cuales son la ausencia de lesiones de la que deja constancia el informe del Hospital de Navarra; la negativa del ahora demandante a ser examinado por el médico forense; la falta de protesta alguna del Letrado que asistió al detenido en las dependencias de la guardia civil; e incluso el hecho en sí de la no cancelación de la situación de detención incomunicada por parte de la autoridad judicial — en caso de que por el forense se le hubiera informado sobre el más mínimo signo de lesión ”, se constata una falta de agotamiento de la actividad investigadora que hubiere podido ser concluida con la simple comunicación al Juzgado Central de Instrucción núm. 1 en la que se expusiera que el testimonio remitido se hallaba incompleto. De ese modo, concluye que si bien no debe estimarse la queja por vulneración del derecho a la tutela judicial efectiva, ya que el sobreseimiento estaba debidamente fundado en Derecho, la queja atinente al derecho a la prueba, puesta en relación con el art. 15 CE y con el hecho de no requerir de nuevo el testimonio de las diligencias seguidas en el Juzgado Central de Instrucción núm. 1, determina que se haya lesionado este último derecho fundamental.</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recurrente, en escrito registrado el 2 de noviembre de 2005, reitera, en esencia, lo señalado en su demanda de amparo, insistiendo en la negativa judicial a la práctica de diligencias de averiguación que resultaban relevantes para el esclarecimiento de los hechos </w:t>
      </w:r>
      <w:r>
        <w:lastRenderedPageBreak/>
        <w:t>denunciados y en que realizó la denuncia ante el Juez instructor tan pronto como tuvo ocasión para ello.</w:t>
      </w:r>
    </w:p>
    <w:p w:rsidR="0052098F" w:rsidRDefault="0052098F" w:rsidP="0052098F">
      <w:pPr>
        <w:pStyle w:val="TextoNormal"/>
      </w:pPr>
    </w:p>
    <w:p w:rsidR="0052098F" w:rsidRDefault="0052098F" w:rsidP="0052098F">
      <w:pPr>
        <w:pStyle w:val="TextoNormal"/>
      </w:pPr>
      <w:r w:rsidRPr="0052098F">
        <w:rPr>
          <w:rStyle w:val="NumeroAFNegritaCaracter"/>
        </w:rPr>
        <w:t>9</w:t>
      </w:r>
      <w:r>
        <w:t>. Mediante providencia de 10 de abril de 2008, se señaló para deliberación y votación de la presente Sentencia el día 14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objeto de este amparo es determinar si las resoluciones impugnadas han vulnerado los derechos del recurrente a la integridad física y moral (art. 15 CE), a la tutela judicial efectiva (art. 24.1 CE) y a un proceso con todas las garantías (art. 24.2 CE), al haber acordado el sobreseimiento y archivo provisional de unas diligencias penales incoadas por una denuncia de torturas, sin haberse practicado todas las diligencias que podrían haber sido relevantes para la adopción de una decisión de esas características.</w:t>
      </w:r>
    </w:p>
    <w:p w:rsidR="0052098F" w:rsidRDefault="0052098F" w:rsidP="0052098F">
      <w:pPr>
        <w:pStyle w:val="TextoNormal"/>
      </w:pPr>
    </w:p>
    <w:p w:rsidR="0052098F" w:rsidRDefault="0052098F" w:rsidP="0052098F">
      <w:pPr>
        <w:pStyle w:val="TextoNormal"/>
      </w:pPr>
      <w:r w:rsidRPr="0052098F">
        <w:rPr>
          <w:rStyle w:val="NumeroAFNegritaCaracter"/>
        </w:rPr>
        <w:t>2</w:t>
      </w:r>
      <w:r>
        <w:t>. Este Tribunal ha tenido la oportunidad de pronunciarse sobre las exigencias derivadas del derecho a la tutela judicial efectiva (art. 24.1 CE) en relación con las decisiones judiciales de sobreseimiento de instrucciones penales incoadas por denuncias de torturas o de tratos inhumanos o degradantes en las recientes SSTC 224/2007, de 22 de octubre, y 34/2008, de 25 de febrero.</w:t>
      </w:r>
    </w:p>
    <w:p w:rsidR="0052098F" w:rsidRDefault="0052098F" w:rsidP="0052098F">
      <w:pPr>
        <w:pStyle w:val="TextoNormal"/>
      </w:pPr>
      <w:r>
        <w:t>Así, este Tribunal ha destacado en la citada STC 34/2008, siguiendo la jurisprudencia del Tribunal Europeo de Derechos Humanos sobre este particular (por todas, SSTEDH de 16 de diciembre de 2003, Kmetty c. Hungría, § 37, y de 2 de noviembre de 2004, Martínez Sala y otros c. España, §156), que el derecho a la tutela judicial efectiva de quien denuncia haber sido víctima de torturas o de tratos inhumanos o degradantes exige, según el canon reforzado de motivación, una resolución motivada y fundada en Derecho y acorde con la prohibición absoluta de tales conductas, en que se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(FJ 6). Del mismo modo, y en relación con lo anterior, también ha señalado en la misma Sentencia que en estos casos “el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 (FJ 6).</w:t>
      </w:r>
    </w:p>
    <w:p w:rsidR="0052098F" w:rsidRDefault="0052098F" w:rsidP="0052098F">
      <w:pPr>
        <w:pStyle w:val="TextoNormal"/>
      </w:pPr>
      <w:r>
        <w:t xml:space="preserve">Igualmente, se ha hecho especial incidencia en que si bien esta exigencia no comporta la apertura de la instrucción en todo caso ni impone la realización de todas las diligencias de investigación posibles, “[p]or el contrario,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(STC </w:t>
      </w:r>
      <w:r>
        <w:lastRenderedPageBreak/>
        <w:t>34/2008, FJ 6), ya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(STC 224/2007, FJ 3).</w:t>
      </w:r>
    </w:p>
    <w:p w:rsidR="0052098F" w:rsidRDefault="0052098F" w:rsidP="0052098F">
      <w:pPr>
        <w:pStyle w:val="TextoNormal"/>
      </w:pPr>
      <w:r>
        <w:t>Por último, este Tribunal ha señalado que para evaluar si existe una sospecha razonable de tortura y si tal sospecha es disipable, lo que convertiría en inconstitucional ex art. 24.1 CE el cierre de la investigación, deben tomarse en consideración las circunstancias concretas de cada caso, siendo preciso atender, entre otras circunstancias, a la probable escasez de pruebas existente en este tipo de delitos, lo que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 Del mismo modo, también se destaca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 y con la presunción a efectos indagatorios de que las lesiones que eventualmente presente el detenido tras su detención y que eran inexistentes antes de la misma son atribuibles a las personas encargadas de su custodia. Además, se pone énfasis en que constituye una exigencia de racionalidad que la valoración del testimonio judicial del denunciante, que es un medio de indagación particularmente idóneo de las denuncias por tortura o por tratos inhumanos o degradantes, y de sus declaraciones previas ante los médicos, la policía o los órganos judiciales repare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(STC 34/2008, FJ 7).</w:t>
      </w:r>
    </w:p>
    <w:p w:rsidR="0052098F" w:rsidRDefault="0052098F" w:rsidP="0052098F">
      <w:pPr>
        <w:pStyle w:val="TextoNormal"/>
      </w:pPr>
    </w:p>
    <w:p w:rsidR="0052098F" w:rsidRDefault="0052098F" w:rsidP="0052098F">
      <w:pPr>
        <w:pStyle w:val="TextoNormal"/>
      </w:pPr>
      <w:r w:rsidRPr="0052098F">
        <w:rPr>
          <w:rStyle w:val="NumeroAFNegritaCaracter"/>
        </w:rPr>
        <w:t>3</w:t>
      </w:r>
      <w:r>
        <w:t>. En atención a lo expuesto debe concluirse que en el presente caso la decisión de archivar las diligencias penales abiertas como consecuencia de la denuncia por torturas del recurrente no fue conforme con las exigencias del art. 24.1 CE, toda vez que, perviviendo en el momento del cierre de la instrucción sospechas razonables acerca de la posible comisión de los hechos denunciados, sin embargo, tal como también ha señalado el Ministerio Fiscal, existían todavía medios de investigación disponibles para tratar de despejar, en el sentido que fuera, tales sospechas.</w:t>
      </w:r>
    </w:p>
    <w:p w:rsidR="0052098F" w:rsidRDefault="0052098F" w:rsidP="0052098F">
      <w:pPr>
        <w:pStyle w:val="TextoNormal"/>
      </w:pPr>
      <w:r>
        <w:t xml:space="preserve">En efecto, en el presente caso, las sospechas de veracidad de los hechos denunciados pudieran no ser contundentes; sin embargo, desde la perspectiva y enjuiciamiento de esta jurisdicción de amparo, eran suficientes para que debiera perseverarse en una indagación judicial apenas iniciada en la medida en que restaban determinados medios de investigación para ello. Así, debe destacarse, como queda acreditado en las actuaciones y ha sido expuesto con más detenimiento en los antecedentes, en primer lugar, que el detenido hubo de ser trasladado a un hospital al inicio de su detención por sufrir “un malestar y mareo generalizado”, constatándose en el reconocimiento un “eritema leve en zona superior derecha de la </w:t>
      </w:r>
      <w:r>
        <w:lastRenderedPageBreak/>
        <w:t>espalda” y una “taquicardia de 96 por minuto”, concluyéndose con un juicio clínico de “mareo en situación de ansiedad”. En segundo lugar, que el recurrente refería en el relato de su denuncia signos físicos concretos como consecuentes a las agresiones que atribuye a los agentes policiales, consistentes en que se pusieron la nuca y la espalda roja. En tercer lugar, que tras el reconocimiento médico realizado el día 3 de marzo de 2002 se recoja en la diligencia policial correspondiente que el Médico recetó un determinado medicamento (Rovamycine 500) para su administración al detenido cada seis horas, sin que ningún otro dato obre en la instrucción acerca de la razón de tal prescripción o del tipo de afección para la que tal medicamento se prescribe. Por último, también es de señalar el hecho de que, según afirma el recurrente, “en el momento de ser puesto a disposición judicial expuso al Juez-Magistrado titular del Juzgado Central de Instrucción núm.  2 que había sido objeto de malos tratos durante el periodo de detención”.</w:t>
      </w:r>
    </w:p>
    <w:p w:rsidR="0052098F" w:rsidRDefault="0052098F" w:rsidP="0052098F">
      <w:pPr>
        <w:pStyle w:val="TextoNormal"/>
      </w:pPr>
    </w:p>
    <w:p w:rsidR="0052098F" w:rsidRDefault="0052098F" w:rsidP="0052098F">
      <w:pPr>
        <w:pStyle w:val="TextoNormal"/>
      </w:pPr>
      <w:r w:rsidRPr="0052098F">
        <w:rPr>
          <w:rStyle w:val="NumeroAFNegritaCaracter"/>
        </w:rPr>
        <w:t>4</w:t>
      </w:r>
      <w:r>
        <w:t>. Ante la situación relatada, suficientemente indiciaria de los hechos denunciados como para perseverar en la indagación de lo sucedido, no resultan conformes con las exigencias reforzadas del derecho a la tutela judicial efectiva las razones que esgrimen los órganos judiciales para entender que no existían sospechas razonables de que fueran ciertos tales hechos y para adoptar la consecuente decisión de clausurar la investigación.</w:t>
      </w:r>
    </w:p>
    <w:p w:rsidR="0052098F" w:rsidRDefault="0052098F" w:rsidP="0052098F">
      <w:pPr>
        <w:pStyle w:val="TextoNormal"/>
      </w:pPr>
      <w:r>
        <w:t>Así, en primer lugar, no resulta determinante de la falta de veracidad de la denuncia el argumento de las resoluciones impugnadas de que el detenido “se negó a ser reconocido” en sede judicial “a fin de que oportuna, y no extemporáneamente como ahora, se hubiera podido aclarar la realidad de las torturas por él denunciadas”. Cierto es que tal conducta del detenido puede ser, en principio, contradictoria con el hecho de haber sufrido las torturas que denuncia, ya que no resultaría lógico que se negara a un reconocimiento físico quien ha sufrido torturas y desea su denuncia y su castigo. Esta circunstancia, sin embargo, no puede ser considerada concluyente si se tiene en cuenta que la negativa al reconocimiento se produce en el mismo día en el que finaliza la detención y, por ello, el periodo en el que el denunciante afirma que fue torturado. Tal inmediación temporal puede hacer que, como se ha destacado anteriormente, de ser ciertas las torturas, la renuncia ante el Juez al reconocimiento médico se debiera a una voluntad condicionada por la intensa intimidación previa o por el miedo a verse sometido de nuevo a la custodia de los agresores. Debe ponderarse también tanto el hecho de que el detenido hubiera sido ya reconocido en hasta tres ocasiones como su insistencia en la aportación de los correspondientes informes médicos, que podría descartar su presunta intención de ocultar su cuerpo para que no pudiera constatarse la falta de huellas de las torturas denunciadas.</w:t>
      </w:r>
    </w:p>
    <w:p w:rsidR="0052098F" w:rsidRDefault="0052098F" w:rsidP="0052098F">
      <w:pPr>
        <w:pStyle w:val="TextoNormal"/>
      </w:pPr>
      <w:r>
        <w:t xml:space="preserve">El Auto de apelación añade dos argumentos para la confirmación del archivo. El primero, que “en el informe del hospital en el que fue reconocido el detenido no se hace constar que sufriera lesión alguna ni signo alguno derivado de malos tratos” y, el segundo, que el recurrente no señala “qué diligencias concretas faltan por practicar y de las que pudieran resultar datos o circunstancias objetivas que corroborasen los hechos denunciados”. Pues bien, el informe del hospital de Pamplona, aportado a las actuaciones, carece de la virtualidad suficiente para despejar toda sospecha de que se cometieron las conductas de torturas denunciadas. En cuanto a su tenor, porque, como ya se ha señalado anteriormente, tanto el mismo como el propio hecho de la asistencia hospitalaria desmienten la contundencia de la afirmación judicial. En cuanto a su momento, porque en cualquier caso se trata de un informe médico realizado al inicio de la detención y anterior a la fase a la que el denunciante refiere el mayor número y las más graves de las agresiones que dice haber padecido. El segundo de los argumentos tampoco resulta asumible al partir de un evidente error de hecho, ya que, </w:t>
      </w:r>
      <w:r>
        <w:lastRenderedPageBreak/>
        <w:t>como queda acreditado en las actuaciones y también se ha destacado en los antecedentes, en los dos escritos dirigidos por el recurrente a la Audiencia —recurso subsidiario de apelación y posterior escrito de alegaciones— se proponían como medios de investigación la identificación y toma de declaración de los agentes de la Guardia civil que intervinieron en la detención, la declaración del recurrente, la declaración del Abogado de oficio que le asistió durante la detención, la declaración del Médico forense que le atendió y la declaración de la Médica que le asistió en el hospital en Pamplona.</w:t>
      </w:r>
    </w:p>
    <w:p w:rsidR="0052098F" w:rsidRDefault="0052098F" w:rsidP="0052098F">
      <w:pPr>
        <w:pStyle w:val="TextoNormal"/>
      </w:pPr>
    </w:p>
    <w:p w:rsidR="0052098F" w:rsidRDefault="0052098F" w:rsidP="0052098F">
      <w:pPr>
        <w:pStyle w:val="TextoNormal"/>
      </w:pPr>
      <w:r w:rsidRPr="0052098F">
        <w:rPr>
          <w:rStyle w:val="NumeroAFNegritaCaracter"/>
        </w:rPr>
        <w:t>5</w:t>
      </w:r>
      <w:r>
        <w:t>. Puede resultar razonable que no se prosiga con una investigación que no aclara la inexistencia de los hechos denunciados, pero que, sin embargo, ha agotado ya los medios razonables y eficaces de investigación. El canon de la investigación suficiente se refiere así tanto a la inexistencia de sospechas razonables, como a la utilidad de continuar con la instrucción.</w:t>
      </w:r>
    </w:p>
    <w:p w:rsidR="0052098F" w:rsidRDefault="0052098F" w:rsidP="0052098F">
      <w:pPr>
        <w:pStyle w:val="TextoNormal"/>
      </w:pPr>
      <w:r>
        <w:t>Tampoco desde esta perspectiva se puede afirmar que la tutela prestada haya sido suficiente. La falta de credibilidad de la denuncia, que los órganos judiciales afirman a partir de la renuncia al reconocimiento médico del denunciante en sede judicial, podría haber sido desmentida o corroborada por el testimonio inmediato del denunciante, que constituye, como antes se ha señalado, un medio de indagación particularmente idóneo al respecto. Asimismo, el sentido del parte hospitalario, invocado en el Auto de apelación, era susceptible de aclaración a través del testimonio de la Médica que tras reconocer al detenido lo firmó. Peculiar trascendencia podrían tener, como le atribuyó inicialmente el Juez instructor, los informes de los reconocimientos médicos practicados durante la detención. Su ausencia permitía aún la indagación de su contenido a través del testimonio del Médico forense. De utilidad instructora podría resultar también, en este contexto típico de escasez probatoria y en la medida en que pervivieran sospechas razonables, la declaración del Abogado de oficio que asistió al detenido y que, por lo tanto, percibió su situación física y pudo ser destinatario de alguna afirmación relevante del mismo acerca del trato recibido.</w:t>
      </w:r>
    </w:p>
    <w:p w:rsidR="0052098F" w:rsidRDefault="0052098F" w:rsidP="0052098F">
      <w:pPr>
        <w:pStyle w:val="TextoNormal"/>
      </w:pPr>
    </w:p>
    <w:p w:rsidR="0052098F" w:rsidRDefault="0052098F" w:rsidP="0052098F">
      <w:pPr>
        <w:pStyle w:val="TextoNormal"/>
      </w:pPr>
      <w:r w:rsidRPr="0052098F">
        <w:rPr>
          <w:rStyle w:val="NumeroAFNegritaCaracter"/>
        </w:rPr>
        <w:t>6</w:t>
      </w:r>
      <w:r>
        <w:t>. En conclusión, habida cuenta de que frente a la denuncia de torturas no se produjo una investigación judicial eficaz, ya que, aunque se emprendió prontamente la investigación judicial y tuvo cierto contenido, se clausuró cuando persistían aún sospechas razonables de que el delito se había cometido y medios aún disponibles para despejarla, procede otorgar el amparo por vulneración del derecho a la tutela judicial efectiva (art. 24.1 CE), en relación con el derecho a no ser sometido a tortura o tratos inhumanos o degradantes (art. 15 CE).</w:t>
      </w:r>
    </w:p>
    <w:p w:rsidR="0052098F" w:rsidRDefault="0052098F" w:rsidP="0052098F">
      <w:pPr>
        <w:pStyle w:val="TextoNormal"/>
      </w:pPr>
      <w:r>
        <w:t>El restablecimiento del recurrente en la integridad de su derecho exige, tal como se argumentó en la STC 34/2008, de 25 de febrero, FJ 9, la anulación de los Autos impugnados y la retroacción de actuaciones para que se dispense al recurrente la tutela judicial demandada.</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CONSTITUCIÓN DE LA NACIÓN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Alberto Viedma Morillas y, en consecuencia:</w:t>
      </w:r>
    </w:p>
    <w:p w:rsidR="0052098F" w:rsidRDefault="0052098F" w:rsidP="0052098F">
      <w:pPr>
        <w:pStyle w:val="TextoNormal"/>
      </w:pPr>
      <w:r>
        <w:lastRenderedPageBreak/>
        <w:t>1º Reconocer su derecho a la tutela judicial efectiva sin indefensión (art. 24.1 CE), en relación con su derecho a no ser sometido a torturas ni a tratos inhumanos o degradantes (art. 15 CE).</w:t>
      </w:r>
    </w:p>
    <w:p w:rsidR="0052098F" w:rsidRDefault="0052098F" w:rsidP="0052098F">
      <w:pPr>
        <w:pStyle w:val="TextoNormal"/>
      </w:pPr>
      <w:r>
        <w:t>2º Declarar la nulidad de los Autos del Juzgado de Instrucción núm. 14 de Madrid de 12 de abril y de 20 de mayo de 2004, dictados en las diligencias previas núm. 6324-2002 y el Auto de la Sección Sexta de la Audiencia Provincial de Madrid de 16 de septiembre de 2004, dictado en el rollo de apelación núm. 276-2004.</w:t>
      </w:r>
    </w:p>
    <w:p w:rsidR="0052098F" w:rsidRDefault="0052098F" w:rsidP="0052098F">
      <w:pPr>
        <w:pStyle w:val="TextoNormal"/>
      </w:pPr>
      <w:r>
        <w:t>3º Ordenar la retroacción de las actuaciones al momento anterior al dictado del primero de los Autos para que el Juzgado de Instrucción núm. 14 de Madrid proceda conforme al derecho fundamental reconocido.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catorce de abril de dos mil ocho.</w:t>
      </w:r>
    </w:p>
    <w:p w:rsidR="0052098F" w:rsidRDefault="0052098F" w:rsidP="0052098F">
      <w:pPr>
        <w:pStyle w:val="ParrafoNormal"/>
      </w:pPr>
    </w:p>
    <w:p w:rsidR="0052098F" w:rsidRDefault="0052098F" w:rsidP="0052098F">
      <w:pPr>
        <w:pStyle w:val="TextoNormalNegritaCentrado"/>
        <w:keepNext/>
      </w:pPr>
      <w:r>
        <w:t>Voto particular que formula el Magistrado don Jorge Rodríguez-Zapata Pérez a la Sentencia recaída el 14 de abril de 2008, en el recurso de amparo núm. 6421-2004</w:t>
      </w:r>
    </w:p>
    <w:p w:rsidR="0052098F" w:rsidRDefault="0052098F" w:rsidP="0052098F">
      <w:pPr>
        <w:pStyle w:val="TextoNormalNegritaCentrado"/>
        <w:keepNext/>
      </w:pPr>
    </w:p>
    <w:p w:rsidR="0052098F" w:rsidRDefault="0052098F" w:rsidP="0052098F">
      <w:pPr>
        <w:pStyle w:val="TextoNormal"/>
      </w:pPr>
      <w:r>
        <w:t>1. Este proceso tiene su origen en una denuncia presentada por el demandante de amparo en la que afirmaba haber sido torturado por agentes de la Guardia civil durante el periodo de su detención. El Juez de Instrucción, tras practicar las diligencias de investigación que estimó necesarias, acordó el sobreseimiento provisional de las actuaciones, decisión confirmada por la Audiencia Provincial de Madrid.</w:t>
      </w:r>
    </w:p>
    <w:p w:rsidR="0052098F" w:rsidRDefault="0052098F" w:rsidP="0052098F">
      <w:pPr>
        <w:pStyle w:val="TextoNormal"/>
      </w:pPr>
      <w:r>
        <w:t>La Sentencia de la que disiento considera insuficiente la investigación practicada por el Juez instructor y declara vulnerado el derecho fundamental del recurrente a una tutela judicial efectiva sin indefensión (art. 24.1 CE), en relación con su derecho a no ser sometido a torturas ni a tratos inhumanos o degradantes (art. 15 CE).</w:t>
      </w:r>
    </w:p>
    <w:p w:rsidR="0052098F" w:rsidRDefault="0052098F" w:rsidP="0052098F">
      <w:pPr>
        <w:pStyle w:val="TextoNormal"/>
      </w:pPr>
      <w:r>
        <w:t>La tortura es un delito especialmente grave. Además del sufrimiento infligido a la víctima busca la desintegración de su personalidad, la destrucción de su equilibrio psíquico y el aniquilamiento de su voluntad. Nada hay más paradójico que la lucha contra el delito fuera de los cauces estrictos de la legalidad. Los malos tratos policiales son injustificables incluso cuando estén en juego intereses vitales de un Estado, como puede ocurrir en un contexto de lucha antiterrorista. Pesa sobre el Estado un especial deber de investigar las denuncias de tortura y de tratos inhumanos o degradantes. Mi discrepancia, por tanto, no afecta a la doctrina elaborada sobre esta materia por el Tribunal Constitucional, coincidente con la del Tribunal Europeo de Derechos Humanos. Mi disenso se debe a que, a mi juicio, tal doctrina se ha aplicado en forma incorrecta en este caso.</w:t>
      </w:r>
    </w:p>
    <w:p w:rsidR="0052098F" w:rsidRDefault="0052098F" w:rsidP="0052098F">
      <w:pPr>
        <w:pStyle w:val="TextoNormal"/>
      </w:pPr>
      <w:r>
        <w:t>2. Conforme a nuestra propia jurisprudencia, ante la denuncia de un delito de torturas, la tutela judicial será suficiente y efectiva —ex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Por el contrario,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 así, las recientes SSTC 224/2007, de 22 de octubre, FJ 3; y 34/2008, de 25 de febrero, FJ 7).</w:t>
      </w:r>
    </w:p>
    <w:p w:rsidR="0052098F" w:rsidRDefault="0052098F" w:rsidP="0052098F">
      <w:pPr>
        <w:pStyle w:val="TextoNormal"/>
      </w:pPr>
      <w:r>
        <w:lastRenderedPageBreak/>
        <w:t>3. La investigación judicial estuvo bien encaminada en este caso. Constaba ya en el procedimiento la versión del denunciante y no era previsible que los agentes policiales fueran a admitir los hechos imputados, por lo que era adecuado buscar su esclarecimiento a través de los informes emitidos por los Médicos que estuvieron en contacto directo con el detenido durante el periodo de su detención, que en este caso lo fueron una facultativa del servicio médico del Hospital de Navarra y el Médico forense que en cuatro ocasiones reconoció al detenido en las dependencias policiales. Y también valoran los órganos judiciales, como dato de especial relieve, que el demandante de amparo, estando ya a disposición judicial y tras haber denunciado las supuestas torturas, no quisiese ser reconocido por el Médico forense del Juzgado a cuya disposición fue puesto.</w:t>
      </w:r>
    </w:p>
    <w:p w:rsidR="0052098F" w:rsidRDefault="0052098F" w:rsidP="0052098F">
      <w:pPr>
        <w:pStyle w:val="TextoNormal"/>
      </w:pPr>
      <w:r>
        <w:t>Si el detenido se niega a colaborar en la investigación del hecho que denuncia, si en el informe hospitalario no se reflejan indicios de maltrato, si mientras estaba detenido en dependencias policiales fue visitado en cuatro ocasiones por un Médico forense y no adujo maltrato alguno —ni el forense lo apreció por sí— si el Abogado de oficio que le asistía tampoco advirtió ninguna irregularidad al respecto no creo que pueda afirmarse, como hace la Sentencia, que concurren sospechas razonables acerca de la posible comisión de los hechos denunciados. Para llegar a tal conclusión la Sentencia valora el material probatorio, pese a calificarlo como insuficiente, con una desenvoltura más propia de un órgano de la jurisdicción penal que de un Tribunal Constitucional.</w:t>
      </w:r>
    </w:p>
    <w:p w:rsidR="0052098F" w:rsidRDefault="0052098F" w:rsidP="0052098F">
      <w:pPr>
        <w:pStyle w:val="TextoNormal"/>
      </w:pPr>
      <w:r>
        <w:t>¿Por qué no quiso el demandante de amparo ser reconocido por el Médico forense pese a denunciar que había sido torturado? Puesto que la decisión judicial de sobreseer las diligencias se sustentó en gran medida en esa circunstancia, parece lógico que en la demanda de amparo se ofreciera alguna explicación. La Sentencia constitucional se afana en este punto en reconstruir de oficio la demanda, ofreciendo una explicación que el recurrente no ha tenido a bien dar. Dice la Sentencia que ello pudo deberse a una voluntad condicionada por la intensa intimidación previa o por el miedo a verse sometido de nuevo a la custodia de los agresores.</w:t>
      </w:r>
    </w:p>
    <w:p w:rsidR="0052098F" w:rsidRDefault="0052098F" w:rsidP="0052098F">
      <w:pPr>
        <w:pStyle w:val="TextoNormal"/>
      </w:pPr>
      <w:r>
        <w:t>Sin embargo en la demanda sólo se aduce que el detenido no hizo ninguna manifestación a la facultativa hospitalaria ni al Médico forense que le reconoció durante la detención en dependencias policiales por estar bajo una situación de miedo. Pero, por el contrario, no se explica la razón por la que estando ya a disposición del Juez; habiendo cesado ya, por tanto, la posibilidad de volver a quedar bajo la custodia policial, del mismo modo que se sintió libre y seguro para denunciar a sus torturadores, sin embargo, no quiso ser reconocido médicamente para que pudiera comprobarse, en su caso, la existencia de señales corporales que acreditaran su denuncia.</w:t>
      </w:r>
    </w:p>
    <w:p w:rsidR="0052098F" w:rsidRDefault="0052098F" w:rsidP="0052098F">
      <w:pPr>
        <w:pStyle w:val="TextoNormal"/>
      </w:pPr>
      <w:r>
        <w:t>4. En definitiva, considero que las resoluciones judiciales impugnadas superan en forma clara el canon de control de una investigación oficial eficaz. Las únicas pruebas de las que razonablemente cabría obtener el esclarecimiento de los hechos son las que los órganos judiciales han valorado ya, siendo de una entidad inferior las declaraciones del denunciante (cuya versión conocemos) de los denunciados (cuya versión suponemos), de los Médicos que intervinieron o la del Abogado de oficio (que no expresaron sospecha alguna de maltrato al detenido, en el ejercicio de su actuación profesional).</w:t>
      </w:r>
    </w:p>
    <w:p w:rsidR="0052098F" w:rsidRDefault="0052098F" w:rsidP="0052098F">
      <w:pPr>
        <w:pStyle w:val="TextoNormal"/>
      </w:pPr>
      <w:r>
        <w:t>Me parece razonable que el Juez instructor no hubiere acordado la toma de declaración de los profesionales citados a menos que se hubiese justificado que habían incurrido en silencio, tolerancia u omisión, acaso constitutivos de delito.</w:t>
      </w:r>
    </w:p>
    <w:p w:rsidR="0052098F" w:rsidRDefault="0052098F" w:rsidP="0052098F">
      <w:pPr>
        <w:pStyle w:val="TextoNormal"/>
      </w:pPr>
      <w:r>
        <w:t>Por ello, disiento.</w:t>
      </w:r>
    </w:p>
    <w:p w:rsidR="0052098F" w:rsidRDefault="0052098F" w:rsidP="0052098F">
      <w:pPr>
        <w:pStyle w:val="TextoNormal"/>
      </w:pPr>
      <w:r>
        <w:t>Madrid, a catorce de abril de dos mil ocho.[m1]</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6" w:name="SENTENCIA_2008_53"/>
      <w:r>
        <w:lastRenderedPageBreak/>
        <w:t>SENTENCIA 53/2008, de 14 de abril de 2008</w:t>
      </w:r>
    </w:p>
    <w:bookmarkEnd w:id="56"/>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117, de 14 de mayo de 2008)</w:t>
      </w:r>
    </w:p>
    <w:p w:rsidR="0052098F" w:rsidRDefault="0052098F" w:rsidP="0052098F">
      <w:pPr>
        <w:pStyle w:val="TtuloBOE"/>
      </w:pPr>
    </w:p>
    <w:p w:rsidR="0052098F" w:rsidRDefault="0052098F" w:rsidP="0052098F">
      <w:pPr>
        <w:pStyle w:val="SntesisDescriptiva"/>
      </w:pPr>
      <w:r>
        <w:t>ECLI:ES:TC:2008:53</w:t>
      </w:r>
    </w:p>
    <w:p w:rsidR="0052098F" w:rsidRDefault="0052098F" w:rsidP="0052098F">
      <w:pPr>
        <w:pStyle w:val="SntesisDescriptiva"/>
      </w:pPr>
    </w:p>
    <w:p w:rsidR="0052098F" w:rsidRDefault="0052098F" w:rsidP="0052098F">
      <w:pPr>
        <w:pStyle w:val="SntesisDescriptiva"/>
      </w:pPr>
      <w:r>
        <w:t>Recurso de amparo 7253-2004. Promovido por doña Pilar Díez Rozalén frente a las Sentencias del Tribunal Superior de Justicia de la Comunidad Valenciana y de un Juzgado de lo Contencioso-Administrativo de Valencia que inadmitieron su recurso contra el Director Gerente del Complejo Educativo de Cheste sobre modificación de su puesto de trabajo y horarios.</w:t>
      </w:r>
    </w:p>
    <w:p w:rsidR="0052098F" w:rsidRDefault="0052098F" w:rsidP="0052098F">
      <w:pPr>
        <w:pStyle w:val="SntesisDescriptiva"/>
      </w:pPr>
    </w:p>
    <w:p w:rsidR="0052098F" w:rsidRDefault="0052098F" w:rsidP="0052098F">
      <w:pPr>
        <w:pStyle w:val="SntesisAnaltica"/>
      </w:pPr>
      <w:r>
        <w:t>Alegada vulneración del derecho a la tutela judicial efectiva: fallecimiento de la demandante de amparo constitucional.</w:t>
      </w:r>
    </w:p>
    <w:p w:rsidR="0052098F" w:rsidRDefault="0052098F" w:rsidP="0052098F">
      <w:pPr>
        <w:pStyle w:val="SntesisAnaltica"/>
      </w:pPr>
    </w:p>
    <w:p w:rsidR="0052098F" w:rsidRDefault="0052098F" w:rsidP="0052098F">
      <w:pPr>
        <w:pStyle w:val="Extracto"/>
      </w:pPr>
      <w:r>
        <w:t>1.</w:t>
      </w:r>
      <w:r>
        <w:tab/>
        <w:t>A raíz del fallecimiento de la recurrente se ha producido la desaparición sobrevenida del objeto del proceso, toda vez que sus herederos no ostentan un interés legítimo en el mismo, ya que la eventual nulidad de las resoluciones impugnadas determinarían que los órganos judiciales consideraran de nuevo la admisibildad del recurso contencioso-administrativo interpuesto por la recurrente fallecida a los efectos de impugnar el cambio de hora que se le había impuesto [FJ único].</w:t>
      </w:r>
    </w:p>
    <w:p w:rsidR="0052098F" w:rsidRDefault="0052098F" w:rsidP="0052098F">
      <w:pPr>
        <w:pStyle w:val="Extracto"/>
      </w:pPr>
    </w:p>
    <w:p w:rsidR="0052098F" w:rsidRDefault="0052098F" w:rsidP="0052098F">
      <w:pPr>
        <w:pStyle w:val="Extracto"/>
      </w:pPr>
      <w:r>
        <w:t>2.</w:t>
      </w:r>
      <w:r>
        <w:tab/>
        <w:t>La desaparición sobrevenida del objeto del proceso, aun cuando no contemplada expresamente en el art. 86.1 LOTC, ha sido admitida por este Tribunal como forma de terminación de los distintos procesos constitucionales (SSTC 13/2005, 128/2006) [FJ único].</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 xml:space="preserve">En el recurso de amparo núm. 7253-2004, promovido por doña Isabel Cañedo Vega, Procuradora de los Tribunales, en representación de doña Pilar Díaz Rozalén, asistida por la Abogada doña Cristina Ochando Pardo, contra la Sentencia de 26 de octubre de 2004, dictada por la Sección Segunda de la Sala de lo Contencioso-Administrativo del Tribunal Superior de Justicia de la Comunidad Valenciana, que desestimó el recurso de apelación </w:t>
      </w:r>
      <w:r>
        <w:lastRenderedPageBreak/>
        <w:t>promovido por la representación de la demandante en amparo contra la precedente Sentencia de 26 de marzo de 2004, dictada por el Juzgado de lo Contencioso-Administrativo núm. 7 de Valencia, que, a su vez, había inadmitido el recurso contencioso-administrativo interpuesto por doña Pilar Díez Rozalén contra la Resolución del Director Gerente del Complejo Educativo de Cheste (Valencia) que había acordado una modificación de puesto de trabajo y de horarios de la actora. Ha intervenido el Ministerio Fiscal y ha comparecido el Letrado de la Generalitat Valenciana. Ha sido Ponente el Magistrado don Eugeni Gay Montalvo,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Por escrito registrado en este Tribunal el día 1 de diciembre de 2004 doña Isabel Cañedo Vega, Procuradora de los Tribunales, en representación de doña Pilar Díaz Rozalén, interpuso demanda de amparo constitucional contra la resolución judicial de que se hace mérito en el encabezamiento por entender que vulneraba el artículo 24.1 CE.</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La demanda de amparo tiene su origen en los siguientes hechos: </w:t>
      </w:r>
    </w:p>
    <w:p w:rsidR="0052098F" w:rsidRDefault="0052098F" w:rsidP="0052098F">
      <w:pPr>
        <w:pStyle w:val="TextoNormal"/>
      </w:pPr>
      <w:r>
        <w:t xml:space="preserve">a) El Director-Gerente del Complejo Educativo de Cheste dio a conocer a la Sra. Díaz Rozalén escrito, de fecha 25 de septiembre de 2003, de asignación de los horarios que debía realizar a partir del 1 de octubre del mismo año. El escrito es el siguiente: </w:t>
      </w:r>
    </w:p>
    <w:p w:rsidR="0052098F" w:rsidRDefault="0052098F" w:rsidP="0052098F">
      <w:pPr>
        <w:pStyle w:val="TextoNormal"/>
      </w:pPr>
      <w:r>
        <w:t xml:space="preserve">“Desde el pasado mes de julio, fue adscrita a los Servicios Médicos de este Complejo Educativo, donde desempeña funciones acordes con la clasificación de su puesto de trabajo. </w:t>
      </w:r>
    </w:p>
    <w:p w:rsidR="0052098F" w:rsidRDefault="0052098F" w:rsidP="0052098F">
      <w:pPr>
        <w:pStyle w:val="TextoNormal"/>
      </w:pPr>
      <w:r>
        <w:t xml:space="preserve">Dado que su jornada de trabajo es de 4 horas diarias (reducción al 50 % por cuidado de un menor de seis años), es necesario que exista coincidencia de su horario con el del médico responsable de esos Servicios Médicos, el cual realiza actualmente jornada de mañana y tarde, de lunes a viernes. </w:t>
      </w:r>
    </w:p>
    <w:p w:rsidR="0052098F" w:rsidRDefault="0052098F" w:rsidP="0052098F">
      <w:pPr>
        <w:pStyle w:val="TextoNormal"/>
      </w:pPr>
      <w:r>
        <w:t xml:space="preserve">Por ello, a partir del 1 de octubre de 2003, el horario que esta Dirección estima conveniente que debe realizar es de 10´30 a 14´30 horas, de lunes a viernes. No obstante, se podría estudiar otro horario que Ud. proponga y que asegure el buen funcionamiento de la Unidad”. </w:t>
      </w:r>
    </w:p>
    <w:p w:rsidR="0052098F" w:rsidRDefault="0052098F" w:rsidP="0052098F">
      <w:pPr>
        <w:pStyle w:val="TextoNormal"/>
      </w:pPr>
      <w:r>
        <w:t xml:space="preserve">El escrito no contenía ofrecimiento de recursos. </w:t>
      </w:r>
    </w:p>
    <w:p w:rsidR="0052098F" w:rsidRDefault="0052098F" w:rsidP="0052098F">
      <w:pPr>
        <w:pStyle w:val="TextoNormal"/>
      </w:pPr>
      <w:r>
        <w:t xml:space="preserve">b) La recurrente en amparo interpuso recurso contencioso-administrativo el día 30 de octubre de 2003. En la contestación a la demanda el Letrado de la Generalitat Valenciana suscitó la causa de inadmisibilidad del recurso prevista en el art. 69 c) de la Ley jurisdiccional en relación con el art. 28 de la misma, al ser actos susceptibles de impugnación por ser firme y consentido, toda vez que el escrito del director-gerente del Complejo Educativo de Cheste no agota la vía administrativa. La parte recurrente manifestó con respecto a la suscitada causa de inadmisibilidad que en el escrito impugnado no aparece pie de recurso indicativo alguno. La Sentencia del Juzgado de lo Contencioso-Administrativo núm. 7 de Valencia de 26 de marzo de 2004 estimó dicha alegación del representante de la Administración, y con apoyo en el art. 69 c) LJCA en relación con el art. 28 del mismo texto legal inadmitió el recurso interpuesto. En el fallo de la Sentencia se declara la inadmisibilidad del recurso contencioso-administrativo interpuesto por doña Pilar Díaz Rozalén contra la asignación del horario del curso 2003/2004 dispuesta por el director-gerente del Complejo Educativo de Cheste de fecha 25 de septiembre de 2003 por no haber sido recurrido en tiempo y forma, no habiéndose agotado la vía administrativa, condenando en costas a la Generalitat Valenciana; condena en costas en que se razonaba que fue la actitud de la Administración </w:t>
      </w:r>
      <w:r>
        <w:lastRenderedPageBreak/>
        <w:t xml:space="preserve">la que propició un pleito que previsiblemente se podía haber evitado si en el pie de recurso se hubiera reflejado de forma correcta la procedencia de la alzada omitida. </w:t>
      </w:r>
    </w:p>
    <w:p w:rsidR="0052098F" w:rsidRDefault="0052098F" w:rsidP="0052098F">
      <w:pPr>
        <w:pStyle w:val="TextoNormal"/>
      </w:pPr>
      <w:r>
        <w:t>c) Presentados escritos de interposición de recurso de apelación tanto por la Administración como por la Sra. Díaz Rozalén, la Sala de lo Contencioso-Administrativo (Sección Segunda) del Tribunal Superior de Justicia de la Comunidad Valenciana dictó Sentencia el día 26 de octubre de 2004, desestimando la apelación presentada por la Sra. Díaz Rozalén. La Sentencia señalaba que se estaba ante “un acto no recurrible en vía contencioso-administrativa, por no haber agotado la vía administrativa prevista pues tal y como resulta de lo dispuesto en el art. 25 de la LJCA el recurso contencioso-administrativo será admisible en relación con las disposiciones de carácter general y con los actos expresos y presuntos de la Administración Pública que pongan fin a la vía administrativa”. La Sentencia estimó, en cambio, el recurso de apelación interpuesto por la Administración. Según el parecer de la Sala, siendo cierto que la Administración no informó sobre los recursos procedentes contra el acto impugnado, lo es también que, al igual que la actora decidió acudir a esta vía jurisdiccional podía también haber agotado otras opciones, entre ellas interesar de la Administración la información adecuada sobre recursos. De esta manera —concluye—, “por más que la actuación de la Administración haya supuesto el incumplimiento de sus obligaciones, lo es también que no puede concluirse determinante del error sufrido por la recurrente, en orden a apreciar la procedencia de condenar a aquella al pago de las costas”.</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Con fundamento en este itinerario procesal la representación procesal de doña Pilar Díez Rozalén presentó recurso de amparo, que tuvo entrada en el Registro General de este Tribunal el día 1 de diciembre de 2004. En su demanda consideró que las Sentencias de 26 de marzo y de 26 de octubre de 2004 dictadas respectivamente por el Juzgado de lo Contencioso-Administrativo núm. 7 de Valencia y por la Sección Segunda de la Sala de lo Contencioso-Administrativo del Tribunal Superior de Justicia de la Comunidad Valenciana lesionaban su derecho a la tutela judicial efectiva en su vertiente de derecho de acceso a la jurisdicción (art. 24.1 CE). Consideraba también la demandante que las Sentencias recurridas incurrieron en un formalismo excesivo y en un rigorismo contrario a la efectividad del citado derecho fundamental al haber declarado la inadmisibilidad de su recurso contencioso-administrativo por no haber agotado la vía administrativa previa, sin haber tenido en cuenta que la resolución del director gerente del Complejo Educativo de Cheste, que era el acto administrativo que había pretendido anular, había sido dictado por el máximo responsable jerárquico de la recurrente y le había sido notificado de forma defectuosa, al no contener ni la cita de los recursos que podía interponer contra el mismo ni tampoco indicación de los plazos para recurrir y de la autoridad ante la que debía hacerlo, como prescribe el art. 58 LJCA. Esta circunstancia determinó que la demandante no tomara conciencia de que aún no había puesto fin a la vía administrativa y de que tenía que haber interpuesto recurso de alzada. </w:t>
      </w:r>
    </w:p>
    <w:p w:rsidR="0052098F" w:rsidRDefault="0052098F" w:rsidP="0052098F">
      <w:pPr>
        <w:pStyle w:val="TextoNormal"/>
      </w:pPr>
      <w:r>
        <w:t>Por tal motivo ha considerado vulnerado su derecho de acceso a la jurisdicción, toda vez que los órganos judiciales han declarado la conformidad a Derecho de una resolución que no fue notificada en forma y, por tanto, defectuosa, sin que esa omisión de la Administración haya sido tomada en consideración. Los órganos judiciales, por lo tanto, realizaron una aplicación rigurosa del requisito de agotamiento, favoreciendo de este modo la posición de la Administración, que fue la que primeramente incurrió en irregularidad.</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4</w:t>
      </w:r>
      <w:r>
        <w:t>. La Sala Segunda del Tribunal Constitucional, por providencia de 28 de septiembre de 2006, acordó la apertura del trámite de admisión regulado en el art. 50.3 LOTC, concediendo a la parte personada y al Ministerio Fiscal plazo común de diez días para la formulación de alegaciones. El Ministerio Fiscal presentó su escrito el día 16 de octubre de 2006 interesando la inadmisión a trámite de la demanda de amparo. Con fecha 18 de octubre de 2006 doña Pilar Díaz Rozalén presentó escrito de alegaciones en el que reiteró las formuladas en la demanda de amparo. Tras la presentación de ambos escritos, la Sala Segunda del Tribunal Constitucional, mediante resolución de 10 de julio de 2007, acordó admitir a trámite la demanda y, en aplicación de lo dispuesto en el art. 51 LOTC, dirigir sendas comunicaciones a los órganos judiciales competentes para la remisión de certificación o fotocopia adverada de las actuaciones y emplazamiento a quienes hubieran sido parte en el procedimiento, con excepción de la demandante de amparo, para que, si lo desearan, pudiesen comparecer en el plazo de diez días en el presente proceso de amparo. En la misma resolución se acordó recabar de la Consejería de Educación de la Generalidad Valenciana la urgente remisión o copia certificada o adverada del expediente administrativo correspondiente a la asignación de horario del curso 2003/2004 dispuesta por el director gerente del Complejo Educativo de Cheste, de fecha 25 de septiembre de 2003.</w:t>
      </w:r>
    </w:p>
    <w:p w:rsidR="0052098F" w:rsidRDefault="0052098F" w:rsidP="0052098F">
      <w:pPr>
        <w:pStyle w:val="TextoNormal"/>
      </w:pPr>
    </w:p>
    <w:p w:rsidR="0052098F" w:rsidRDefault="0052098F" w:rsidP="0052098F">
      <w:pPr>
        <w:pStyle w:val="TextoNormal"/>
      </w:pPr>
      <w:r w:rsidRPr="0052098F">
        <w:rPr>
          <w:rStyle w:val="NumeroAFNegritaCaracter"/>
        </w:rPr>
        <w:t>5</w:t>
      </w:r>
      <w:r>
        <w:t>. Por diligencia de ordenación de 5 de octubre de 2007 del Secretario de Justicia, la Sala Segunda del Tribunal Constitucional tuvo por personado y parte al Letrado de la Generalitat Valenciana. Por otra parte, habiendo tenido el Tribunal conocimiento del fallecimiento de la recurrente, se concedió a la Procuradora doña Isabel Cañedo Vega plazo de cinco días para que participara a la Sala quiénes eran sus herederos.</w:t>
      </w:r>
    </w:p>
    <w:p w:rsidR="0052098F" w:rsidRDefault="0052098F" w:rsidP="0052098F">
      <w:pPr>
        <w:pStyle w:val="TextoNormal"/>
      </w:pPr>
    </w:p>
    <w:p w:rsidR="0052098F" w:rsidRDefault="0052098F" w:rsidP="0052098F">
      <w:pPr>
        <w:pStyle w:val="TextoNormal"/>
      </w:pPr>
      <w:r w:rsidRPr="0052098F">
        <w:rPr>
          <w:rStyle w:val="NumeroAFNegritaCaracter"/>
        </w:rPr>
        <w:t>6</w:t>
      </w:r>
      <w:r>
        <w:t>. Mediante diligencia de ordenación de 20 diciembre de 2007 se tuvo por personada y parte en el procedimiento a la Procuradora doña Isabel Cañedo Vega en nombre y representación de los herederos de doña Pilar Díaz Rozalén. A tenor de lo dispuesto en el art. 52.1 LOTC se acordó dar vista de las actuaciones recibidas a las partes personadas y al Ministerio Fiscal, por plazo común de veinte días, para que dentro de dicho término pudieran presentar las alegaciones que estimasen pertinentes.</w:t>
      </w:r>
    </w:p>
    <w:p w:rsidR="0052098F" w:rsidRDefault="0052098F" w:rsidP="0052098F">
      <w:pPr>
        <w:pStyle w:val="TextoNormal"/>
      </w:pPr>
    </w:p>
    <w:p w:rsidR="0052098F" w:rsidRDefault="0052098F" w:rsidP="0052098F">
      <w:pPr>
        <w:pStyle w:val="TextoNormal"/>
      </w:pPr>
      <w:r w:rsidRPr="0052098F">
        <w:rPr>
          <w:rStyle w:val="NumeroAFNegritaCaracter"/>
        </w:rPr>
        <w:t>7</w:t>
      </w:r>
      <w:r>
        <w:t>. Por escrito registrado el 25 de enero de 2008 el Abogado de la Generalitat Valenciana presentó escrito de alegaciones. En el mismo interesó la desestimación del recurso de amparo, pues no habiendo interpuesto —como pudo hacerlo— la Sra. Díez recuso de alzada contra la resolución del Director General del Complejo Educativo de Cheste resultaba de aplicación el art. 69 c) de la Ley 29/1998, que establece que la Sentencia declarará la inadmisibilidad del recurso o de algunas pretensiones en aquellos casos en los “que tuviera por objeto disposiciones, actos o actuaciones susceptibles de impugnación”. En atención a lo anterior no puede afirmarse que las resoluciones judiciales impugnadas hayan vulnerado el derecho a la tutela judicial efectiva de la recurrente (art. 24.1 CE).</w:t>
      </w:r>
    </w:p>
    <w:p w:rsidR="0052098F" w:rsidRDefault="0052098F" w:rsidP="0052098F">
      <w:pPr>
        <w:pStyle w:val="TextoNormal"/>
      </w:pPr>
    </w:p>
    <w:p w:rsidR="0052098F" w:rsidRDefault="0052098F" w:rsidP="0052098F">
      <w:pPr>
        <w:pStyle w:val="TextoNormal"/>
      </w:pPr>
      <w:r w:rsidRPr="0052098F">
        <w:rPr>
          <w:rStyle w:val="NumeroAFNegritaCaracter"/>
        </w:rPr>
        <w:t>8</w:t>
      </w:r>
      <w:r>
        <w:t>. El 29 de enero de 2008 tuvo entrada en este Tribunal escrito de alegaciones presentado por la representación procesal de don Francisco Justicia Sánchez y sus hijos, don Guillermo Justicia Díaz y doña Marta Justicia Díaz, herederos de doña Pilar Díaz Rozalén, insistiendo en las alegaciones mantenidas con anterioridad en su recurso de amparo.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9</w:t>
      </w:r>
      <w:r>
        <w:t xml:space="preserve">. Por escrito de 5 de febrero de 2008 el Ministerio Fiscal presentó escrito de alegaciones, interesando la desestimación del amparo. En su escrito, el Ministerio Fiscal señala, en primer lugar, que, de acuerdo con el art. 25 LJCA, la jurisdicción contencioso-administrativa tiene un carácter subsidiario respecto de la vía administrativa, siendo así que los órganos de la jurisdicción contencioso-administrativa tan sólo pueden llevar a efecto su función revisora de los actos administrativos cuando el interesado haya formulado previamente todos los recursos administrativos y dado oportunidad a la Administración de corregir aquellos actos que hayan sido dictados sin ser conformes a derecho. </w:t>
      </w:r>
    </w:p>
    <w:p w:rsidR="0052098F" w:rsidRDefault="0052098F" w:rsidP="0052098F">
      <w:pPr>
        <w:pStyle w:val="TextoNormal"/>
      </w:pPr>
      <w:r>
        <w:t xml:space="preserve">En segundo lugar, el Ministerio Fiscal señala que, en el presente caso, las resoluciones adoptadas por los órganos judiciales se apoyan en los artículos 25 y 28 LJCA, por lo que no pueden ser consideradas como arbitrarias, manifiestamente irrazonables o incursas en error patente. El principio pro actione que opera con especial intensidad cuando se trata del acceso a la jurisdicción no permite a los tribunales desconocer los presupuestos y requisitos establecidos por el legislador. </w:t>
      </w:r>
    </w:p>
    <w:p w:rsidR="0052098F" w:rsidRDefault="0052098F" w:rsidP="0052098F">
      <w:pPr>
        <w:pStyle w:val="TextoNormal"/>
      </w:pPr>
      <w:r>
        <w:t>Finalmente, el Ministerio Fiscal considera que no se ha producido la indefensión alegada por la recurrente en amparo. En primer lugar, porque la resolución administrativa no contenía una indicación errónea de recursos, sino que en el presente caso hubo una omisión de referencia de los mismos. Así las cosas, la interesada podía haber interesado de la Autoridad que dictó el acto que se proponía recurrir que le indicara qué recursos cabía interponer contra el mismo, lo que no hizo. En segundo lugar, la demandante era funcionaria de carrera y conocía, por lo tanto, al menos en sus lineamientos más generales, la normativa administrativa correspondiente, como lo demuestra el hecho de que fuera ella, sin necesidad de Letrado que le asistiera, la que sostuvo sus pretensiones en la vía judicial, por tratarse de una cuestión de personal. En atención a lo anterior considera el Ministerio Fiscal que, en el presente caso, no cabe entender que la irregularidad señalada le haya generado la efectiva y material indefensión de la actora.</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10 de abril de 2008, se señaló para deliberación y votación de la presente Sentencia el día 14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F10479">
        <w:rPr>
          <w:rStyle w:val="NumeroAFNegritaCaracter"/>
        </w:rPr>
        <w:t>Único.</w:t>
      </w:r>
      <w:r>
        <w:t xml:space="preserve"> Conforme se ha expuesto en los antecedentes, la demandante de amparo falleció sobrevenidamente a que promoviera el amparo constitucional, dándose la circunstancia de que sus herederos tomaron parte en las sucesivas actuaciones.</w:t>
      </w:r>
    </w:p>
    <w:p w:rsidR="0052098F" w:rsidRDefault="0052098F" w:rsidP="0052098F">
      <w:pPr>
        <w:pStyle w:val="TextoNormal"/>
      </w:pPr>
      <w:r>
        <w:t>La sucesión procesal por las recurrentes en la personalísima acción en defensa de los derechos fundamentales está implícitamente prevista en el art. 162.1 b) CE que se refiere a quien invoque un interés legítimo. En efecto, como dijimos en los AATC 1193/1988, de 24 de octubre, y 58/2000, de 28 de febrero, la legitimación activa se sustenta fundamentalmente “en la posesión de un interés legítimo, categoría más amplia que la de derecho subjetivo y la de interés directo y, por tanto, la legitimación se concede a toda persona cuyo círculo jurídico pueda resultar afectado por la violación de un derecho fundamental aunque la violación no se haya producido directamente en su contra”.</w:t>
      </w:r>
    </w:p>
    <w:p w:rsidR="0052098F" w:rsidRDefault="0052098F" w:rsidP="0052098F">
      <w:pPr>
        <w:pStyle w:val="TextoNormal"/>
      </w:pPr>
      <w:r>
        <w:t>Sin embargo, en el presente caso, las consecuencias de las resoluciones judiciales que se impugnan alcanzaron exclusivamente a la persona sobre la que recayeron de modo inmediato, sin proyectarse negativamente también sobre aquéllas en quienes concurre la condición de herederos de la originaria demandante de amparo.</w:t>
      </w:r>
    </w:p>
    <w:p w:rsidR="0052098F" w:rsidRDefault="0052098F" w:rsidP="0052098F">
      <w:pPr>
        <w:pStyle w:val="TextoNormal"/>
      </w:pPr>
      <w:r>
        <w:lastRenderedPageBreak/>
        <w:t>Consecuentemente procede afirmar que, a raíz del fallecimiento de la Sra. Díaz Rozalén, se ha producido la desaparición sobrevenida del objeto del proceso, toda vez que sus herederos no ostentan un interés legítimo en el mismo, pues la eventual nulidad de las resoluciones impugnadas determinarían que los órganos judiciales consideraran de nuevo la admisibilidad del recurso contencioso-administrativo que interpuso la Sra. Díaz Rozalén a los efectos de impugnar el cambio de horario que se le había impuesto.</w:t>
      </w:r>
    </w:p>
    <w:p w:rsidR="0052098F" w:rsidRDefault="0052098F" w:rsidP="0052098F">
      <w:pPr>
        <w:pStyle w:val="TextoNormal"/>
      </w:pPr>
      <w:r>
        <w:t>Como hemos afirmado en la STC 13/2005, de 31 de enero, FJ 2, y en la STC 128/2006, de 24 de abril, FJ 2, “la desaparición sobrevenida del objeto del proceso, aun cuando no contemplada expresamente en el art. 86.1 LOTC, ha sido admitida por este Tribunal como forma de terminación de los distintos procesos constitucionales (AATC 282/2003, de 15 de septiembre, y 30/2004, de 9 de febrero)”.</w:t>
      </w:r>
    </w:p>
    <w:p w:rsidR="0052098F" w:rsidRDefault="0052098F" w:rsidP="0052098F">
      <w:pPr>
        <w:pStyle w:val="TextoNormal"/>
      </w:pPr>
      <w:r>
        <w:t>Dado que el recurso de amparo constituye un remedio jurisdiccional idóneo únicamente para la reparación de lesiones singulares y efectivas de los derechos fundamentales, procede concluir que desde que se produjo de forma sobrevenida a la presentación de la demanda, el fallecimiento de la recurrente en amparo, el presente recurso carece de objeto sobre el que deba pronunciarse este Tribunal (por todos, ATC 156/2003, de 19 de mayo, FJ 5).</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Declarar extinguido por desaparición de objeto el recurso de amparo núm. 7253-2004.</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Madrid, a catorce de abril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7" w:name="SENTENCIA_2008_54"/>
      <w:r>
        <w:lastRenderedPageBreak/>
        <w:t>SENTENCIA 54/2008, de 14 de abril de 2008</w:t>
      </w:r>
    </w:p>
    <w:bookmarkEnd w:id="57"/>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117, de 14 de mayo de 2008)</w:t>
      </w:r>
    </w:p>
    <w:p w:rsidR="0052098F" w:rsidRDefault="0052098F" w:rsidP="0052098F">
      <w:pPr>
        <w:pStyle w:val="TtuloBOE"/>
      </w:pPr>
    </w:p>
    <w:p w:rsidR="0052098F" w:rsidRDefault="0052098F" w:rsidP="0052098F">
      <w:pPr>
        <w:pStyle w:val="SntesisDescriptiva"/>
      </w:pPr>
      <w:r>
        <w:t>ECLI:ES:TC:2008:54</w:t>
      </w:r>
    </w:p>
    <w:p w:rsidR="0052098F" w:rsidRDefault="0052098F" w:rsidP="0052098F">
      <w:pPr>
        <w:pStyle w:val="SntesisDescriptiva"/>
      </w:pPr>
    </w:p>
    <w:p w:rsidR="0052098F" w:rsidRDefault="0052098F" w:rsidP="0052098F">
      <w:pPr>
        <w:pStyle w:val="SntesisDescriptiva"/>
      </w:pPr>
      <w:r>
        <w:t>Recurso de amparo 2381-2005. Promovido por don Santiago Espinosa Blanco respecto a la Sentencia de un Juzgado de lo Contencioso-Administrativo de Madrid que desestimó su demanda contra el Ayuntamiento sobre multa por incumplimiento del deber de identificar al conductor de un vehículo con el que se cometió una infracción de tráfico.</w:t>
      </w:r>
    </w:p>
    <w:p w:rsidR="0052098F" w:rsidRDefault="0052098F" w:rsidP="0052098F">
      <w:pPr>
        <w:pStyle w:val="SntesisDescriptiva"/>
      </w:pPr>
    </w:p>
    <w:p w:rsidR="0052098F" w:rsidRDefault="0052098F" w:rsidP="0052098F">
      <w:pPr>
        <w:pStyle w:val="SntesisAnaltica"/>
      </w:pPr>
      <w:r>
        <w:t>Vulneración del derecho a la legalidad penal: sanción administrativa al titular de un vehículo de motor mal estacionado por no identificar suficientemente a un conductor residente en el extranjero que carece de fundamento razonable en la infracción administrativa aplicada.</w:t>
      </w:r>
    </w:p>
    <w:p w:rsidR="0052098F" w:rsidRDefault="0052098F" w:rsidP="0052098F">
      <w:pPr>
        <w:pStyle w:val="SntesisAnaltica"/>
      </w:pPr>
    </w:p>
    <w:p w:rsidR="0052098F" w:rsidRDefault="0052098F" w:rsidP="0052098F">
      <w:pPr>
        <w:pStyle w:val="Extracto"/>
      </w:pPr>
      <w:r>
        <w:t>1.</w:t>
      </w:r>
      <w:r>
        <w:tab/>
        <w:t>La motivación de las resoluciones administrativa y judicial impugnadas, al exigir al recurrente que acreditase la presencia en Madrid del conductor de su vehículo en las fechas en las que se cometió la infracción, así como que era en realidad el conductor, no responden a una argumentación lógica ni razonable que permita subsumir la conducta del recurrente en el tipo aplicado [FJ 6].</w:t>
      </w:r>
    </w:p>
    <w:p w:rsidR="0052098F" w:rsidRDefault="0052098F" w:rsidP="0052098F">
      <w:pPr>
        <w:pStyle w:val="Extracto"/>
      </w:pPr>
    </w:p>
    <w:p w:rsidR="0052098F" w:rsidRDefault="0052098F" w:rsidP="0052098F">
      <w:pPr>
        <w:pStyle w:val="Extracto"/>
      </w:pPr>
      <w:r>
        <w:t>2.</w:t>
      </w:r>
      <w:r>
        <w:tab/>
        <w:t>Ni la norma exigía expresamente que se facilitaran estos concretos datos, aun tratándose de una persona residente en el extranjero, ni, conforme al modelo de argumentación aceptado en la comunidad jurídica, cabe extraer tal exigencia de la misma [FJ 6].</w:t>
      </w:r>
    </w:p>
    <w:p w:rsidR="0052098F" w:rsidRDefault="0052098F" w:rsidP="0052098F">
      <w:pPr>
        <w:pStyle w:val="Extracto"/>
      </w:pPr>
    </w:p>
    <w:p w:rsidR="0052098F" w:rsidRDefault="0052098F" w:rsidP="0052098F">
      <w:pPr>
        <w:pStyle w:val="Extracto"/>
      </w:pPr>
      <w:r>
        <w:t>3.</w:t>
      </w:r>
      <w:r>
        <w:tab/>
        <w:t>La actuación del recurrente en amparo ha sido congruente con la obligación legal de identificar al conductor supuestamente responsable, y la inactividad de la Administración, que ni siquiera ha intentado dirigir el procedimiento sancionador contra éste, no hace sino abundar en lo irrazonable que resultaría a tenor del art. 72.3 LSV imputar al titular del vehículo que no se dirija el procedimiento sancionador contra la persona que ha identificado como conductor [FJ 6].</w:t>
      </w:r>
    </w:p>
    <w:p w:rsidR="0052098F" w:rsidRDefault="0052098F" w:rsidP="0052098F">
      <w:pPr>
        <w:pStyle w:val="Extracto"/>
      </w:pPr>
    </w:p>
    <w:p w:rsidR="0052098F" w:rsidRDefault="0052098F" w:rsidP="0052098F">
      <w:pPr>
        <w:pStyle w:val="Extracto"/>
      </w:pPr>
      <w:r>
        <w:t>4.</w:t>
      </w:r>
      <w:r>
        <w:tab/>
        <w:t>Reitera la doctrina constitucional sobre la vulneración del principio de legalidad penal por parte de resoluciones sancionadoras ilógicas o extravagantes de la STC 111/2004 [FJ 4].</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lastRenderedPageBreak/>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2381-2005, promovido por don Santiago Espinosa Blanco, representado por la Procuradora de los Tribunales doña Ana Llorens Pardo y asistido por la Letrada doña María Begoña García Melero, contra la resolución del Ayuntamiento de Madrid de 16 de junio de 2004 dictada en el expediente núm. 10665568.1 sobre incumplimiento por el propietario de un vehículo a motor de su obligación de identificar al conductor responsable de una infracción de tráfico, confirmada por la Sentencia del Juzgado de lo Contencioso-Administrativo núm. 1 de Madrid núm. 66/2005, de 11 de febrero, recaída en el procedimiento abreviado núm. 517-2004. Han comparecido y formulado alegaciones el Ayuntamiento de Madrid, representado por el Procurador de los Tribunales don José Manuel Fernández Castro y asistido por el Letrado don Antonio Cabrero Martínez, y el Ministerio Fiscal. Ha actuado como Ponente el Magistrado don Vicente Conde Martín de Hijas,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del Tribunal Constitucional el día 5 de abril de 2005 doña Ana Llorens Pardo, Procuradora de los Tribunales, en nombre y representación de don Santiago Espinosa Blanco, interpuso recurso de amparo contra las resoluciones administrativa y judicial a las que se ha hecho mención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En la demanda de amparo se contiene la relación de antecedentes fácticos que a continuación sucintamente se extracta: </w:t>
      </w:r>
    </w:p>
    <w:p w:rsidR="0052098F" w:rsidRDefault="0052098F" w:rsidP="0052098F">
      <w:pPr>
        <w:pStyle w:val="TextoNormal"/>
      </w:pPr>
      <w:r>
        <w:t xml:space="preserve">a) En el mes de octubre de 2003 le fue notificada al demandante de amparo una denuncia del Ayuntamiento de Madrid por encontrarse su vehículo indebidamente estacionado el día 16 de agosto de 2003, con apercibimiento de una sanción de 42 €. </w:t>
      </w:r>
    </w:p>
    <w:p w:rsidR="0052098F" w:rsidRDefault="0052098F" w:rsidP="0052098F">
      <w:pPr>
        <w:pStyle w:val="TextoNormal"/>
      </w:pPr>
      <w:r>
        <w:t xml:space="preserve">b) Dado que en esas fechas el demandante de amparo había dejado su coche a un conocido de nacionalidad francesa, que había venido de vacaciones a Madrid, procedió, de acuerdo con lo que se le indicaba en el impreso remitido por el Ayuntamiento, a identificar debidamente y con todos los datos al conductor del vehículo en el momento de producirse la infracción, incluidos su domicilio y su número de permiso de conducir. </w:t>
      </w:r>
    </w:p>
    <w:p w:rsidR="0052098F" w:rsidRDefault="0052098F" w:rsidP="0052098F">
      <w:pPr>
        <w:pStyle w:val="TextoNormal"/>
      </w:pPr>
      <w:r>
        <w:t xml:space="preserve">c) El Ayuntamiento de Madrid le requirió para que aportase fotocopia de la autorización administrativa de conducir de dicho conductor y prueba de que era efectivamente quien conducía el vehículo en el momento de la infracción. </w:t>
      </w:r>
    </w:p>
    <w:p w:rsidR="0052098F" w:rsidRDefault="0052098F" w:rsidP="0052098F">
      <w:pPr>
        <w:pStyle w:val="TextoNormal"/>
      </w:pPr>
      <w:r>
        <w:t xml:space="preserve">El demandante de amparo, tras ponerse en contacto con el conductor e indicarle éste que reconocía la infracción y que estaba dispuesto a hacer frente a la sanción si era requerido por el Ayuntamiento, pero que no le enviaba copia de su permiso de conducir por tratarse de un documento personal, presentó ante el Ayuntamiento un escrito de alegaciones en el </w:t>
      </w:r>
      <w:r>
        <w:lastRenderedPageBreak/>
        <w:t xml:space="preserve">que solicitó que se dirigiera al conductor del vehículo en la dirección que ya le había facilitado, exponiendo que carecía de otros medios para probar quién era el conductor del vehículo en el momento de la infracción. </w:t>
      </w:r>
    </w:p>
    <w:p w:rsidR="0052098F" w:rsidRDefault="0052098F" w:rsidP="0052098F">
      <w:pPr>
        <w:pStyle w:val="TextoNormal"/>
      </w:pPr>
      <w:r>
        <w:t xml:space="preserve">d) El Ayuntamiento incoó al demandante de amparo expediente sancionador por incumplir la obligación de identificar en tiempo y forma al conductor responsable de la infracción (art. 72.3 LSV), en el que se rechazaron todas las alegaciones de aquél y concluyó por resolución de 16 de junio de 2004, en la que se impuso una sanción de 301 €. </w:t>
      </w:r>
    </w:p>
    <w:p w:rsidR="0052098F" w:rsidRDefault="0052098F" w:rsidP="0052098F">
      <w:pPr>
        <w:pStyle w:val="TextoNormal"/>
      </w:pPr>
      <w:r>
        <w:t>e) El demandante de amparo interpuso recurso contencioso-administrativo contra la anterior resolución, que fue desestimado por la Sentencia del Juzgado de lo Contencioso-Administrativo núm. 1 de Madrid núm. 66/2005, de 11 de febrero.</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En la fundamentación jurídica de la demanda de amparo se invocan las siguientes infracciones de derechos fundamentales: </w:t>
      </w:r>
    </w:p>
    <w:p w:rsidR="0052098F" w:rsidRDefault="0052098F" w:rsidP="0052098F">
      <w:pPr>
        <w:pStyle w:val="TextoNormal"/>
      </w:pPr>
      <w:r>
        <w:t xml:space="preserve">a) Se aduce, en primer lugar, la vulneración del derecho a no ser condenado o sancionado por acciones u omisiones que en el momento de producirse no constituyan delito, falta o infracción administrativa según la legislación vigente en aquel momento (art. 25.1 CE). </w:t>
      </w:r>
    </w:p>
    <w:p w:rsidR="0052098F" w:rsidRDefault="0052098F" w:rsidP="0052098F">
      <w:pPr>
        <w:pStyle w:val="TextoNormal"/>
      </w:pPr>
      <w:r>
        <w:t xml:space="preserve">Frente a la fundamentación de la Sentencia impugnada se sostiene en la demanda que el órgano judicial no ha tenido en cuenta que cuando el recurrente tuvo la primera noticia de la infracción de tráfico cometida con su vehículo habían transcurrido casi dos meses desde el día de la denuncia, con lo que cualquier posibilidad de prueba quedaba muy mermada, pues, aunque el conductor del vehículo hubiera querido facilitar el billete de avión, lo normal es que no lo conservase ya. Además el demandante le solicitó al conductor, al requerirlo el Ayuntamiento, copia de su permiso de conducir, que aquél se negó a facilitarle, por lo que evidentemente la prueba no estaba en manos del recurrente, sino de un tercero, de modo que la prueba sí era diabólica para aquél. </w:t>
      </w:r>
    </w:p>
    <w:p w:rsidR="0052098F" w:rsidRDefault="0052098F" w:rsidP="0052098F">
      <w:pPr>
        <w:pStyle w:val="TextoNormal"/>
      </w:pPr>
      <w:r>
        <w:t xml:space="preserve">De otra parte, la Sentencia parece desconocer la existencia de la Unión Europea y sus principios, en concreto, la libre circulación de mercancías y personas, e incluso la existencia de moneda única. Por ello carecen de sentido las referencias que hace al pasaporte o visado del conductor o a un documento bancario de cambio de moneda, ya que al tratarse de un ciudadano francés no son necesarios ni el pasaporte o visado ni el cambio de moneda. </w:t>
      </w:r>
    </w:p>
    <w:p w:rsidR="0052098F" w:rsidRDefault="0052098F" w:rsidP="0052098F">
      <w:pPr>
        <w:pStyle w:val="TextoNormal"/>
      </w:pPr>
      <w:r>
        <w:t xml:space="preserve">Al margen de las consideraciones anteriores, lo importante en este caso es el hecho de que, ni el art. 72.3 LSV, ni el art. 95 de la Ordenanza municipal de circulación dictada en desarrollo, exigen con ocasión del deber del propietario del vehículo de identificar al conductor infractor la obligación de probar que la persona identificada como tal era la conductora en el momento de producirse la infracción, máxime cuando, además de ser la prueba prácticamente imposible, la Administración no ha desplegado la más mínima actividad instructora encaminada a notificar la infracción al conductor identificado, pese a haber sido requerida a tal fin por el demandante de amparo. Tanto el Ayuntamiento como el órgano judicial han llevado a cabo una interpretación extensiva de la infracción administrativa que conculca el art. 25.1 CE, ya que en este caso la legislación vigente no establece la obligación de aportar copia del permiso de conducción del conductor (como exigía el Ayuntamiento), ni la obligación de aportar otra documentación complementaria o prueba de la identidad del conductor (como exige la Sentencia), ni establece que la falta de esa documentación adicional o prueba constituya una infracción administrativa. </w:t>
      </w:r>
    </w:p>
    <w:p w:rsidR="0052098F" w:rsidRDefault="0052098F" w:rsidP="0052098F">
      <w:pPr>
        <w:pStyle w:val="TextoNormal"/>
      </w:pPr>
      <w:r>
        <w:t xml:space="preserve">b) En estrecha conexión con la denunciada infracción del art. 25.1 CE se alega en la demanda de amparo la vulneración del derecho a la presunción de inocencia (art. 24.2 CE), ya que pese a que el recurrente ha aportado todos los datos identificativos del conductor del </w:t>
      </w:r>
      <w:r>
        <w:lastRenderedPageBreak/>
        <w:t xml:space="preserve">vehículo, por parte de la Administración no se ha dirigido contra éste el expediente sancionador, lo que denota una total falta de respeto a la presunción de inocencia del demandante de amparo. En definitiva, el recurrente ha sido considerado como autor de una infracción prevista en el art. 72.3 LSV sin ninguna actividad probatoria de cargo. </w:t>
      </w:r>
    </w:p>
    <w:p w:rsidR="0052098F" w:rsidRDefault="0052098F" w:rsidP="0052098F">
      <w:pPr>
        <w:pStyle w:val="TextoNormal"/>
      </w:pPr>
      <w:r>
        <w:t xml:space="preserve">c) En tercer lugar, en la demanda de amparo se denuncia la lesión del derecho a la tutela judicial efectiva (art. 24.1 CE), al incurrir la Sentencia recurrida en incongruencia, ya que no se ha resuelto la alegación del recurrente efectuada con ocasión del recurso contencioso-administrativo sobre la violación del principio de legalidad penal (art. 25.1 CE). </w:t>
      </w:r>
    </w:p>
    <w:p w:rsidR="0052098F" w:rsidRDefault="0052098F" w:rsidP="0052098F">
      <w:pPr>
        <w:pStyle w:val="TextoNormal"/>
      </w:pPr>
      <w:r>
        <w:t xml:space="preserve">d) Y, por último, en la demanda se invoca la vulneración del principio de igualdad (art. 14 CE), ya que el órgano judicial se pronunciado en sentido distinto, sin haberla tenido en cuenta, a la STC 111/2004, de 12 de julio. </w:t>
      </w:r>
    </w:p>
    <w:p w:rsidR="0052098F" w:rsidRDefault="0052098F" w:rsidP="0052098F">
      <w:pPr>
        <w:pStyle w:val="TextoNormal"/>
      </w:pPr>
      <w:r>
        <w:t>Concluye el escrito de demanda suplicando del Tribunal Constitucional que, tras los trámites oportunos, dicte Sentencia en la que se otorgue el amparo solicitado y se declare la nulidad de la resolución del Ayuntamiento de Madrid de 16 de junio de 2004 y de la Sentencia del Juzgado de lo Contencioso-Administrativo núm. 1 de Madrid núm. 66/2005, de 11 de febrero, la suspensión de cuya ejecución se interesa, de conformidad con lo dispuesto en el art. 56 LOTC.</w:t>
      </w:r>
    </w:p>
    <w:p w:rsidR="0052098F" w:rsidRDefault="0052098F" w:rsidP="0052098F">
      <w:pPr>
        <w:pStyle w:val="TextoNormal"/>
      </w:pPr>
    </w:p>
    <w:p w:rsidR="0052098F" w:rsidRDefault="0052098F" w:rsidP="0052098F">
      <w:pPr>
        <w:pStyle w:val="TextoNormal"/>
      </w:pPr>
      <w:r w:rsidRPr="0052098F">
        <w:rPr>
          <w:rStyle w:val="NumeroAFNegritaCaracter"/>
        </w:rPr>
        <w:t>4</w:t>
      </w:r>
      <w:r>
        <w:t>. La Sala Segunda del Tribunal Constitucional, por providencia de 20 de febrero de 2007, acordó admitir la demanda y, en aplicación de lo dispuesto en el art. 51 LOTC, dirigió sendas comunicaciones a la Concejalía de Gobierno de Seguridad y Servicios a la Comunidad del Ayuntamiento de Madrid y al Juzgado de lo Contencioso-Administrativo núm. 1 de Madrid, a fin de que, a la mayor brevedad posible, remitieran, respectivamente, certificación o fotocopia adverada de las actuaciones correspondientes al expediente administrativo R16012911 y al procedimiento abreviado núm. 517-2004, debiendo el órgano judicial emplazar previamente a quienes hubieran sido parte en el procedimiento, a excepción del demandante de amparo, para que en el plazo de diez días pudieran comparecer, si lo deseasen, en este recurso de amparo.</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La Sala Segunda del Tribunal Constitucional, por providencia de 20 de febrero de 2007, acordó formar la oportuna pieza para la tramitación del incidente de suspensión y, de conformidad con lo dispuesto en el art. 56 LOTC, concedió un plazo común de tres días a la parte recurrente y al Ministerio Fiscal para que alegasen lo que estimaren procedente sobre la suspensión solicitada. </w:t>
      </w:r>
    </w:p>
    <w:p w:rsidR="0052098F" w:rsidRDefault="0052098F" w:rsidP="0052098F">
      <w:pPr>
        <w:pStyle w:val="TextoNormal"/>
      </w:pPr>
      <w:r>
        <w:t>Evacuado el trámite de alegaciones conferido, la Sala por ATC 412/2007, de 5 de noviembre, tuvo a la parte recurrente desistida de su petición de suspensión.</w:t>
      </w:r>
    </w:p>
    <w:p w:rsidR="0052098F" w:rsidRDefault="0052098F" w:rsidP="0052098F">
      <w:pPr>
        <w:pStyle w:val="TextoNormal"/>
      </w:pPr>
    </w:p>
    <w:p w:rsidR="0052098F" w:rsidRDefault="0052098F" w:rsidP="0052098F">
      <w:pPr>
        <w:pStyle w:val="TextoNormal"/>
      </w:pPr>
      <w:r w:rsidRPr="0052098F">
        <w:rPr>
          <w:rStyle w:val="NumeroAFNegritaCaracter"/>
        </w:rPr>
        <w:t>6</w:t>
      </w:r>
      <w:r>
        <w:t>. Por diligencia de ordenación de la Secretaría de la Sala Segunda del Tribunal Constitucional, de 28 de noviembre de 2007, se tuvo por personado y parte en el procedimiento al Ayuntamiento de Madrid, representado por el Procurador de los Tribunales don José Manuel Fernández de Castro, y se acordó dar vista de las actuaciones recibidas a las partes personadas y al Ministerio Fiscal, por plazo común de veinte días, dentro de los cuales pudieron efectuar las alegaciones que tuvieron por conveniente, de conformidad con lo dispuesto en el art. 52.1 LOTC.</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7</w:t>
      </w:r>
      <w:r>
        <w:t>. La representación procesal del recurrente en amparo evacuó el trámite de alegaciones conferido mediante escrito registrado en fecha 3 de enero de 2008, en el que dio por reproducidas las efectuadas en la demanda.</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La representación procesal del Ayuntamiento de Madrid evacuó el trámite de alegaciones conferido mediante escrito registrado en fecha 11 de enero de 2008, que en lo sustancial a continuación se resume: </w:t>
      </w:r>
    </w:p>
    <w:p w:rsidR="0052098F" w:rsidRDefault="0052098F" w:rsidP="0052098F">
      <w:pPr>
        <w:pStyle w:val="TextoNormal"/>
      </w:pPr>
      <w:r>
        <w:t xml:space="preserve">a) En relación con la denunciada infracción del art. 25.1 CE, argumenta que el deber impuesto por el art. 72.3 LSV lo es de identificar verazmente. Es cierto que no se expone en el texto legal el modo en que debe realizarse dicha identificación para que pueda ser veraz, pero también lo es que la posibilidad de efectuar una primera comprobación partiendo de los archivos y padrones municipales es imposible en el caso de un extranjero no residente en España, así como que el principio de las relaciones entre las Administraciones públicas (art. 4 LRJAP) tiene como ámbito territorial el nacional, lo que dificulta sobremanera la notificación a extranjeros. </w:t>
      </w:r>
    </w:p>
    <w:p w:rsidR="0052098F" w:rsidRDefault="0052098F" w:rsidP="0052098F">
      <w:pPr>
        <w:pStyle w:val="TextoNormal"/>
      </w:pPr>
      <w:r>
        <w:t xml:space="preserve">En todo caso no puede prosperar la alegación del recurrente en amparo, ya que no ha sido sancionado por no aportar un dato o documento en concreto, sino por la falta de veracidad en la identificación, lo que sí esta previsto en la normativa administrativa de aplicación. </w:t>
      </w:r>
    </w:p>
    <w:p w:rsidR="0052098F" w:rsidRDefault="0052098F" w:rsidP="0052098F">
      <w:pPr>
        <w:pStyle w:val="TextoNormal"/>
      </w:pPr>
      <w:r>
        <w:t xml:space="preserve">b) A continuación el Letrado del Ayuntamiento de Madrid alega sobre la exigencia de motivación de los actos administrativos, que en este caso entiende que se satisface, ya que, aunque escueta, la motivación de la resolución impugnada es suficiente, a la vista de los informes y de las alegaciones del recurrente, para conocer las razones de la decisión adoptada y la normativa de aplicación. </w:t>
      </w:r>
    </w:p>
    <w:p w:rsidR="0052098F" w:rsidRDefault="0052098F" w:rsidP="0052098F">
      <w:pPr>
        <w:pStyle w:val="TextoNormal"/>
      </w:pPr>
      <w:r>
        <w:t xml:space="preserve">c) Por lo que se refiere a la denunciada lesión del derecho a la presunción de inocencia (art. 24.2 CE) argumenta que cada vez es práctica más frecuente por parte de los propietarios de los vehículos con los que se comete alguna infracción alegar que se cedieron temporalmente a ciudadanos residentes en el extranjero, lo que ha llevado al Ayuntamiento a intensificar las exigencias de justificación de los datos de dichos conductores a efectos de garantizar la veracidad en la identificación que exige el art. 72.3 LSV. </w:t>
      </w:r>
    </w:p>
    <w:p w:rsidR="0052098F" w:rsidRDefault="0052098F" w:rsidP="0052098F">
      <w:pPr>
        <w:pStyle w:val="TextoNormal"/>
      </w:pPr>
      <w:r>
        <w:t xml:space="preserve">En este caso ha habido prueba dotada de fuerza suficiente para enervar la presunción de inocencia, derivada de la insuficiencia probatoria apreciada por la Administración de las manifestaciones de contrario, con apariencia subjetiva y aleatoria, pues resulta muy insuficiente la enunciación de un nombre y un apellido, una dirección y una población de cualquier lugar del mundo, sin una mínima actividad probatoria del interesado de que, cuanto menos, el señalado como conductor se encontraba en España el día de la infracción. </w:t>
      </w:r>
    </w:p>
    <w:p w:rsidR="0052098F" w:rsidRDefault="0052098F" w:rsidP="0052098F">
      <w:pPr>
        <w:pStyle w:val="TextoNormal"/>
      </w:pPr>
      <w:r>
        <w:t xml:space="preserve">d) La representación procesal del Ayuntamiento de Madrid considera que no se ha producido la incongruencia que se imputa a la Sentencia, pues en ella se da respuesta a la pretensión anulatoria del recurrente, ni tampoco la denunciada vulneración del principio de igualdad (art. 14 CE), ya que la Sentencia que se invoca no es aplicable a este caso. </w:t>
      </w:r>
    </w:p>
    <w:p w:rsidR="0052098F" w:rsidRDefault="0052098F" w:rsidP="0052098F">
      <w:pPr>
        <w:pStyle w:val="TextoNormal"/>
      </w:pPr>
      <w:r>
        <w:t>Concluye su escrito de alegaciones suplicando del Tribunal Constitucional que dicte Sentencia en la que se deniegue el amparo solicitado.</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Ministerio Fiscal evacuó el trámite de alegaciones conferido mediante escrito registrado en fecha 24 de enero de 2008, que, en lo sustancial, a continuación se resume: </w:t>
      </w:r>
    </w:p>
    <w:p w:rsidR="0052098F" w:rsidRDefault="0052098F" w:rsidP="0052098F">
      <w:pPr>
        <w:pStyle w:val="TextoNormal"/>
      </w:pPr>
      <w:r>
        <w:t>a) La cuestión central planteada en el presente recurso gira en torno a la denunciada infracción del principio de legalidad penal en materia sancionadora por las resoluciones im</w:t>
      </w:r>
      <w:r>
        <w:lastRenderedPageBreak/>
        <w:t xml:space="preserve">pugnadas, tanto administrativa como judicial. Tras reproducir la doctrina constitucional sobre el mencionado derecho fundamental y el canon de control de las resoluciones sancionadoras al respecto, el Ministerio Fiscal procede a continuación a examinar si aquellas resoluciones satisfacen dicho canon. </w:t>
      </w:r>
    </w:p>
    <w:p w:rsidR="0052098F" w:rsidRDefault="0052098F" w:rsidP="0052098F">
      <w:pPr>
        <w:pStyle w:val="TextoNormal"/>
      </w:pPr>
      <w:r>
        <w:t xml:space="preserve">Para ello comienza por señalar que el art. 72.3 LSV, en la redacción dada por la Ley 19/2001, de 19 de diciembre, resultaba del siguiente tenor: “El titular del vehículo, debidamente requerido para ello, tiene el deber de identificar al conductor responsable de la infracción y si incumpliere esta obligación en el trámite procedimental oportuno sin causa justificativa, será sancionado pecuniariamente como autor de falta grave, cuya sanción se impondrá en su máxima cuantía. En los mismos términos responderá el titular del vehículo cuando no sea posible notificar la denuncia al conductor que aquél identifique, por causa imputable a dicho titular”. </w:t>
      </w:r>
    </w:p>
    <w:p w:rsidR="0052098F" w:rsidRDefault="0052098F" w:rsidP="0052098F">
      <w:pPr>
        <w:pStyle w:val="TextoNormal"/>
      </w:pPr>
      <w:r>
        <w:t xml:space="preserve">En este caso la resolución administrativa sancionadora consideró insuficientes los datos aportados por el demandante de amparo, ya que, no sólo no había acreditado que la persona identificada como conductor era la que conducía el vehículo, sino ni siquiera que hubiese estado en Madrid el día de la denuncia, por lo que la información facilitada no se ajustaba a las exigencias legales. No existe constancia en el expediente administrativo de actuación administrativa alguna tendente a comunicar con la persona identificada por el demandante que se hubiese visto frustrada, lo que revela que la escueta motivación del acto administrativo no responde a una argumentación lógica que permita subsumir la conducta del recurrente en el tipo aplicado, toda vez que, ni la norma exigía expresamente que se facilitara el documento inicialmente requerido, ni que se probase la conducción ajena, ni, conforme a los modelos de argumentación adoptados por la comunidad jurídica, cabe extraer tales exigencias de su tenor literal, una vez que se había indicado a la Administración el nombre, los dos apellidos y el domicilio del conductor, e incluso su número de licencia administrativa de conducción. En principio esta información, sin que las circunstancias concurrentes permitan presumir otra cosa, parece, de una parte, que supone una respuesta congruente con el deber de identificar al conductor que impone el art. 72.3 LSV, y, de otra, que es suficiente con la finalidad de la exigencia legal, que es la de permitir a la Administración dirigir eventualmente contra esa persona el procedimiento sancionador. </w:t>
      </w:r>
    </w:p>
    <w:p w:rsidR="0052098F" w:rsidRDefault="0052098F" w:rsidP="0052098F">
      <w:pPr>
        <w:pStyle w:val="TextoNormal"/>
      </w:pPr>
      <w:r>
        <w:t xml:space="preserve">La Ley 18/1989, de 25 de julio, sobre tráfico, circulación de vehículos a motor y seguridad vial, en la que se establece en origen la obligación que en este caso se ha estimado incumplida, únicamente indica que los datos del titular del vehículo que se han de facilitar a la Administración son “todos los necesarios para identificar al conductor, cuando se hubiere producido una infracción, al objeto de dirigir contra éste el procedimiento sancionador”. Con esta perspectiva la actuación llevada a cabo por el recurrente en amparo ha sido congruente con la obligación legal de identificar al conductor supuestamente responsable, y la inactividad de la Administración, que ni siquiera ha intentado dirigirse contra él, no hace sino abundar en la imposibilidad de imputar al titular del vehículo que el procedimiento por la infracción originaria no se dirija contra el conductor identificado. </w:t>
      </w:r>
    </w:p>
    <w:p w:rsidR="0052098F" w:rsidRDefault="0052098F" w:rsidP="0052098F">
      <w:pPr>
        <w:pStyle w:val="TextoNormal"/>
      </w:pPr>
      <w:r>
        <w:t xml:space="preserve">Tampoco la Sentencia suministra una motivación jurídica concreta y cognoscible que permita calificar de razonable la subsunción de los hechos en el precepto aplicado como fundamento de la sanción impuesta. El órgano judicial deduce que de la imposición legal de identificar al conductor se extrae -haciendo una interpretación extensiva inadmisible- un deber de prueba adicional, cuyo incumplimiento equivale a incumplir la obligación de identificar al conductor, estableciendo, por lo demás, un distinto régimen en función de que el identificado como conductor resida o no en el extranjero. Así, el órgano judicial decide extender el deber de identificación a acreditar, al menos indiciariamente, que la comisión </w:t>
      </w:r>
      <w:r>
        <w:lastRenderedPageBreak/>
        <w:t xml:space="preserve">del hecho imputado fue posible porque dicha persona se encontraba en esa fecha en el lugar de la comisión, descartando que ello constituya una prueba diabólica o imposible con el peregrino argumento de que basta con una copia del pasaporte o visado, en su caso, o incluso de un documento bancario de cambio de moneda, precisamente en un supuesto en el que el ciudadano identificado, residente en Francia, no requiere pasaporte, ni visado para desplazarse por el territorio español, dado el principio comunitario de libre circulación de personas y bienes y la ausencia de controles fronterizos en el espacio Schengen, ni necesita cambiar moneda, pues tanto en Francia como en España en la fecha de los hechos rige como moneda única el euro. </w:t>
      </w:r>
    </w:p>
    <w:p w:rsidR="0052098F" w:rsidRDefault="0052098F" w:rsidP="0052098F">
      <w:pPr>
        <w:pStyle w:val="TextoNormal"/>
      </w:pPr>
      <w:r>
        <w:t xml:space="preserve">El Ministerio Fiscal, tras resaltar de nuevo la inactividad de la Administración al no dirigirse a la persona identificada como conductora del vehículo, lo que era posible dada la existencia de instrumentos eficaces, específicos y ágiles de asistencia jurídica a tales efectos entre España y Francia, señala que incluso causa perplejidad que el órgano judicial considere coherente sancionar por incumplir el deber de identificación con base en la argumentación de no haber facilitado los datos suficientes cuando el recurrente había aportado todos los que permiten racionalmente identificar al conductor. </w:t>
      </w:r>
    </w:p>
    <w:p w:rsidR="0052098F" w:rsidRDefault="0052098F" w:rsidP="0052098F">
      <w:pPr>
        <w:pStyle w:val="TextoNormal"/>
      </w:pPr>
      <w:r>
        <w:t xml:space="preserve">El argumento del posible fraude es endeble a la vista de la redacción vigente del art. 72.3 LSV en el momento en que ocurrieron los hechos, pues expresamente establecía que el titular del vehículo respondería en los mismos términos cuando no fuera posible notificar la denuncia al conductor que identifique por causa imputable a dicho titular. Lo que abunda en la idea de que el fundamento de la obligación legal de identificar es reforzar el poder dirigir el procedimiento contra la persona identificada, que resulta necesaria una actividad frustrada de notificar y que dicha frustración se deba a causa imputable al titular que facilita los datos. En definitiva, ni siquiera la insuficiencia de los datos que constituye el fundamento de las resoluciones impugnadas se ha comprobado por la Administración, que, sin actividad alguna, simplemente decide que no le valen por tratarse de un residente fuera del territorio nacional y pretende sancionar, en cierto modo, que el administrado no realice lo que a ella especialmente le corresponde, partiendo de la presunción de que el ciudadano le engaña salvo que se demuestre lo contrario. En tal tesitura no intenta la notificación, sino que directamente exige adiciones no previstas legalmente a las obligaciones impuestas al titular del vehículo, incumpliendo las propias, y traslada la responsabilidad a quien se ha comportado de modo congruente con lo que la ley impone. La resolución judicial avala este proceder con base en razonamientos igualmente desajustados, no conteniendo ni una mínima referencia a que, si no se conoce la veracidad o no de los datos, es por causa imputable a la propia inactividad de la Administración. </w:t>
      </w:r>
    </w:p>
    <w:p w:rsidR="0052098F" w:rsidRDefault="0052098F" w:rsidP="0052098F">
      <w:pPr>
        <w:pStyle w:val="TextoNormal"/>
      </w:pPr>
      <w:r>
        <w:t xml:space="preserve">Atendidas las circunstancias que concurren, no nos encontramos ante un caso en el que el propietario del vehículo haya ignorado el oportuno requerimiento de identificación o lo haya atendido de forma inverosímil o incompleta, ni en el que se haya dado una respuesta al requerimiento inconsistente y esquiva, o, en fin, que con los datos y la actividad desplegada por la Administración se pudiera concluir o atisbar que todo lo alegado no era sino una maniobra de entorpecimiento o disfraz más o menos sutil, supuestos en los que la STC 63/2007 (FJ 3) viene a admitir que la Administración puede, desde luego, incoar al titular del vehículo expediente sancionador por infracción del art. 72.3 LSV. </w:t>
      </w:r>
    </w:p>
    <w:p w:rsidR="0052098F" w:rsidRDefault="0052098F" w:rsidP="0052098F">
      <w:pPr>
        <w:pStyle w:val="TextoNormal"/>
      </w:pPr>
      <w:r>
        <w:t xml:space="preserve">En definitiva, ni en la resolución sancionadora ni en la Sentencia cabe discernir un fundamento razonable para subsumir la conducta del recurrente en la infracción administrativa tipificada en el art. 72.3 LSV. Los criterios de interpretación empleados son inaceptables para la comunidad jurídica y las argumentaciones son ilógicas y extravagantes, de manera que los soportes metodológicos utilizados acaban siendo reprobables y la base valorativa no </w:t>
      </w:r>
      <w:r>
        <w:lastRenderedPageBreak/>
        <w:t xml:space="preserve">puede estimarse plenamente conforme con el ordenamiento constitucional, por lo que la solución no es conforme con la orientación material de la norma aplicada y resulta lesiva del art. 25.1 CE. </w:t>
      </w:r>
    </w:p>
    <w:p w:rsidR="0052098F" w:rsidRDefault="0052098F" w:rsidP="0052098F">
      <w:pPr>
        <w:pStyle w:val="TextoNormal"/>
      </w:pPr>
      <w:r>
        <w:t xml:space="preserve">b) En relación con la denunciada lesión del derecho a la presunción de inocencia (art. 24.2 CE) se refiere el demandante a la sanción que le fue impuesta por incumplimiento del deber de identificar al conductor. Ciertamente la calificación que hace la Administración sobre la insuficiencia de los datos aportados sin desplegar actividad alguna pone de relieve la irrazonabilidad del entendimiento administrativo y judicial, lo que podría ser estimado como una inversión de la carga de la prueba, actualizando una sanción sin certeza sobre la culpabilidad del demandante ni actividad probatoria efectivamente incriminatoria. La Administración ni siquiera ha practicado alguna actividad, por mínima que fuera, para determinar la veracidad o no de los datos aportados tendente a disponer de elementos de juicio sobre la existencia de una apariencia de cumplimiento que diera cobertura o disfraz a lo que no sería sino maniobra de entorpecimiento. Simplemente entiende insuficientes los datos sin verificar si realmente permitían la identificación efectiva o no, si se correspondían con la realidad o no, ni si con ellos cabía llevar a cabo una notificación o no. Por consiguiente, a juicio del Ministerio Fiscal, cabe estimar la denunciada vulneración del derecho a la presunción de inocencia, aunque su reconocimiento tendría efectos meramente declarativos, dado el tratamiento preferente de la denunciada lesión del art. 25.1 CE, que estima más ajustado y de mayor garantía y efectividad favorable para el legítimo interés del recurrente. </w:t>
      </w:r>
    </w:p>
    <w:p w:rsidR="0052098F" w:rsidRDefault="0052098F" w:rsidP="0052098F">
      <w:pPr>
        <w:pStyle w:val="TextoNormal"/>
      </w:pPr>
      <w:r>
        <w:t xml:space="preserve">c) En cuanto al vicio de incongruencia que se imputa a la Sentencia, el Ministerio Fiscal entiende que debe reconducirse y subsumirse en la denunciada lesión del art. 25.1 CE, lo que resulta también más favorable al recurrente tanto desde un punto de vista material como formal, puesto que, de estimarse como queja autónoma la aducida incongruencia omisivia incurriría en el óbice procesal de la falta de agotamiento de la vía judicial previa al no haberse promovido el incidente de nulidad de actuaciones (art. 241 LOPJ). </w:t>
      </w:r>
    </w:p>
    <w:p w:rsidR="0052098F" w:rsidRDefault="0052098F" w:rsidP="0052098F">
      <w:pPr>
        <w:pStyle w:val="TextoNormal"/>
      </w:pPr>
      <w:r>
        <w:t xml:space="preserve">d) La queja relativa a la vulneración del principio de igualdad carece de toda fundamentación, ya que no se cumplen los requisitos necesarios para apreciarla, en concreto, el de la identidad del órgano judicial. </w:t>
      </w:r>
    </w:p>
    <w:p w:rsidR="0052098F" w:rsidRDefault="0052098F" w:rsidP="0052098F">
      <w:pPr>
        <w:pStyle w:val="TextoNormal"/>
      </w:pPr>
      <w:r>
        <w:t>El Ministerio Fiscal concluye su escrito de alegaciones interesando del Tribunal Constitucional que, tras los trámites pertinentes, dicte Sentencia en la que se declare la vulneración del derecho a la legalidad penal en su vertiente material (art. 25.1 CE) y la del derecho a la presunción de inocencia (art. 24.2 CE), anulándose tanto la resolución del Ayuntamiento de Madrid de 16 de junio de 2004 como la Sentencia del Juzgado de lo Contencioso-Administrativo núm. 1 de Madrid núm. 66/2005, de 11 de febrero.</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10 de abril de 2008, se señaló para la deliberación y votación de la presente Sentencia el día 14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xml:space="preserve">. La presente demanda de amparo tiene por objeto la impugnación de la Resolución del Ayuntamiento de Madrid de 16 de junio de 2004, confirmada por la Sentencia núm. 66/2005, de 11 de febrero, del Juzgado de lo Contencioso-Administrativo núm. 1 de Madrid, por la que se le impuso al recurrente la sanción de 301 € por incumplir la obligación de identificar en tiempo y forma al conductor de un vehículo a motor de su propiedad, denunciado por encontrarse indebidamente estacionado (art. 72.3 del Real Decreto Legislativo </w:t>
      </w:r>
      <w:r>
        <w:lastRenderedPageBreak/>
        <w:t>339/1990, de 2 de marzo, por el que se aprueba el texto articulado de la Ley sobre tráfico, circulación de vehículos a motor y seguridad vial , en la redacción dada por la Ley 19/2001, de 19 de diciembre, en adelante LSV).</w:t>
      </w:r>
    </w:p>
    <w:p w:rsidR="0052098F" w:rsidRDefault="0052098F" w:rsidP="0052098F">
      <w:pPr>
        <w:pStyle w:val="TextoNormal"/>
      </w:pPr>
      <w:r>
        <w:t>El demandante de amparo estima lesionados el principio de legalidad en materia sancionadora (art. 25.1 CE), por la interpretación extensiva que han llevado a cabo la Administración y el órgano judicial del precepto que tipifica la infracción por la que ha sido sancionado; el derecho a la presunción de inocencia (art. 24.2 CE), por habérsele impuesto la sanción sin actividad probatoria de cargo; el derecho a la tutela judicial efectiva (art. 24.1 CE), por incurrir la Sentencia en incongruencia omisiva al no pronunciarse sobre la denunciada violación del principio de legalidad; y, en fin, el principio de igualdad en aplicación de la ley (art. 14 CE), por haberse pronunciado el órgano judicial en sentido distinto a como lo ha hecho este Tribunal en la STC 111/2004, de 12 de julio.</w:t>
      </w:r>
    </w:p>
    <w:p w:rsidR="0052098F" w:rsidRDefault="0052098F" w:rsidP="0052098F">
      <w:pPr>
        <w:pStyle w:val="TextoNormal"/>
      </w:pPr>
      <w:r>
        <w:t>La representación procesal del Ayuntamiento de Madrid se opone a la estimación de la demanda de amparo. En cuanto a la alegada vulneración del art. 25.1 CE considera que no puede prosperar la queja del recurrente, ya que ha sido sancionado, por la falta de veracidad en la identificación del conductor del vehículo, lo que está previsto en la normativa administrativa aplicada. Por lo que se refiere a la denunciada lesión del derecho a la presunción de inocencia (art. 24.2 CE), entiende que ha habido prueba suficiente para enervar dicha presunción derivada de la insuficiencia probatoria apreciada por la Administración en la identificación del conductor del vehículo.</w:t>
      </w:r>
    </w:p>
    <w:p w:rsidR="0052098F" w:rsidRDefault="0052098F" w:rsidP="0052098F">
      <w:pPr>
        <w:pStyle w:val="TextoNormal"/>
      </w:pPr>
      <w:r>
        <w:t>Por su parte el Ministerio Fiscal se pronuncia a favor del otorgamiento del amparo, al considerar que han resultado vulnerados el derecho a la legalidad penal en su vertiente material (art. 25.1 CE) y el derecho a la presunción de inocencia (art. 24.2 CE), pues, a su juicio, ni en la resolución sancionadora ni en la Sentencia cabe discernir un fundamento razonable para subsumir la infracción administrativa tipificada en el art. 72.3 LSV.</w:t>
      </w:r>
    </w:p>
    <w:p w:rsidR="0052098F" w:rsidRDefault="0052098F" w:rsidP="0052098F">
      <w:pPr>
        <w:pStyle w:val="TextoNormal"/>
      </w:pPr>
    </w:p>
    <w:p w:rsidR="0052098F" w:rsidRDefault="0052098F" w:rsidP="0052098F">
      <w:pPr>
        <w:pStyle w:val="TextoNormal"/>
      </w:pPr>
      <w:r w:rsidRPr="0052098F">
        <w:rPr>
          <w:rStyle w:val="NumeroAFNegritaCaracter"/>
        </w:rPr>
        <w:t>2</w:t>
      </w:r>
      <w:r>
        <w:t>. Al objeto de centrarnos en las que se configuran como las cuestiones nucleares de la presente demanda de amparo, esto es, las denunciadas vulneraciones del principio de legalidad penal (art. 25.1 CE) y del derecho a la presunción de inocencia (art. 24.2 CE), hemos de comenzar por poner de manifiesto la falta de viabilidad de las quejas relativas al vicio de incongruencia omisivia y a la lesión del principio de igualdad en aplicación de la ley que se imputan a la Sentencia del Juzgado de lo Contencioso-Administrativo. La primera de las referidas quejas, considerada como motivo autónomo de la pretensión actora, incurre en la causa de inadmisión prevista en el art. 50.1, en relación con el art. 44.1 a), ambos LOTC, en la redacción anterior a la Ley Orgánica 6/2007, de 24 de mayo (disposición transitoria tercera), esto es, en la falta de agotamiento de todos los recursos utilizables en la vía judicial, pues el demandante de amparo no promovió incidente de nulidad de actuaciones contra la Sentencia del Juzgado (art. 241.1 de la Ley Orgánica del Poder Judicial: LOPJ). Por su parte carece la supuesta lesión del principio de igualdad en aplicación de la ley de todo fundamento, dado que no se satisface el requisito de la identidad del órgano jurisdiccional, ya que la resolución judicial que se aporta como término de comparación, en este caso una Sentencia de este Tribunal, no procede del mismo órgano jurisdiccional que ha dictado la resolución judicial impugnada en amparo (por todas, STC 201/2007, de 24 de septiembre, FJ 5).</w:t>
      </w:r>
    </w:p>
    <w:p w:rsidR="0052098F" w:rsidRDefault="0052098F" w:rsidP="0052098F">
      <w:pPr>
        <w:pStyle w:val="TextoNormal"/>
      </w:pPr>
    </w:p>
    <w:p w:rsidR="0052098F" w:rsidRDefault="0052098F" w:rsidP="0052098F">
      <w:pPr>
        <w:pStyle w:val="TextoNormal"/>
      </w:pPr>
      <w:r w:rsidRPr="0052098F">
        <w:rPr>
          <w:rStyle w:val="NumeroAFNegritaCaracter"/>
        </w:rPr>
        <w:t>3</w:t>
      </w:r>
      <w:r>
        <w:t>. Hechas las anteriores precisiones, siguiendo un orden lógico y cronológico hemos de abordar en primer lugar la supuesta vulneración del principio de legalidad en materia sancionadora (art. 25.1 CE), que el recurrente imputa tanto a la resolución administrativa sancionadora como a la posterior Sentencia del Juzgado de lo Contencioso-Administrativo.</w:t>
      </w:r>
    </w:p>
    <w:p w:rsidR="0052098F" w:rsidRDefault="0052098F" w:rsidP="0052098F">
      <w:pPr>
        <w:pStyle w:val="TextoNormal"/>
      </w:pPr>
      <w:r>
        <w:lastRenderedPageBreak/>
        <w:t>El demandante de amparo sostiene que el art. 72.3 LSV no impone al propietario del vehículo a motor con ocasión del deber de identificar al conductor autor de la infracción la obligación de probar que la persona identificada era quien conducía el vehículo en el momento de la infracción, máxime cuando, como acontece en este caso, la Administración no ha desplegado actividad alguna tendente a notificar la infracción al conductor identificado. Tras señalar que ha aportado todos los datos identificativos del conductor del vehículo, el recurrente en amparo considera que tanto el Ayuntamiento como el Juzgado de lo Contencioso-Administrativo han llevado a cabo una interpretación extensiva de la infracción por la que ha sido sancionado, lesiva del principio de legalidad penal (art. 25.1 CE), ya que el precepto legal no impone al propietario del vehículo la obligación de aportar copia del permiso de conducción de la persona identificada como conductor —según ha exigido el Ayuntamiento—, ni la de aportar otra documentación complementaria o prueba de la presencia del conductor en el lugar de la infracción —que fue lo requerido el Juzgado de lo Contencioso-Administrativo— ni, en fin, dispone que la falta de esa documentación adicional o prueba constituya una infracción administrativa.</w:t>
      </w:r>
    </w:p>
    <w:p w:rsidR="0052098F" w:rsidRDefault="0052098F" w:rsidP="0052098F">
      <w:pPr>
        <w:pStyle w:val="TextoNormal"/>
      </w:pPr>
    </w:p>
    <w:p w:rsidR="0052098F" w:rsidRDefault="0052098F" w:rsidP="0052098F">
      <w:pPr>
        <w:pStyle w:val="TextoNormal"/>
      </w:pPr>
      <w:r w:rsidRPr="0052098F">
        <w:rPr>
          <w:rStyle w:val="NumeroAFNegritaCaracter"/>
        </w:rPr>
        <w:t>4</w:t>
      </w:r>
      <w:r>
        <w:t>. El examen de la queja del recurrente requiere traer a colación la reiterada doctrina constitucional sobre el principio de legalidad en materia sancionadora, sintetizada para un supuesto que presenta una sustancial identidad con el ahora enjuiciado en la STC 111/2004, de 12 de julio (FJ 3).</w:t>
      </w:r>
    </w:p>
    <w:p w:rsidR="0052098F" w:rsidRDefault="0052098F" w:rsidP="0052098F">
      <w:pPr>
        <w:pStyle w:val="TextoNormal"/>
      </w:pPr>
      <w:r>
        <w:t xml:space="preserve">Dijimos entonces, y hemos de reiterar ahora, que la posibilidad de que se produzca una vulneración del art. 25.1 CE como consecuencia de las pautas interpretativas empleadas para la subsunción de la conducta en el tipo de la infracción ha sido expresamente contemplada por este Tribunal. En referencia a la actuación de los órganos judiciales este Tribunal ha declarado, en unos términos que mutatis mutandi pueden hacerse extensivos a las resoluciones dictadas por la Administración en el ejercicio de su potestad sancionadora, que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seguridad jurídica, aquí en su vertiente subjetiva (según la expresión utilizada en la STC 237/2000, de 15 de noviembre, FJ 11), que conlleva la evitación de resoluciones que impidan a los ciudadanos ‘programar sus comportamientos sin temor a posibles condenas por actos no tipificados previamente’ …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(STC 196/2002, de 28 de octubre, FJ 5). De este modo no solo vulneran el principio de legalidad las resoluciones sancionadoras que se sustenten en una subsunción de los hechos ajena al significado posible de los términos de la norma aplicada, sino que también son constitucionalmente rechazables aquellas aplicaciones que por su soporte metodológico —una argumentación ilógica o indiscutidamente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debe partirse, en principio, de la motivación explícita contenida en las resoluciones recurridas, de forma que cabrá apreciar una vulneración del </w:t>
      </w:r>
      <w:r>
        <w:lastRenderedPageBreak/>
        <w:t>derecho a la legalidad sancionadora, tanto cuando se constate una aplicación extensiva o analógica de la norma a partir de la motivación de la correspondiente  resolución, como cuando la ausencia de fundamentación revele que se ha producido dicha extensión (STC 151/1997, de 29 de septiembre, FJ 4).</w:t>
      </w:r>
    </w:p>
    <w:p w:rsidR="0052098F" w:rsidRDefault="0052098F" w:rsidP="0052098F">
      <w:pPr>
        <w:pStyle w:val="TextoNormal"/>
      </w:pPr>
    </w:p>
    <w:p w:rsidR="0052098F" w:rsidRDefault="0052098F" w:rsidP="0052098F">
      <w:pPr>
        <w:pStyle w:val="TextoNormal"/>
      </w:pPr>
      <w:r w:rsidRPr="0052098F">
        <w:rPr>
          <w:rStyle w:val="NumeroAFNegritaCaracter"/>
        </w:rPr>
        <w:t>5</w:t>
      </w:r>
      <w:r>
        <w:t>. A la luz de la doctrina constitucional expuesta ha de ser examinada la queja del recurrente en amparo.</w:t>
      </w:r>
    </w:p>
    <w:p w:rsidR="0052098F" w:rsidRDefault="0052098F" w:rsidP="0052098F">
      <w:pPr>
        <w:pStyle w:val="TextoNormal"/>
      </w:pPr>
      <w:r>
        <w:t>Según resulta de las actuaciones, el Ayuntamiento de Madrid notificó al demandante la denuncia de que un vehículo de su propiedad se encontraba estacionado sin distintivo que lo autorizara en lugar habilitado para el estacionamiento con limitación horaria, informándole que, de no ser el conductor responsable de la infracción, estaba obligado a identificar a la persona que lo conducía, a cuyo efecto debía cumplimentar el apartado correspondiente del escrito remitido, con la advertencia de que ante la omisión de cualquiera de los datos requeridos, por ser imprescindibles para la inequívoca identificación del conductor, incurriría en la responsabilidad prevista en el art. 72.3 LSV como autor de una falta grave sancionada con 50.000 pesetas. El demandante de amparo cumplimentó todos los espacios del apartado referido a la persona que conducía el vehículo, un ciudadano de nacionalidad francesa, residente en Francia, aportando su nombre y dos apellidos, su número de permiso de conducir, su domicilio, población, provincia y código postal. El Ayuntamiento de Madrid requirió al demandante de amparo para que aportase fotocopia de la autorización administrativa para conducir de la persona identificada como conductor responsable de la infracción, así como prueba acreditativa de que el conductor identificado era el que conducía el vehículo en el momento de la denuncia. El demandante de amparo dirigió un escrito de alegaciones al Ayuntamiento de Madrid en el que manifestó, entre otros extremos, que había solicitado del conductor autor de la infracción que le enviase fotocopia de la autorización administrativa para conducir, habiéndose negado éste por tratarse de un documento personal, si bien le había comunicado que reconocía la infracción cometida y que estaba dispuesto a hacer frente al pago de la multa en cuanto fuese requerido por el Ayuntamiento.</w:t>
      </w:r>
    </w:p>
    <w:p w:rsidR="0052098F" w:rsidRDefault="0052098F" w:rsidP="0052098F">
      <w:pPr>
        <w:pStyle w:val="TextoNormal"/>
      </w:pPr>
      <w:r>
        <w:t>El Ayuntamiento de Madrid incoó expediente sancionador al recurrente en amparo por incumplir el deber de identificar al conductor responsable de la infracción cometida, en el que se indicó que los datos aportados eran insuficientes para considerar cumplido el deber que al titular impone el art. 72.3 LSV. El demandante de amparo formuló pliego de descargos, en el que manifestó, en síntesis, que no había incumplido la obligación de identificar al conductor del vehículo, pues había facilitado todos los datos para su identificación; que, por las razones ya expuestas, no podía aportar copia del permiso de conducir del conductor; y que, según había podido constatar tras ponerse en contacto con éste, el Ayuntamiento no se había dirigido al conductor para notificarle la supuesta infracción de tráfico. El Ayuntamiento de Madrid, por Resolución de 16 de junio de 2004 impuso al demandante de amparo una sanción de 301 €, por incumplir la obligación de identificar en tiempo y forma al conductor responsable de la infracción, ya que, “no sólo no ha acreditado que la persona identificada como conductor (no residente en el territorio nacional) era la que conducía el vehículo, ni siquiera ha demostrado que estuviese en esta capital el día de la denuncia”, de forma que la información en su momento facilitada “no se ajusta a las exigencias legales que de forma concreta e inequívoca imponen el ‘deber de identificar al conductor responsable’”.</w:t>
      </w:r>
    </w:p>
    <w:p w:rsidR="0052098F" w:rsidRDefault="0052098F" w:rsidP="0052098F">
      <w:pPr>
        <w:pStyle w:val="TextoNormal"/>
      </w:pPr>
      <w:r>
        <w:t xml:space="preserve">El demandante de amparo interpuso recurso contencioso-administrativo contra la anterior resolución, que fue desestimado por la Sentencia núm. 66/2005, de 11 de febrero, del Juzgado de lo Contencioso-Administrativo núm. 1 de Madrid. El órgano judicial consideró, </w:t>
      </w:r>
      <w:r>
        <w:lastRenderedPageBreak/>
        <w:t>en síntesis, que el deber que impone el art. 72.3 LSV “no es simplemente formal, es decir, facilitar un nombre y un domicilio, ni siquiera un DNI o licencia de conducir, como pretende el Ayuntamiento demandado [sic]. En la generalidad de los casos, puede ser suficiente, pero en otros como el que nos ocupa, en el que se imputa la infracción a una persona residente en el extranjero, el deber probatorio —pues, en definitiva de eso se trata con la obligación normativa— debe extenderse, junto a la información sobre la identidad, a acreditar, al menos indiciariamente, que la comisión del hecho imputado fue posible porque dicha persona se encontraba en esa fecha, en el lugar de la comisión, lo que no constituye una prueba diabólica, ni imposible; basta con una copia del pasaporte o visado, en su caso, incluso de un documento bancario de cambio de moneda, en fin, por cualquier medio”. “Admitir la tesis contraria — continúa la Sentencia—, la mantenida por el recurrente, podría implicar la posibilidad de fraude de ley de modo que se frustrara la potestad sancionadora legalmente atribuida a la Administración por las leyes. En el bien entendido que, en este caso, no se está imputando a dicha parte procesal no que haya cometido tal fraude ni que la persona identificada sea inexistente, ni siquiera que no tenga relación con ella … sino que, como va dicho, no ha acreditado, al menos, que pudo físicamente cometer la infracción”. Concluye el órgano judicial afirmando que el requerimiento de la fotocopia de la autorización administrativa para conducir de la persona identificada como conductor no es conforme a derecho, pero “la identificación de extranjero, en los términos analizados en autos, tampoco lo es según se ha concluido”.</w:t>
      </w:r>
    </w:p>
    <w:p w:rsidR="0052098F" w:rsidRDefault="0052098F" w:rsidP="0052098F">
      <w:pPr>
        <w:pStyle w:val="TextoNormal"/>
      </w:pPr>
    </w:p>
    <w:p w:rsidR="0052098F" w:rsidRDefault="0052098F" w:rsidP="0052098F">
      <w:pPr>
        <w:pStyle w:val="TextoNormal"/>
      </w:pPr>
      <w:r w:rsidRPr="0052098F">
        <w:rPr>
          <w:rStyle w:val="NumeroAFNegritaCaracter"/>
        </w:rPr>
        <w:t>6</w:t>
      </w:r>
      <w:r>
        <w:t>. Es preciso ahora verificar si las resoluciones administrativa y judicial recurridas han vulnerado o no el principio de legalidad penal (art. 25.1 CE), de acuerdo con la doctrina constitucional antes expuesta.</w:t>
      </w:r>
    </w:p>
    <w:p w:rsidR="0052098F" w:rsidRDefault="0052098F" w:rsidP="0052098F">
      <w:pPr>
        <w:pStyle w:val="TextoNormal"/>
      </w:pPr>
      <w:r>
        <w:t>En el momento de los hechos el art. 72 LSV, en la redacción entonces vigente, después de establecer en su apartado 1 que la responsabilidad por las infracciones a lo dispuesto en esta Ley recaerá directamente en el autor del hecho en que consista la infracción, resultaba del siguiente tenor en su apartado 3:</w:t>
      </w:r>
    </w:p>
    <w:p w:rsidR="0052098F" w:rsidRDefault="0052098F" w:rsidP="0052098F">
      <w:pPr>
        <w:pStyle w:val="TextoNormal"/>
      </w:pPr>
      <w:r>
        <w:t>“El titular del vehículo, debidamente requerido para ello, tiene el deber de identificar al conductor responsable de la infracción y si incumpliere esta obligación en el trámite procedimental oportuno sin causa justificada, será sancionado pecuniariamente como autor de falta grave, cuya sanción se impondrá en su máxima cuantía. En los mismos términos responderá el titular del vehículo cuando no sea posible notificar la denuncia del conductor que aquél identifique, por causa imputable a dicho titular”.</w:t>
      </w:r>
    </w:p>
    <w:p w:rsidR="0052098F" w:rsidRDefault="0052098F" w:rsidP="0052098F">
      <w:pPr>
        <w:pStyle w:val="TextoNormal"/>
      </w:pPr>
      <w:r>
        <w:t xml:space="preserve">Pues bien, tanto la resolución administrativa sancionadora como la Sentencia que la confirman se han basado, según se ha dejado constancia, en la insuficiencia de los datos aportados por el demandante de amparo para considerar cumplida la obligación que impone el art. 72.3 LSV, dado que no había acreditado, siquiera indiciariamente, que la persona identificada como conductor de su vehículo, que residía en el extranjero, se encontrara en esa fecha —como se dice en la Sentencia— en el lugar en la que se cometió la infracción, ni que fuese la que conducía el vehículo —como se añade en la resolución administrativa sancionadora. No existe en el expediente administrativo constancia de actuación por parte de la Administración tendente a comunicar con quien el demandante de amparo identificó como conductor responsable de la infracción, del que aportó el nombre, los dos apellidos, el número de permiso de conducir y su domicilio, ni, en consecuencia, que hubiera resultado frustrado el intento de comunicación con dicha persona a pesar de los datos facilitados por el recurrente en amparo. Las circunstancias concurrentes en este caso, de un lado, la identificación por parte del demandante de amparo de la persona que conducía su vehículo en el </w:t>
      </w:r>
      <w:r>
        <w:lastRenderedPageBreak/>
        <w:t>momento de la infracción en los términos en los que la ha llevado a cabo, y, de otro lado, la inactividad administrativa en orden a comunicar con la persona identificada, ponen de manifiesto que la motivación de las resoluciones administrativa y judicial impugnadas, al exigir al recurrente que acreditase la presencia en Madrid del conductor de su vehículo en las fechas en las que se cometió la infracción, así como que era en realidad el conductor, no responde a una argumentación lógica ni razonable que permita subsumir la conducta del recurrente en el tipo aplicado. En efecto, ni la norma exigía expresamente que se facilitaran estos concretos datos, aun tratándose de una persona residente en el extranjero, ni, conforme al modelo de argumentación aceptados en la comunidad jurídica, cabe extraer tal exigencia de la misma, una vez que se había indicado a la Administración el nombre, los dos apellidos, el número de permiso de conducir y el domicilio del conductor, lo que, en principio y sin que las circunstancias concurrentes permitan presumir otra cosa, dada la inactividad de la Administración, parece, por una parte, que supone una respuesta congruente con el deber de identificar a una persona impuesto por el art. 72.3 LSV y, por otra, que es suficiente con la finalidad de la exigencia legal, que es la de permitir a la Administración dirigir eventualmente contra esa persona un procedimiento sancionador (STC 197/1995, de 21 de diciembre, FJ 7).</w:t>
      </w:r>
    </w:p>
    <w:p w:rsidR="0052098F" w:rsidRDefault="0052098F" w:rsidP="0052098F">
      <w:pPr>
        <w:pStyle w:val="TextoNormal"/>
      </w:pPr>
      <w:r>
        <w:t>Como el Ministerio Fiscal pone acertadamente de manifiesto en su escrito de alegaciones, en este caso la actuación del recurrente en amparo ha sido congruente, en principio, con la obligación legal de identificar al conductor supuestamente responsable de la infracción de tráfico, y la inactividad de la Administración, que ni siquiera ha intentado dirigir el procedimiento sancionador contra éste, no hace sino abundar en lo irrazonable que resultaría a tenor del art. 72.3 LSV imputar al titular del vehículo que no se dirija el procedimiento sancionador por dicha infracción contra la persona que ha identificado como conductor, sin que pueda inferirse en modo alguno de aquel precepto legal un distinto régimen en la obligación de identificar al conductor responsable de la infracción en función de que resida o no en el extranjero.</w:t>
      </w:r>
    </w:p>
    <w:p w:rsidR="0052098F" w:rsidRDefault="0052098F" w:rsidP="0052098F">
      <w:pPr>
        <w:pStyle w:val="TextoNormal"/>
      </w:pPr>
      <w:r>
        <w:t>Aunque esta última circunstancia —la residencia del conductor identificado en el extranjero— supone ciertamente un esfuerzo adicional para la Administración, al tener que cursar la notificación del expediente sancionador en el extranjero, no puede soslayarse este inconveniente en el caso que nos ocupa, en el cual el que la persona identificada como conductor reside en Francia, con la directa imputación al titular del vehículo del incumplimiento del deber legal de identificar al conductor responsable de la infracción de tráfico sin que por la Administración se hubiera desplegado la más mínima actividad tendente a aquella notificación.</w:t>
      </w:r>
    </w:p>
    <w:p w:rsidR="0052098F" w:rsidRDefault="0052098F" w:rsidP="0052098F">
      <w:pPr>
        <w:pStyle w:val="TextoNormal"/>
      </w:pPr>
      <w:r>
        <w:t>En definitiva, ni en la resolución administrativa sancionadora ni en la Sentencia que la confirma cabe discernir un fundamento razonable para subsumir en este caso la conducta del recurrente en amparo —la falta de acreditación de que quien identificó como conductor de su vehículo se encontraba en Madrid en la fecha de comisión de la infracción y que era quien realmente lo conducía— en la infracción tipificada en el art. 72.3 LSV por la que ha resultado sancionado, lo que revela en este caso una aplicación extensiva de la norma contraria al principio de legalidad en materia sancionadora (art. 25.1 CE).</w:t>
      </w:r>
    </w:p>
    <w:p w:rsidR="0052098F" w:rsidRDefault="0052098F" w:rsidP="0052098F">
      <w:pPr>
        <w:pStyle w:val="TextoNormal"/>
      </w:pPr>
    </w:p>
    <w:p w:rsidR="0052098F" w:rsidRDefault="0052098F" w:rsidP="0052098F">
      <w:pPr>
        <w:pStyle w:val="TextoNormal"/>
      </w:pPr>
      <w:r w:rsidRPr="0052098F">
        <w:rPr>
          <w:rStyle w:val="NumeroAFNegritaCaracter"/>
        </w:rPr>
        <w:t>7</w:t>
      </w:r>
      <w:r>
        <w:t>. La apreciación de la vulneración del principio de legalidad en materia sancionadora (art. 25.1 CE) hace innecesario el examen de la denunciada lesión del derecho a la presunción de inocencia (art. 24.2 CE) y ha de conducir a la estimación de este recurso de amparo, así como a reponer al recurrente en la integridad del derecho violado con la declaración de nulidad de las resoluciones administrativa sancionadora y judicial recurridas.</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la demanda de amparo promovida por don Santiago Espinosa Blanco y, en su virtud:</w:t>
      </w:r>
    </w:p>
    <w:p w:rsidR="0052098F" w:rsidRDefault="0052098F" w:rsidP="0052098F">
      <w:pPr>
        <w:pStyle w:val="TextoNormal"/>
      </w:pPr>
      <w:r>
        <w:t>1º Declarar vulnerado el derecho del recurrente en amparo a la legalidad sancionadora (art. 25.1 CE).</w:t>
      </w:r>
    </w:p>
    <w:p w:rsidR="0052098F" w:rsidRDefault="0052098F" w:rsidP="0052098F">
      <w:pPr>
        <w:pStyle w:val="TextoNormal"/>
      </w:pPr>
      <w:r>
        <w:t>2º Restablecerlo en su derecho y, a tal fin, declarar la nulidad de la resolución del Ayuntamiento de Madrid de 16 de junio de 2004 recaída en el expediente núm. 10665568.1 sobre incumplimiento por el propietario de un vehículo a motor del deber de identificar al conductor responsable de una infracción de tráfico, así como la de la Sentencia núm. 66/2005, de 11 de febrero, del Juzgado de lo Contencioso-Administrativo núm. 1 de Madrid, recaída en el procedimiento abreviado núm. 517-2004.</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catorce de abril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8" w:name="SENTENCIA_2008_55"/>
      <w:r>
        <w:lastRenderedPageBreak/>
        <w:t>SENTENCIA 55/2008, de 14 de abril de 2008</w:t>
      </w:r>
    </w:p>
    <w:bookmarkEnd w:id="58"/>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117, de 14 de mayo de 2008)</w:t>
      </w:r>
    </w:p>
    <w:p w:rsidR="0052098F" w:rsidRDefault="0052098F" w:rsidP="0052098F">
      <w:pPr>
        <w:pStyle w:val="TtuloBOE"/>
      </w:pPr>
    </w:p>
    <w:p w:rsidR="0052098F" w:rsidRDefault="0052098F" w:rsidP="0052098F">
      <w:pPr>
        <w:pStyle w:val="SntesisDescriptiva"/>
      </w:pPr>
      <w:r>
        <w:t>ECLI:ES:TC:2008:55</w:t>
      </w:r>
    </w:p>
    <w:p w:rsidR="0052098F" w:rsidRDefault="0052098F" w:rsidP="0052098F">
      <w:pPr>
        <w:pStyle w:val="SntesisDescriptiva"/>
      </w:pPr>
    </w:p>
    <w:p w:rsidR="0052098F" w:rsidRDefault="0052098F" w:rsidP="0052098F">
      <w:pPr>
        <w:pStyle w:val="SntesisDescriptiva"/>
      </w:pPr>
      <w:r>
        <w:t>Recurso de amparo 14-2006. Promovido por don Jaume Gironés Nebot respecto a las resoluciones de la Audiencia Provincial de Tarragona que inadmitieron su recurso de apelación y un incidente de nulidad de actuaciones en litigio de división de cosa común.</w:t>
      </w:r>
    </w:p>
    <w:p w:rsidR="0052098F" w:rsidRDefault="0052098F" w:rsidP="0052098F">
      <w:pPr>
        <w:pStyle w:val="SntesisDescriptiva"/>
      </w:pPr>
    </w:p>
    <w:p w:rsidR="0052098F" w:rsidRDefault="0052098F" w:rsidP="0052098F">
      <w:pPr>
        <w:pStyle w:val="SntesisAnaltica"/>
      </w:pPr>
      <w:r>
        <w:t>Vulneración del derecho a la tutela judicial efectiva (acceso al recurso legal): recurso de apelación civil declarado desierto sin resolver la solicitud de nombramiento de procurador de oficio, que impide la asistencia jurídica gratuita.</w:t>
      </w:r>
    </w:p>
    <w:p w:rsidR="0052098F" w:rsidRDefault="0052098F" w:rsidP="0052098F">
      <w:pPr>
        <w:pStyle w:val="SntesisAnaltica"/>
      </w:pPr>
    </w:p>
    <w:p w:rsidR="0052098F" w:rsidRDefault="0052098F" w:rsidP="0052098F">
      <w:pPr>
        <w:pStyle w:val="Extracto"/>
      </w:pPr>
      <w:r>
        <w:t>1.</w:t>
      </w:r>
      <w:r>
        <w:tab/>
        <w:t>Las resoluciones dictadas han de reputarse una interpretación arbitraria e irrazonable de las normas procesales y del defecto advertido que vulnera el derecho a la tutela judicial efectiva del demandante de amparo en su vertiente de acceso al recurso con el resultado evidente de producirle indefensión al haberle impedido actuar procesalmente así como también resulta contraria al derecho a la asistencia letrada [FJ 6].</w:t>
      </w:r>
    </w:p>
    <w:p w:rsidR="0052098F" w:rsidRDefault="0052098F" w:rsidP="0052098F">
      <w:pPr>
        <w:pStyle w:val="Extracto"/>
      </w:pPr>
    </w:p>
    <w:p w:rsidR="0052098F" w:rsidRDefault="0052098F" w:rsidP="0052098F">
      <w:pPr>
        <w:pStyle w:val="Extracto"/>
      </w:pPr>
      <w:r>
        <w:t>2.</w:t>
      </w:r>
      <w:r>
        <w:tab/>
        <w:t>No existe indicación en la legislación procesal que constriña la petición de nombramiento de Procurador de oficio en apelación al escrito o trámite concreto de interposición del correspondiente recurso, y menos aún que de ello se predique el efecto preclusivo que sostiene de la Audiencia Provincial [FJ 4].</w:t>
      </w:r>
    </w:p>
    <w:p w:rsidR="0052098F" w:rsidRDefault="0052098F" w:rsidP="0052098F">
      <w:pPr>
        <w:pStyle w:val="Extracto"/>
      </w:pPr>
    </w:p>
    <w:p w:rsidR="0052098F" w:rsidRDefault="0052098F" w:rsidP="0052098F">
      <w:pPr>
        <w:pStyle w:val="Extracto"/>
      </w:pPr>
      <w:r>
        <w:t>3.</w:t>
      </w:r>
      <w:r>
        <w:tab/>
        <w:t>Aun cuando la solicitud de nombramiento de Procurador de oficio resultara objetivamente defectuosa es doctrina de este Tribunal que la infracción apreciada debió haberse considerado subsanable, ya que desde que se presentó el escrito solicitando dicha designación, el demandante de amparo podía razonablemente esperar una respuesta del órgano judicial (STC 267/2006) [FJ 5].</w:t>
      </w:r>
    </w:p>
    <w:p w:rsidR="0052098F" w:rsidRDefault="0052098F" w:rsidP="0052098F">
      <w:pPr>
        <w:pStyle w:val="Extracto"/>
      </w:pPr>
    </w:p>
    <w:p w:rsidR="0052098F" w:rsidRDefault="0052098F" w:rsidP="0052098F">
      <w:pPr>
        <w:pStyle w:val="Extracto"/>
      </w:pPr>
      <w:r>
        <w:t>4.</w:t>
      </w:r>
      <w:r>
        <w:tab/>
        <w:t>El sentido del art. 7.3 LAJG es claramente imperativo y no puede suscitar duda ese deber de oficio en actuar cuando, como aquí ha sucedido, media una petición expresa del interesado [FJ 4].</w:t>
      </w:r>
    </w:p>
    <w:p w:rsidR="0052098F" w:rsidRDefault="0052098F" w:rsidP="0052098F">
      <w:pPr>
        <w:pStyle w:val="Extracto"/>
      </w:pPr>
    </w:p>
    <w:p w:rsidR="0052098F" w:rsidRDefault="0052098F" w:rsidP="0052098F">
      <w:pPr>
        <w:pStyle w:val="Extracto"/>
      </w:pPr>
      <w:r>
        <w:t>5.</w:t>
      </w:r>
      <w:r>
        <w:tab/>
        <w:t>Resulta preciso garantizar el derecho del justiciable a que, conforme al art. 16 LAJG, se suspenda el procedimiento cuando se haya solicitado la designación de Abogado o Procurador de oficio para actuar ante el Tribunal ad quem que conozca del recurso interpuesto (STC 91/1994) [FJ 4].</w:t>
      </w:r>
    </w:p>
    <w:p w:rsidR="0052098F" w:rsidRDefault="0052098F" w:rsidP="0052098F">
      <w:pPr>
        <w:pStyle w:val="Extracto"/>
      </w:pPr>
    </w:p>
    <w:p w:rsidR="0052098F" w:rsidRDefault="0052098F" w:rsidP="0052098F">
      <w:pPr>
        <w:pStyle w:val="Extracto"/>
      </w:pPr>
      <w:r>
        <w:t>6.</w:t>
      </w:r>
      <w:r>
        <w:tab/>
        <w:t>La actuación por Procurador de oficio, ex art. 6.3 de la Ley 1/1996, forma parte integrante del contenido material del derecho a la asistencia jurídica gratuita y entronca así con el derecho fundamental a la asistencia letrada (STC 152/2000) [FJ 2].</w:t>
      </w:r>
    </w:p>
    <w:p w:rsidR="0052098F" w:rsidRDefault="0052098F" w:rsidP="0052098F">
      <w:pPr>
        <w:pStyle w:val="Extracto"/>
      </w:pPr>
    </w:p>
    <w:p w:rsidR="0052098F" w:rsidRDefault="0052098F" w:rsidP="0052098F">
      <w:pPr>
        <w:pStyle w:val="Extracto"/>
      </w:pPr>
      <w:r>
        <w:lastRenderedPageBreak/>
        <w:t>7.</w:t>
      </w:r>
      <w:r>
        <w:tab/>
        <w:t>Procede la nulidad de las resoluciones dictadas por la Sección Tercera de la Audiencia Provincial a partir de la providencia que acuerda no dar curso y devolver el escrito de solicitud de designación de Procurador de oficio, así como la retroacción de actuaciones a fin de que se provea a dicha solicitud [FJ 6].</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14-2006, promovido por don Jaume Gironés Nebot, representado por la Procuradora de los Tribunales doña Irene Gutiérrez Carrillo y asistido por la Letrada doña María Cristina García-Noblejas Ferrer, contra la providencia de la Audiencia Provincial de Tarragona, Sección Tercera, de fecha 28 de noviembre de 2005, que inadmite a trámite el incidente de nulidad de actuaciones instado contra el Auto de la misma Sección de 30 de septiembre de 2005 dictado en recurso de apelación civil. Ha intervenido el Ministerio Fiscal. Ha sido Ponente el Magistrado don Guillermo Jiménez Sánchez, quien expresa el parecer del Tribunal.</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fax dirigido a este Tribunal desde el Colegio de Abogados de Reus el 30 de diciembre de 2005 se remitió escrito de don Jaume Gironés Nebot y doña Elvira Salvat Cervelló, en el cual éstos manifestaban su intención de interponer recurso de amparo contra la providencia de 28 de noviembre de 2005 de la que se deja hecho mérito en el encabezamiento, interesando a tal fin la suspensión del plazo para presentar la correspondiente demanda. Se remitió también certificado del Colegio de Abogados dejando constancia de la solicitud de ambos recurrentes para que se les conceda el beneficio de justicia gratuita ante esta jurisdicción, lo que se comunicaba a los efectos de suspensión del procedimiento, de conformidad con lo previsto en el artículo 16 de la Ley de asistencia jurídica gratuita; remitiéndose posteriormente los originales de dichos escritos el 20 de enero de 2006.</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Con fecha 29 de mayo de 2006, se recibió en este Tribunal Resolución de la Comisión Central de Asistencia Jurídica Gratuita del Ministerio de Justicia de fecha 22 de mayo de 2006, reconociendo a don Jaume Gironés Nebot el beneficio de justicia gratuita para la interposición de recurso de amparo y el 31 de mayo de 2006 Acuerdo del Ilustre Colegio de Abogados de Madrid, de 10 de mayo de 2006, procediendo a la designación de Abogada y Procuradora de oficio. </w:t>
      </w:r>
    </w:p>
    <w:p w:rsidR="0052098F" w:rsidRDefault="0052098F" w:rsidP="0052098F">
      <w:pPr>
        <w:pStyle w:val="TextoNormal"/>
      </w:pPr>
      <w:r>
        <w:lastRenderedPageBreak/>
        <w:t>Por lo que se refiere a doña Elvira Salvat Cervelló, la Comisión Central de Asistencia Jurídica Gratuita le denegó por Resolución de fecha 9 de octubre de 2006 el reconocimiento del beneficio de justicia gratuita.</w:t>
      </w:r>
    </w:p>
    <w:p w:rsidR="0052098F" w:rsidRDefault="0052098F" w:rsidP="0052098F">
      <w:pPr>
        <w:pStyle w:val="TextoNormal"/>
      </w:pPr>
    </w:p>
    <w:p w:rsidR="0052098F" w:rsidRDefault="0052098F" w:rsidP="0052098F">
      <w:pPr>
        <w:pStyle w:val="TextoNormal"/>
      </w:pPr>
      <w:r w:rsidRPr="0052098F">
        <w:rPr>
          <w:rStyle w:val="NumeroAFNegritaCaracter"/>
        </w:rPr>
        <w:t>3</w:t>
      </w:r>
      <w:r>
        <w:t>. Por providencia de la Sección Tercera de este Tribunal, de 16 de octubre de 2006, se acordó abrir trámite de veinte días a la Procuradora de don Jaume Gironés Nebot para que pudiera formalizar la demanda de amparo, y el mismo plazo para que doña Elvira Salvat Cervelló compareciera con Abogado y Procurador a su cargo si era de su interés actuar en el proceso. No habiéndolo hecho esta última, la Sección Tercera de este Tribunal acordó, en providencia de 17 de enero de 2007, la caducidad del recurso de amparo por lo que respecta a dicha recurrente.</w:t>
      </w:r>
    </w:p>
    <w:p w:rsidR="0052098F" w:rsidRDefault="0052098F" w:rsidP="0052098F">
      <w:pPr>
        <w:pStyle w:val="TextoNormal"/>
      </w:pPr>
    </w:p>
    <w:p w:rsidR="0052098F" w:rsidRDefault="0052098F" w:rsidP="0052098F">
      <w:pPr>
        <w:pStyle w:val="TextoNormal"/>
      </w:pPr>
      <w:r w:rsidRPr="0052098F">
        <w:rPr>
          <w:rStyle w:val="NumeroAFNegritaCaracter"/>
        </w:rPr>
        <w:t>4</w:t>
      </w:r>
      <w:r>
        <w:t>. Mediante escrito registrado ante este Tribunal el 22 de noviembre de 2006 la Procuradora de don Jaume Gironés Nebot interpuso demanda de amparo contra las resoluciones de las que se deja hecho mérito en el encabezamiento.</w:t>
      </w:r>
    </w:p>
    <w:p w:rsidR="0052098F" w:rsidRDefault="0052098F" w:rsidP="0052098F">
      <w:pPr>
        <w:pStyle w:val="TextoNormal"/>
      </w:pPr>
    </w:p>
    <w:p w:rsidR="0052098F" w:rsidRDefault="0052098F" w:rsidP="0052098F">
      <w:pPr>
        <w:pStyle w:val="TextoNormal"/>
      </w:pPr>
      <w:r w:rsidRPr="0052098F">
        <w:rPr>
          <w:rStyle w:val="NumeroAFNegritaCaracter"/>
        </w:rPr>
        <w:t>5</w:t>
      </w:r>
      <w:r>
        <w:t xml:space="preserve">. Los hechos con relevancia para la resolución del presente recurso de amparo a los que se refiere la demanda presentada son los siguientes: </w:t>
      </w:r>
    </w:p>
    <w:p w:rsidR="0052098F" w:rsidRDefault="0052098F" w:rsidP="0052098F">
      <w:pPr>
        <w:pStyle w:val="TextoNormal"/>
      </w:pPr>
      <w:r>
        <w:t xml:space="preserve">a) Doña Rosa María Gironés Nebot instó la apertura de juicio ordinario en ejercicio de acción de división de cosa común contra el aquí recurrente de amparo y doña Elvira Salvat Cervelló. Ambos codemandados solicitaron el otorgamiento del beneficio de justicia gratuita, lo que les fue inicialmente denegado por Resolución de la Comisión de Asistencia Jurídica Gratuita de Tarragona de fecha 28 de julio de 2003 pero resultó finalmente concedido por el Juez de Primera Instancia núm. 8 de Reus en Auto de fecha 27 de noviembre de 2003, al estimar un recurso de impugnación contra aquélla, procediéndose entonces a la designación de Abogado y Procurador de oficio y alzándose la suspensión del juicio, previamente acordada ex art. 16 de la Ley 1/1996, de asistencia jurídica gratuita. </w:t>
      </w:r>
    </w:p>
    <w:p w:rsidR="0052098F" w:rsidRDefault="0052098F" w:rsidP="0052098F">
      <w:pPr>
        <w:pStyle w:val="TextoNormal"/>
      </w:pPr>
      <w:r>
        <w:t xml:space="preserve">b) Presentado escrito de contestación a la demanda y reconvención por los demandados, continuó el procedimiento por sus trámites legales y, una vez estuvo sustanciado, el Juez competente dictó Sentencia el 14 de enero de 2005, estimatoria de la demanda interpuesta, en la cual se acordó la cesación de la indivisión de la finca propiedad de las partes y su venta ejecutiva en subasta pública; al tiempo que se desestimó la reconvención formulada por los demandados. </w:t>
      </w:r>
    </w:p>
    <w:p w:rsidR="0052098F" w:rsidRDefault="0052098F" w:rsidP="0052098F">
      <w:pPr>
        <w:pStyle w:val="TextoNormal"/>
      </w:pPr>
      <w:r>
        <w:t xml:space="preserve">c) El 27 de enero de 2005 estos últimos dedujeron escrito de preparación de recurso de apelación contra dicha Sentencia, teniéndose por preparado el recurso por providencia de 7 de febrero de 2005 y abriéndose plazo para su interposición, lo que cumplimentó la parte apelante con escrito registrado el 15 de marzo de 2005, admitido por el Juzgado mediante providencia de 16 de marzo de 2005, en la cual se acordó dar traslado a la apelada a efectos de que pudiera formular, si lo desease, su oposición. Así lo hizo ésta, por escrito registrado el 5 de abril de 2005. </w:t>
      </w:r>
    </w:p>
    <w:p w:rsidR="0052098F" w:rsidRDefault="0052098F" w:rsidP="0052098F">
      <w:pPr>
        <w:pStyle w:val="TextoNormal"/>
      </w:pPr>
      <w:r>
        <w:t xml:space="preserve">d) El 8 de abril de 2005 el Juez a quo dictó providencia teniendo por evacuado el trámite de oposición y, en su consecuencia, ordenó la remisión de las actuaciones a la Audiencia Provincial de Tarragona, competente para resolver el recurso, con emplazamiento a las partes; dictándose en la misma fecha sendas diligencias de notificación y emplazamiento por treinta días, constando haberse notificado al Procurador de los apelantes el 19 de abril de 2005. </w:t>
      </w:r>
    </w:p>
    <w:p w:rsidR="0052098F" w:rsidRDefault="0052098F" w:rsidP="0052098F">
      <w:pPr>
        <w:pStyle w:val="TextoNormal"/>
      </w:pPr>
      <w:r>
        <w:lastRenderedPageBreak/>
        <w:t xml:space="preserve">e) El Letrado de oficio de estos últimos dirigió el 26 de abril de 2005 escrito, registrado el 29 de abril de 2005, a la Audiencia Provincial de Tarragona a efectos de cumplir con el emplazamiento. En tal escrito al “no estar habilitado el Procurador designado en el procedimiento de origen para actuar ante la Audiencia de Tarragona” (según se indica en la demanda de amparo), solicitó que se designara Procurador “por el turno de oficio para la representación de los Sres. Gironés Nebot y Elvira Salvat Cervelló, entendiéndose con el mismo cuantas diligencias y notificaciones se practiquen en lo sucesivo”. </w:t>
      </w:r>
    </w:p>
    <w:p w:rsidR="0052098F" w:rsidRDefault="0052098F" w:rsidP="0052098F">
      <w:pPr>
        <w:pStyle w:val="TextoNormal"/>
      </w:pPr>
      <w:r>
        <w:t xml:space="preserve">f) El 10 de mayo de 2005 la Sección Tercera de dicha Audiencia Provincial dictó diligencia recibiendo los autos de procedencia y designando Ponente en el recurso. </w:t>
      </w:r>
    </w:p>
    <w:p w:rsidR="0052098F" w:rsidRDefault="0052098F" w:rsidP="0052098F">
      <w:pPr>
        <w:pStyle w:val="TextoNormal"/>
      </w:pPr>
      <w:r>
        <w:t xml:space="preserve">g) El 18 de mayo de 2005 el mismo Tribunal dictó providencia del siguiente tenor: “Dada cuenta; el escrito presentado por el Letrado Sr. Ramón Marcer Ollé que lo es de la parte apelante, devuélvase a su presentante ya que el Abogado no ostenta la representación de la parte sino sólo la dirección técnica, y hágasele saber que la petición de nombramiento de Procurador del turno de oficio para esta alzada debió haberse formulado en el momento de la interposición del recurso de apelación”. </w:t>
      </w:r>
    </w:p>
    <w:p w:rsidR="0052098F" w:rsidRDefault="0052098F" w:rsidP="0052098F">
      <w:pPr>
        <w:pStyle w:val="TextoNormal"/>
      </w:pPr>
      <w:r>
        <w:t xml:space="preserve">h) El 3 de junio de 2005 los propios apelantes presentaron un escrito solicitando la designación del Procurador don Lluis Colet Panadés; escrito que no fue tramitado ni quedó unido a las actuaciones. </w:t>
      </w:r>
    </w:p>
    <w:p w:rsidR="0052098F" w:rsidRDefault="0052098F" w:rsidP="0052098F">
      <w:pPr>
        <w:pStyle w:val="TextoNormal"/>
      </w:pPr>
      <w:r>
        <w:t xml:space="preserve">i) El 6 de junio de 2005, la Sección Tercera de la Audiencia Provincial de Tarragona dictó providencia en la que, “habiendo transcurrido el término de treinta días sin que por la representación de los apelantes … se haya presentado escrito de personación alguno, se declara precluido dicho trámite y por decaída a dicha parte de su derecho a personarse sin que haya lugar a notificarle resolución alguna salvo la que ponga fin a esta instancia”. </w:t>
      </w:r>
    </w:p>
    <w:p w:rsidR="0052098F" w:rsidRDefault="0052098F" w:rsidP="0052098F">
      <w:pPr>
        <w:pStyle w:val="TextoNormal"/>
      </w:pPr>
      <w:r>
        <w:t xml:space="preserve">j) Por Auto el 30 de septiembre de 2005 la Sección declaró desierto el recurso interpuesto al no haber tenido lugar la personación de la parte apelante. </w:t>
      </w:r>
    </w:p>
    <w:p w:rsidR="0052098F" w:rsidRDefault="0052098F" w:rsidP="0052098F">
      <w:pPr>
        <w:pStyle w:val="TextoNormal"/>
      </w:pPr>
      <w:r>
        <w:t xml:space="preserve">k) El 28 de octubre de 2005 se levantó en la Secretaría de la Sección Tercera de la Audiencia Provincial acta de comparecencia apud acta. En ella los recurrentes designaron de nuevo a don Lluis Colet Panadés como su Procurador, formalizando este último, el 31 de octubre de 2005, escrito de nulidad de actuaciones contra el Auto que declaró desierto el recurso de apelación. </w:t>
      </w:r>
    </w:p>
    <w:p w:rsidR="0052098F" w:rsidRDefault="0052098F" w:rsidP="0052098F">
      <w:pPr>
        <w:pStyle w:val="TextoNormal"/>
      </w:pPr>
      <w:r>
        <w:t xml:space="preserve">l) El incidente de nulidad resultó inicialmente admitido a trámite mediante providencia de 3 de noviembre de 2005, teniéndose por personado al Procurador designado apud acta. Finalmente la Sección Tercera de la Audiencia Provincial de Tarragona, por providencia de 28 de noviembre de 2005, acordó “inadmitir a trámite” el incidente, por entender que a través de él se plantea una mera discrepancia de los recurrentes con la decisión adoptada. </w:t>
      </w:r>
    </w:p>
    <w:p w:rsidR="0052098F" w:rsidRDefault="0052098F" w:rsidP="0052098F">
      <w:pPr>
        <w:pStyle w:val="TextoNormal"/>
      </w:pPr>
      <w:r>
        <w:t>m) Notificada esta última providencia el 2 de diciembre de 2005, los apelantes presentaron ante el Colegio de Abogados de Reus, el 28 de diciembre de 2005, escrito dirigido a este Tribunal Constitucional con la doble finalidad de anunciar la presentación de recurso de amparo y en solicitud de reconocimiento de justicia gratuita para la designación de Abogado y Procurador de oficio, remitiéndose por fax dicho escrito a este Tribunal el 30 de diciembre de 2005, tal como se ha referido ya anteriormente.</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La demanda de amparo se dirige contra las resoluciones de la Audiencia Provincial que han declarado desierto el recurso de apelación que interpusieron en su día el aquí recurrente y su esposa por la no personación de dichos apelantes con arreglo a Derecho, es decir, mediante escrito de Abogado y Procurador legalmente habilitados. Aduce el demandante de amparo que su caso “se aproxima más” al derecho de acceso a la jurisdicción que al derecho a los recursos, pidiendo así la aplicación a su favor del principio pro actione ante lo que </w:t>
      </w:r>
      <w:r>
        <w:lastRenderedPageBreak/>
        <w:t xml:space="preserve">califica de una inadmisión rigorista. Señala que, una vez interpuesto su recurso de apelación y habiéndose admitido por el Juzgado, éste dictó dos diligencias de emplazamiento a las partes para su personación ante la Audiencia, una sin indicar plazo y otra ya precisando el de los treinta días legales, de las cuales dice que sólo se le notificó la primera de ellas. Con independencia de esto, prosigue, el Letrado de oficio actuante presentó, dentro de ese plazo de treinta días, escrito a la Audiencia pidiendo la designación de Procurador de oficio. </w:t>
      </w:r>
    </w:p>
    <w:p w:rsidR="0052098F" w:rsidRDefault="0052098F" w:rsidP="0052098F">
      <w:pPr>
        <w:pStyle w:val="TextoNormal"/>
      </w:pPr>
      <w:r>
        <w:t xml:space="preserve">Sostiene el recurrente en amparo que, en contra de lo razonado por la Sección Tercera de la Audiencia Provincial, no existe ninguna disposición legal que imponga la carga de tener que formular la solicitud de Procurador en el mismo escrito de interposición del recurso de apelación, ni hay prohibición de no poder hacerlo después, debiendo tenerse en cuenta el art. 7 de la Ley 1/1996 de asistencia jurídica gratuita en cuanto extiende los efectos de la concesión del beneficio de justicia gratuita a todas las demás instancias y recursos, debiendo ser en este último caso el Tribunal ad quem el que, una vez recibidas las actuaciones, recabe la designación de los profesionales que correspondan. </w:t>
      </w:r>
    </w:p>
    <w:p w:rsidR="0052098F" w:rsidRDefault="0052098F" w:rsidP="0052098F">
      <w:pPr>
        <w:pStyle w:val="TextoNormal"/>
      </w:pPr>
      <w:r>
        <w:t xml:space="preserve">En virtud de todo ello el recurrente en amparo alega haber sufrido indefensión al haberse declarado desierto su recurso con el argumento de que la solicitud de designación de Procurador debió hacerse en el escrito de interposición del recurso de apelación. Y pone de manifiesto, que como consecuencia de la situación creada, se vio obligado a utilizar los servicios de un Procurador de libre designación a fin de continuar el procedimiento y luego para interponer un incidente de nulidad que resultó, a la postre, inadmitido. </w:t>
      </w:r>
    </w:p>
    <w:p w:rsidR="0052098F" w:rsidRDefault="0052098F" w:rsidP="0052098F">
      <w:pPr>
        <w:pStyle w:val="TextoNormal"/>
      </w:pPr>
      <w:r>
        <w:t>Y con todo, afirma el demandante de amparo, aun en el supuesto de que hubiera sido preceptivo formular la solicitud de designación de Procurador de oficio en el trámite de interposición de la apelación ante el Juzgado, se trataría siempre de un requisito subsanable, por lo que la respuesta a su omisión no puede ser la de declarar desierto el recurso. Invoca asimismo el art. 16 de la propia Ley 1/1996, de asistencia jurídica gratuita, en cuanto a la necesidad de que se suspenda el procedimiento respectivo una vez efectuada la solicitud de designación de profesional de oficio; suspensión que aquí no se acordó, lo que trajo consigo el grave perjuicio de declarar desierto el recurso.</w:t>
      </w:r>
    </w:p>
    <w:p w:rsidR="0052098F" w:rsidRDefault="0052098F" w:rsidP="0052098F">
      <w:pPr>
        <w:pStyle w:val="TextoNormal"/>
      </w:pPr>
    </w:p>
    <w:p w:rsidR="0052098F" w:rsidRDefault="0052098F" w:rsidP="0052098F">
      <w:pPr>
        <w:pStyle w:val="TextoNormal"/>
      </w:pPr>
      <w:r w:rsidRPr="0052098F">
        <w:rPr>
          <w:rStyle w:val="NumeroAFNegritaCaracter"/>
        </w:rPr>
        <w:t>7</w:t>
      </w:r>
      <w:r>
        <w:t>. Por providencia de la Sala Segunda de este Tribunal se acordó el 4 de octubre de 2007 la admisión a trámite de la demanda de amparo presentada y, en aplicación de lo dispuesto en el art. 51 LOTC, dirigir atentas comunicaciones al Juzgado de Primera Instancia núm. 8 de Reus y a la Sección Tercera de la Audiencia Provincial de Tarragona para que, en el plazo de diez días, remitieran, respectivamente, certificación o fotocopia adverada de las actuaciones correspondientes al juicio ordinario de primera instancia y al rollo de apelación, así como procedieran al emplazamiento de quienes hubieran sido partes en el proceso ante ellos para que pudieran comparecer, si lo desearan, en el presente proceso constitucional.</w:t>
      </w:r>
    </w:p>
    <w:p w:rsidR="0052098F" w:rsidRDefault="0052098F" w:rsidP="0052098F">
      <w:pPr>
        <w:pStyle w:val="TextoNormal"/>
      </w:pPr>
    </w:p>
    <w:p w:rsidR="0052098F" w:rsidRDefault="0052098F" w:rsidP="0052098F">
      <w:pPr>
        <w:pStyle w:val="TextoNormal"/>
      </w:pPr>
      <w:r w:rsidRPr="0052098F">
        <w:rPr>
          <w:rStyle w:val="NumeroAFNegritaCaracter"/>
        </w:rPr>
        <w:t>8</w:t>
      </w:r>
      <w:r>
        <w:t>. Recibidas todas las actuaciones, la Sección Tercera de este Tribunal dictó diligencia de ordenación el 11 de enero de 2008 abriendo plazo común de veinte días a la parte recurrente y al Ministerio público para presentación de alegaciones; lo que la representación procesal de don Jaume Gironés Nebot llevó a cabo mediante escrito de 12 de febrero de 2008, registrado el 14 de febrero de 2008, ratificándose en la demanda de amparo presentada.</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Fiscal ante el Tribunal Constitucional presentó escrito de alegaciones, registrado el 21 de febrero de 2008, interesando el otorgamiento del amparo. Precisa, en primer lugar, </w:t>
      </w:r>
      <w:r>
        <w:lastRenderedPageBreak/>
        <w:t xml:space="preserve">que las resoluciones relevantes en el caso serían a su juicio, en primer lugar la providencia de la Sección Tercera de la Audiencia Provincial de 18 de mayo de 2005 que ordena la devolución del escrito de solicitud de designación de Procurador de oficio al Letrado presentante, con lo que viene tácitamente a denegar tanto la personación de los apelantes como la solicitud de designación de Procurador, y, en segundo lugar, el Auto de 30 de septiembre de 2005 que declara desierto el recurso interpuesto por falta de personación. Sobre esta base considera como derechos fundamentales afectados el de acceso a los recursos (art. 24.1 CE) y el derecho a la asistencia letrada (art. 24.2 CE), este último atendiendo a que la designación pedida lo era para un Procurador de oficio a favor de quien “había litigado en la instancia bajo el manto de la asistencia jurídica gratuita”. </w:t>
      </w:r>
    </w:p>
    <w:p w:rsidR="0052098F" w:rsidRDefault="0052098F" w:rsidP="0052098F">
      <w:pPr>
        <w:pStyle w:val="TextoNormal"/>
      </w:pPr>
      <w:r>
        <w:t>Así, tras tomar en consideración las razones dadas por la Audiencia en sus resoluciones, y partiendo del marco normativo aplicable en cuanto a la designación de profesional de oficio y a los efectos que produce una solicitud de este tipo en el procedimiento en curso, sostiene el Ministerio público que el Auto que declaró desierta la apelación del demandante de amparo ha vulnerado su derecho fundamental al recurso, al tomar tan grave decisión procesal ignorando una solicitud que incluso tenía que haber adoptado de oficio, todo ello a través de una interpretación de los preceptos en juego claramente enervante y formalista amén de desproporcionada, frente a lo que ha sido la actuación de la parte y a la trascendencia de los derechos procesales y constitucionales en juego. Finalmente se invoca, para reforzar la línea de razonamiento mantenida, nuestra STC 267/2006, de 11 de septiembre.</w:t>
      </w:r>
    </w:p>
    <w:p w:rsidR="0052098F" w:rsidRDefault="0052098F" w:rsidP="0052098F">
      <w:pPr>
        <w:pStyle w:val="TextoNormal"/>
      </w:pPr>
    </w:p>
    <w:p w:rsidR="0052098F" w:rsidRDefault="0052098F" w:rsidP="0052098F">
      <w:pPr>
        <w:pStyle w:val="TextoNormal"/>
      </w:pPr>
      <w:r w:rsidRPr="0052098F">
        <w:rPr>
          <w:rStyle w:val="NumeroAFNegritaCaracter"/>
        </w:rPr>
        <w:t>10</w:t>
      </w:r>
      <w:r>
        <w:t>. Habiéndose solicitado por medio de otrosí en el escrito de demanda la suspensión cautelar de la vía de apremio abierta para la subasta de la finca objeto de litigio se acordó abrir la pieza correspondiente, dando traslado a la parte recurrente y al Ministerio Fiscal para alegaciones por tres días. Dichas alegaciones se efectuaron por sendos escritos a favor de la suspensión, la cual fue acordada por Auto de la Sala Segunda de este Tribunal de fecha 17 de diciembre de 2007.</w:t>
      </w:r>
    </w:p>
    <w:p w:rsidR="0052098F" w:rsidRDefault="0052098F" w:rsidP="0052098F">
      <w:pPr>
        <w:pStyle w:val="TextoNormal"/>
      </w:pPr>
    </w:p>
    <w:p w:rsidR="0052098F" w:rsidRDefault="0052098F" w:rsidP="0052098F">
      <w:pPr>
        <w:pStyle w:val="TextoNormal"/>
      </w:pPr>
      <w:r w:rsidRPr="0052098F">
        <w:rPr>
          <w:rStyle w:val="NumeroAFNegritaCaracter"/>
        </w:rPr>
        <w:t>11</w:t>
      </w:r>
      <w:r>
        <w:t>. Por providencia de fecha 10 de abril de 2008, se señaló para deliberación y votación de la presente Sentencia el día 14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presente recurso de amparo ha sido interpuesto ante la inadmisión del recurso de apelación promovido por el aquí recurrente y su esposa contra la Sentencia de primera instancia que acordó la división de la finca cuya propiedad compartían con la actora del pleito y la venta del inmueble en pública subasta. Dicha inadmisión fue acordada por la Audiencia Provincial tras constatar que no se había deducido escrito de personación de dicha parte apelante con Abogado y Procurador habilitados dentro del plazo del emplazamiento. Con anterioridad la Audiencia Provincial había acordado, en providencia de 18 de mayo, no dar curso a la solicitud de designación de Procurador de oficio formulada por el Letrado de los apelantes en nombre de éstos ante la imposibilidad de poder seguir actuando el Procurador de la primera instancia por carecer de habilitación para ello.</w:t>
      </w:r>
    </w:p>
    <w:p w:rsidR="0052098F" w:rsidRDefault="0052098F" w:rsidP="0052098F">
      <w:pPr>
        <w:pStyle w:val="TextoNormal"/>
      </w:pPr>
      <w:r>
        <w:t xml:space="preserve">Ambas decisiones judiciales aparecen así causalmente vinculadas: la negativa a proveer la solicitud de designación de Procurador de oficio y la subsiguiente inadmisión del recurso de apelación al declararlo desierto por falta de personación.  Respecto de esto último, sin embargo, no cuestiona el recurrente en amparo el criterio de hermenéutica jurídica que llevó </w:t>
      </w:r>
      <w:r>
        <w:lastRenderedPageBreak/>
        <w:t>a la Sección Tercera de la Audiencia Provincial a deducir tal efecto de inadmisión con base en el art. 463.1 de la Ley de enjuiciamiento civil (LEC, en la redacción dada a este precepto por la Ley 22/2003, de 9 de julio); criterio que acepta y no somete al enjuiciamiento del Tribunal Constitucional. Lo que cuestiona el recurrente es el presupuesto fáctico sobre el que se sustenta el razonamiento de la Audiencia Provincial, que no se hubiera personado durante el emplazamiento, cuando lo cierto es que esa personación sí se intentó y que para ello fue para lo que se pidió la designación de Procurador de oficio.</w:t>
      </w:r>
    </w:p>
    <w:p w:rsidR="0052098F" w:rsidRDefault="0052098F" w:rsidP="0052098F">
      <w:pPr>
        <w:pStyle w:val="TextoNormal"/>
      </w:pPr>
    </w:p>
    <w:p w:rsidR="0052098F" w:rsidRDefault="0052098F" w:rsidP="0052098F">
      <w:pPr>
        <w:pStyle w:val="TextoNormal"/>
      </w:pPr>
      <w:r w:rsidRPr="0052098F">
        <w:rPr>
          <w:rStyle w:val="NumeroAFNegritaCaracter"/>
        </w:rPr>
        <w:t>2</w:t>
      </w:r>
      <w:r>
        <w:t>. En los términos expuestos, el primer derecho fundamental que aparece concernido en el caso sometido a nuestro enjuiciamiento es el de la tutela judicial efectiva (art. 24.1 CE) en su vertiente de acceso a los recursos legalmente establecidos; derecho éste de configuración legal, excepto en el supuesto de sentencias penales de condena en primera instancia. En concreto, y por lo que aquí importa, constituye doctrina de este Tribunal Constitucional que la interpretación y la aplicación de las normas procesales que contemplan los requisitos para la admisión de los recursos son materias de legalidad ordinaria, propias de los Tribunales de Justicia (art. 117.3 CE), cuyos pronunciamientos al respecto no resultan revisables en amparo excepto si se manifiestan carentes de motivación, se apoyan en una causa legalmente inexistente o evidencian un juicio arbitrario, irrazonable o fundado en error fáctico patente, sin que el control que nos corresponde realizar sobre ellos pueda extenderse al juicio de proporcionalidad inherente al principio pro actione, característico del derecho de acceso a la jurisdicción (entre otras: SSTC 107/2005, de 9 de mayo, FJ 4; 102/2006, de 3 de abril, FJ 2; 256/2006, de 11 de septiembre, FJ 5; 22/2007, de 12 de febrero, FJ 4; 51/2007, de 12 de marzo, FJ 4; 195/2007, de 11 de septiembre, FJ 3).</w:t>
      </w:r>
    </w:p>
    <w:p w:rsidR="0052098F" w:rsidRDefault="0052098F" w:rsidP="0052098F">
      <w:pPr>
        <w:pStyle w:val="TextoNormal"/>
      </w:pPr>
      <w:r>
        <w:t>Además ha de advertirse que la actuación por Procurador de oficio, ex art. 6.3 de la Ley 1/1996, forma parte integrante del contenido material del derecho a la asistencia jurídica gratuita y entronca así con el derecho fundamental a la asistencia letrada (art. 24.2 CE), aplicable en todo tipo de procesos y no sólo en el penal (SSTC 152/2000, de 12 de junio, FJ 3; 18/2006, de 30 de enero, FJ 2).</w:t>
      </w:r>
    </w:p>
    <w:p w:rsidR="0052098F" w:rsidRDefault="0052098F" w:rsidP="0052098F">
      <w:pPr>
        <w:pStyle w:val="TextoNormal"/>
      </w:pPr>
    </w:p>
    <w:p w:rsidR="0052098F" w:rsidRDefault="0052098F" w:rsidP="0052098F">
      <w:pPr>
        <w:pStyle w:val="TextoNormal"/>
      </w:pPr>
      <w:r w:rsidRPr="0052098F">
        <w:rPr>
          <w:rStyle w:val="NumeroAFNegritaCaracter"/>
        </w:rPr>
        <w:t>3</w:t>
      </w:r>
      <w:r>
        <w:t>. Al analizar los hechos del caso al que se refiere la demanda de amparo aparecen ciertos datos decisivos para su resolución. En primer lugar, que el recurrente disponía (lo ha tenido reconocido en ambas instancias judiciales y luego ante este Tribunal Constitucional) del beneficio de justicia gratuita, lo que trae entre sus efectos legales el derecho a la designación de Abogado y Procurador de oficio (art. 27 de la Ley 1/1996: LAJG). En segundo lugar, la imperatividad de la designación de nuevo Procurador de oficio, pues el actuante como tal en primera instancia no podía seguir en el cargo por limitaciones territoriales, circunscrito como estaba al ámbito del partido judicial donde tenía su sede el Juzgado a quo (art. 13.1 del Real Decreto 1281/2002, de 5 de diciembre, que aprueba el Estatuto general de los Procuradores de los Tribunales de España). Y, en tercer término, que la solicitud efectuada a la Audiencia Provincial para que se designara Procurador de oficio a efectos de poder ejercer el derecho que el instante consideraba le asistía, se hizo por escrito presentado dentro de los términos establecidos por el emplazamiento y, por tanto, en tiempo hábil.</w:t>
      </w:r>
    </w:p>
    <w:p w:rsidR="0052098F" w:rsidRDefault="0052098F" w:rsidP="0052098F">
      <w:pPr>
        <w:pStyle w:val="TextoNormal"/>
      </w:pPr>
      <w:r>
        <w:t>La Sección Tercera de la Audiencia Provincial, sin embargo, ordenó, mediante providencia de 18 de mayo de 2005, devolver dicho escrito por no estar suscrito por Procurador ni haberse presentado ante el Juzgado en el trámite de interposición de la apelación. La Sección no deja constancia de dicho escrito en autos, no lo provee de ninguna manera ni ofrece recurso de reposición u otro mecanismo para poder impugnar la providencia que así lo re</w:t>
      </w:r>
      <w:r>
        <w:lastRenderedPageBreak/>
        <w:t>suelve; providencia ésta de cuya notificación al Letrado o a la parte tampoco queda constancia. El ingreso a los autos del escrito de los apelantes de 29 de abril de 2005 se produjo, en definitiva, en virtud de la interposición ulterior del incidente de nulidad de actuaciones contra el Auto que declaró desierto el recurso.</w:t>
      </w:r>
    </w:p>
    <w:p w:rsidR="0052098F" w:rsidRDefault="0052098F" w:rsidP="0052098F">
      <w:pPr>
        <w:pStyle w:val="TextoNormal"/>
      </w:pPr>
      <w:r>
        <w:t>Pero, además, la providencia mencionada de 18 de mayo de 2005 se limita a acordar no dar curso al escrito de 29 de abril, sin pronunciarse para nada respecto de la subsanabilidad de sus defectos ni prevenir sobre sus consecuencias respecto de la apelación en curso; es decir, sin advertir de la posibilidad de que fuera declarada desierta por incomparecencia en plazo de la parte apelante.</w:t>
      </w:r>
    </w:p>
    <w:p w:rsidR="0052098F" w:rsidRDefault="0052098F" w:rsidP="0052098F">
      <w:pPr>
        <w:pStyle w:val="TextoNormal"/>
      </w:pPr>
      <w:r>
        <w:t>Como no se les proveyó de Procurador de oficio, los apelantes presentaron el 3 de junio de 2006 un escrito pidiendo que se tuviera designado como Procurador a don Lluis Colet Panadés, a quien designaron al efecto directamente y a su costa, a pesar de que consideraban que seguían teniendo derecho al beneficio de justicia gratuita. La Sección Tercera de la Audiencia Provincial no proveyó ni dejó constancia en autos de este escrito, al que apenas alude en la ulterior providencia de 28 de noviembre de 2005 por la que inadmitió a trámite el incidente de nulidad de actuaciones.</w:t>
      </w:r>
    </w:p>
    <w:p w:rsidR="0052098F" w:rsidRDefault="0052098F" w:rsidP="0052098F">
      <w:pPr>
        <w:pStyle w:val="TextoNormal"/>
      </w:pPr>
      <w:r>
        <w:t>Finalmente, en providencia de 6 de junio de 2005, primera en la que la Audiencia atribuye efectos procesales sancionadores a la no actuación de Procurador en nombre de los apelantes, al dar por decaído el derecho de éstos a personarse, se ordena expresamente que no haya lugar a notificarles resolución alguna, “salvo la que ponga fin a esta instancia”. Y, en efecto, no hay constancia de que esta providencia de 6 de junio 2005 se notificara a los apelantes, ni sucede otra incidencia ya hasta el dictado del Auto de 30 de septiembre de 2005 que declaró desierto el recurso, frente al cual reaccionaron los apelantes mediante comparecencia apud acta ante la Secretaría de la Sección el 28 de octubre de 2005, solicitando el nombramiento como Procurador del mismo profesional que figuraba en el escrito de 3 de junio, a efectos de poder buscar la tutela de su derecho interponiendo un incidente de nulidad de actuaciones.</w:t>
      </w:r>
    </w:p>
    <w:p w:rsidR="0052098F" w:rsidRDefault="0052098F" w:rsidP="0052098F">
      <w:pPr>
        <w:pStyle w:val="TextoNormal"/>
      </w:pPr>
    </w:p>
    <w:p w:rsidR="0052098F" w:rsidRDefault="0052098F" w:rsidP="0052098F">
      <w:pPr>
        <w:pStyle w:val="TextoNormal"/>
      </w:pPr>
      <w:r w:rsidRPr="0052098F">
        <w:rPr>
          <w:rStyle w:val="NumeroAFNegritaCaracter"/>
        </w:rPr>
        <w:t>4</w:t>
      </w:r>
      <w:r>
        <w:t>. Tiene razón el demandante de amparo cuando señala que no existe indicación en la legislación procesal que constriña la petición de nombramiento de Procurador de oficio en apelación al escrito o trámite concreto de interposición del correspondiente recurso, y menos aún que de ello se predique el efecto preclusivo que sostiene la Sección Tercera de la Audiencia Provincial. Las normas de la LEC 2000 relativas al recurso de apelación nada prevén al respecto, ni tampoco las de la Ley 1/1996 de asistencia jurídica gratuita; y lo cierto es que, mientras el Juzgado no acuerde tener por presentados los escritos de interposición (parte apelante) y de oposición a la apelación (parte apelada), y ordene elevar las actuaciones a la Audiencia Provincial competente, aquella designación no resulta necesaria.</w:t>
      </w:r>
    </w:p>
    <w:p w:rsidR="0052098F" w:rsidRDefault="0052098F" w:rsidP="0052098F">
      <w:pPr>
        <w:pStyle w:val="TextoNormal"/>
      </w:pPr>
      <w:r>
        <w:t>Puede pensarse, bien es verdad, que la forma y el momento escogidos por los apelantes para hacer su solicitud no fueron los más habituales en el foro, pero desde luego no se infringió con ello ninguna norma de procedimiento ni se lesionaron derechos ajenos.</w:t>
      </w:r>
    </w:p>
    <w:p w:rsidR="0052098F" w:rsidRDefault="0052098F" w:rsidP="0052098F">
      <w:pPr>
        <w:pStyle w:val="TextoNormal"/>
      </w:pPr>
      <w:r>
        <w:t xml:space="preserve">Si la solicitud de designación de Procurador de oficio se hizo, por tanto, en tiempo hábil y de modo suficiente, debió ser atendida por la Sección Tercera de la Audiencia Provincial. En términos expeditos, y lógicamente no por casualidad sino en directa protección de los destinatarios de la norma, el art. 7.3 LAJG determina que el beneficio de asistencia jurídica (con su correspondiente contenido material), una vez reconocido y si no concurren circunstancias sobrevenidas que fuercen su revisión posterior (de lo que aquí no hay constancia), se extiende a todos los trámites, incidencias y recursos del proceso. En este último caso “si </w:t>
      </w:r>
      <w:r>
        <w:lastRenderedPageBreak/>
        <w:t>la competencia para el conocimiento de los recursos … correspond[e] a un órgano jurisdiccional cuya sede se encuentr[a] en distinta localidad, el Juzgado o Tribunal, una vez recibido el expediente judicial, requerirá a los respectivos Colegios la designación de Abogado y Procurador de oficio ejercientes en dicha sede jurisdiccional”. El sentido de la norma es claramente imperativo (“requerirá” la designación), y no puede suscitar duda ese deber de oficio en actuar cuando, como aquí ha sucedido, media una petición expresa del interesado, en el caso sometido a nuestro enjuiciamiento preparada a través de su Abogado.</w:t>
      </w:r>
    </w:p>
    <w:p w:rsidR="0052098F" w:rsidRDefault="0052098F" w:rsidP="0052098F">
      <w:pPr>
        <w:pStyle w:val="TextoNormal"/>
      </w:pPr>
      <w:r>
        <w:t>La consecuencia legal de esta solicitud no puede ser otra que la de darle respuesta acordando la designación de Procurador de oficio o, eventualmente, denegándola mediante Auto razonado si el recurrente hubiera dejado de tener derecho al beneficio de justicia gratuita. Pero, además y sobre todo, desde el momento en que la Audiencia Provincial tuvo constancia de dicha solicitud debió suspender el cómputo del plazo para la personación (desactivando con ello el riesgo de que éste transcurriera entre tanto, abocando a la decisión de declarar desierto el recurso), en virtud de lo establecido en el art. 16 LAJG, inciso segundo, a cuyo tenor “a fin de evitar que el transcurso de los plazos pueda provocar la preclusión de un trámite o la indefensión de cualquiera de las partes, el Juez, de oficio o a petición de parte, podrá decretar la suspensión hasta que se produzca la decisión sobre el reconocimiento o la denegación del derecho a litigar gratuitamente” (aquí, a designar el Procurador), o bien proceder a una designación provisional (sin suspensión) de los profesionales que tuvieran que asumir la representación procesal y la asistencia letrada del solicitante. Este Tribunal Constitucional ha advertido reiteradamente que resulta preciso, a fin de evitar cualquier caducidad de plazos, garantizar el derecho del justiciable a que, conforme a dicha norma, se suspenda el procedimiento cuando se haya solicitado la designación de Abogado o Procurador de oficio para actuar ante el Tribunal ad quem que conozca del recurso interpuesto, entendiendo que nos hallamos ante uno de los supuestos a los que presta cobertura el art. 16 de la Ley 1/1996 (SSTC 91/1994, de 21 de marzo, FJ 2; 71/1999, de 26 de abril, FFJJ 3 y 4; 1/2007, de 15 de enero, FJ 2).</w:t>
      </w:r>
    </w:p>
    <w:p w:rsidR="0052098F" w:rsidRDefault="0052098F" w:rsidP="0052098F">
      <w:pPr>
        <w:pStyle w:val="TextoNormal"/>
      </w:pPr>
    </w:p>
    <w:p w:rsidR="0052098F" w:rsidRDefault="0052098F" w:rsidP="0052098F">
      <w:pPr>
        <w:pStyle w:val="TextoNormal"/>
      </w:pPr>
      <w:r w:rsidRPr="0052098F">
        <w:rPr>
          <w:rStyle w:val="NumeroAFNegritaCaracter"/>
        </w:rPr>
        <w:t>5</w:t>
      </w:r>
      <w:r>
        <w:t>. Pero es más, aun cuando la solicitud de nombramiento de Procurador de oficio resultara objetivamente defectuosa por el modo en que aquí se hizo, es también doctrina de este Tribunal que la infracción apreciada debió haberse considerado subsanable (entre otras, SSTC 130/2003, de 30 de junio, FJ 2; 304/2005, de 12 de diciembre, FJ 2; 267/2006, de 11 de septiembre, FJ 4, esta última a propósito por cierto de la apelación civil). Ello habría tenido que conducir a que la Audiencia Provincial hubiera proveído a la solicitud o a que, alternativamente, hubiese concedido plazo para depurar el escrito correspondiente (por ejemplo, presentándolo un Procurador de oficio habilitado mediante una designación provisional efectuada por la misma Audiencia Provincial al amparo del art. 16 LAJG) o, en el caso más extremo, a que hubiera retrotraído las actuaciones al trámite de interposición de la apelación ante el Juzgado a quo para que, en ese instante, pudiera plantearse la solicitud de designación de Procurador de oficio.</w:t>
      </w:r>
    </w:p>
    <w:p w:rsidR="0052098F" w:rsidRDefault="0052098F" w:rsidP="0052098F">
      <w:pPr>
        <w:pStyle w:val="TextoNormal"/>
      </w:pPr>
      <w:r>
        <w:t xml:space="preserve">Como quiera que sea, pues, desde el momento en que se presentó el escrito solicitando dicha designación, el demandante de amparo podía razonablemente esperar una respuesta del órgano judicial, bien accediendo a ella, bien denegándola y emplazándole para el nombramiento de Procurador de su elección y a su costa. Pero lo que en ningún caso había de producirse es la pérdida del derecho al recurso, resultado reiteradamente excluido por este Tribunal en circunstancias análogas a la aquí enjuiciada (SSTC 221/2000, de 18 de septiembre, FJ 3; 201/2001, de 15 de octubre, FJ 3, para la apelación civil; 213/2001, de 29 de octubre, FJ 2; 130/2003, de 30 de junio, FJ 4; 187/2004, de 2 de noviembre, FJ 5; 84/2005, </w:t>
      </w:r>
      <w:r>
        <w:lastRenderedPageBreak/>
        <w:t>de 18 de abril, FJ 3; 304/2005, de 12 de diciembre, FJ 3; 1/2007, de 15 de enero, FJ 4; 7/2008, de 21 de enero, FJ 3). Y ello tanto más cuando tal efecto se predica respecto de un recurso correctamente entablado por el apelante en sus fases esenciales (preparación e interposición).</w:t>
      </w:r>
    </w:p>
    <w:p w:rsidR="0052098F" w:rsidRDefault="0052098F" w:rsidP="0052098F">
      <w:pPr>
        <w:pStyle w:val="TextoNormal"/>
      </w:pPr>
    </w:p>
    <w:p w:rsidR="0052098F" w:rsidRDefault="0052098F" w:rsidP="0052098F">
      <w:pPr>
        <w:pStyle w:val="TextoNormal"/>
      </w:pPr>
      <w:r w:rsidRPr="0052098F">
        <w:rPr>
          <w:rStyle w:val="NumeroAFNegritaCaracter"/>
        </w:rPr>
        <w:t>6</w:t>
      </w:r>
      <w:r>
        <w:t>. Consecuencia de todo lo expuesto es que las resoluciones dictadas por la Sección Tercera de la Audiencia Provincial de Tarragona en el caso han de reputarse, en palabras de nuestra STC 267/2006, de 11 de septiembre, FJ 4, pronunciada en un supuesto similar al que aquí nos ocupa, una “interpretación arbitraria e irrazonable de las normas procesales y del defecto advertido”; que vulnera el derecho a la tutela judicial efectiva del demandante de amparo en su vertiente de acceso al recurso (art. 24.1 CE; SSTC 71/1999, de 26 de abril, FJ 2; 201/2001, de 15 de octubre, FJ 3, en apelación civil; 130/2003, de 30 de junio, FJ 5; 267/2006, de 11 de septiembre, FJ 4, también apelación civil; 1/2007, de 15 de enero, FJ 2), con el resultado evidente de producirle indefensión al haberle impedido actuar procesalmente (SSTC 304/2005, de 12 de diciembre, FJ 2; 225/2007, de 22 de octubre, FFJ 4 y 9); así como también resulta contraria al derecho a la asistencia letrada (art. 24.2 CE; SSTC 189/2006; 1/2007, de 15 de enero, FJ 2).</w:t>
      </w:r>
    </w:p>
    <w:p w:rsidR="0052098F" w:rsidRDefault="0052098F" w:rsidP="0052098F">
      <w:pPr>
        <w:pStyle w:val="TextoNormal"/>
      </w:pPr>
      <w:r>
        <w:t>Procede, por tanto, la estimación del recurso de amparo, lo que ha de traer consigo la nulidad de las resoluciones dictadas por la Sección Tercera de la Audiencia Provincial de Tarragona a partir de la providencia de 18 de mayo de 2005 que acuerda no dar curso y devolver el escrito de solicitud de designación de Procurador de oficio, así como la retroacción de actuaciones a fin de que se provea a dicha solicitud en términos respetuosos con los derechos fundamentales del apelante, aquí recurrente en amparo, no dando lugar a la producción de un efecto preclusivo para la sustanciación del recurso mientras se resuelve sobre dicha petición.</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Jaume Gironés Nebot y, en consecuencia:</w:t>
      </w:r>
    </w:p>
    <w:p w:rsidR="0052098F" w:rsidRDefault="0052098F" w:rsidP="0052098F">
      <w:pPr>
        <w:pStyle w:val="TextoNormal"/>
      </w:pPr>
      <w:r>
        <w:t>1º Declarar que se han vulnerado los derechos fundamentales a la tutela judicial efectiva (art. 24.1 CE) y a la asistencia letrada (art. 24.2 CE) del recurrente.</w:t>
      </w:r>
    </w:p>
    <w:p w:rsidR="0052098F" w:rsidRDefault="0052098F" w:rsidP="0052098F">
      <w:pPr>
        <w:pStyle w:val="TextoNormal"/>
      </w:pPr>
      <w:r>
        <w:t>2º Restablecerlo en la integridad de sus derechos y, al efecto, anular la providencia de 18 de mayo de 2005 dictada por la Sección Tercera de la Audiencia Provincial de Tarragona en dicho procedimiento, así como todas las resoluciones posteriores; retrotrayendo las actuaciones al momento de la provisión sobre el escrito presentado por el apelante a través de su Abogado el 29 de abril de 2005 para que reciba respuesta en términos respetuosos de los derechos fundamentales vulnerados.</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catorce de abril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59" w:name="SENTENCIA_2008_56"/>
      <w:r>
        <w:lastRenderedPageBreak/>
        <w:t>SENTENCIA 56/2008, de 14 de abril de 2008</w:t>
      </w:r>
    </w:p>
    <w:bookmarkEnd w:id="59"/>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117, de 14 de mayo de 2008)</w:t>
      </w:r>
    </w:p>
    <w:p w:rsidR="0052098F" w:rsidRDefault="0052098F" w:rsidP="0052098F">
      <w:pPr>
        <w:pStyle w:val="TtuloBOE"/>
      </w:pPr>
    </w:p>
    <w:p w:rsidR="0052098F" w:rsidRDefault="0052098F" w:rsidP="0052098F">
      <w:pPr>
        <w:pStyle w:val="SntesisDescriptiva"/>
      </w:pPr>
      <w:r>
        <w:t>ECLI:ES:TC:2008:56</w:t>
      </w:r>
    </w:p>
    <w:p w:rsidR="0052098F" w:rsidRDefault="0052098F" w:rsidP="0052098F">
      <w:pPr>
        <w:pStyle w:val="SntesisDescriptiva"/>
      </w:pPr>
    </w:p>
    <w:p w:rsidR="0052098F" w:rsidRDefault="0052098F" w:rsidP="0052098F">
      <w:pPr>
        <w:pStyle w:val="SntesisDescriptiva"/>
      </w:pPr>
      <w:r>
        <w:t>Recurso de amparo 2732-2006. Promovido por don Sergio Enrique Izquierdo Hernández frente a las Sentencias del Tribunal Superior de Justicia de Canarias y de un Juzgado de lo Social de Santa Cruz de Tenerife que desestimaron su demanda contra Cepsa por despido.</w:t>
      </w:r>
    </w:p>
    <w:p w:rsidR="0052098F" w:rsidRDefault="0052098F" w:rsidP="0052098F">
      <w:pPr>
        <w:pStyle w:val="SntesisDescriptiva"/>
      </w:pPr>
    </w:p>
    <w:p w:rsidR="0052098F" w:rsidRDefault="0052098F" w:rsidP="0052098F">
      <w:pPr>
        <w:pStyle w:val="SntesisAnaltica"/>
      </w:pPr>
      <w:r>
        <w:t>Vulneración del derecho a la libre expresión: despido de un trabajador por distribuir un comunicado dentro de la empresa formulando críticas por cuestiones laborales. Voto particular.</w:t>
      </w:r>
    </w:p>
    <w:p w:rsidR="0052098F" w:rsidRDefault="0052098F" w:rsidP="0052098F">
      <w:pPr>
        <w:pStyle w:val="SntesisAnaltica"/>
      </w:pPr>
    </w:p>
    <w:p w:rsidR="0052098F" w:rsidRDefault="0052098F" w:rsidP="0052098F">
      <w:pPr>
        <w:pStyle w:val="Extracto"/>
      </w:pPr>
      <w:r>
        <w:t>1.</w:t>
      </w:r>
      <w:r>
        <w:tab/>
        <w:t>Resulta contrario al art. 20.1 a) CE el despido basado en las manifestaciones hechas por un trabajador, siempre que éstas guarden relación con sus intereses laborales, no entrañen una ofensa grave para la empleadora y no sean vejatorias para sus gestores o trabajadores, aunque puedan considerarse improcedentes [FJ 10].</w:t>
      </w:r>
    </w:p>
    <w:p w:rsidR="0052098F" w:rsidRDefault="0052098F" w:rsidP="0052098F">
      <w:pPr>
        <w:pStyle w:val="Extracto"/>
      </w:pPr>
    </w:p>
    <w:p w:rsidR="0052098F" w:rsidRDefault="0052098F" w:rsidP="0052098F">
      <w:pPr>
        <w:pStyle w:val="Extracto"/>
      </w:pPr>
      <w:r>
        <w:t>2.</w:t>
      </w:r>
      <w:r>
        <w:tab/>
        <w:t>Aplica la doctrina sobre los márgenes del derecho a la libertad de expresión en el ámbito de las relaciones laborales de la STC 151/2004 [FJ 6].</w:t>
      </w:r>
    </w:p>
    <w:p w:rsidR="0052098F" w:rsidRDefault="0052098F" w:rsidP="0052098F">
      <w:pPr>
        <w:pStyle w:val="Extracto"/>
      </w:pPr>
    </w:p>
    <w:p w:rsidR="0052098F" w:rsidRDefault="0052098F" w:rsidP="0052098F">
      <w:pPr>
        <w:pStyle w:val="Extracto"/>
      </w:pPr>
      <w:r>
        <w:t>3.</w:t>
      </w:r>
      <w:r>
        <w:tab/>
        <w:t>Desde la prevalencia de los derechos fundamentales, su limitación sólo puede derivar, bien del hecho de que la propia naturaleza del trabajo contratado implique la restricción del derecho, bien de una acreditada necesidad o interés empresarial, sin que sea suficiente su mera invocación para sacrificar el derecho fundamental del trabajador (STC 181/2006) [FJ 7].</w:t>
      </w:r>
    </w:p>
    <w:p w:rsidR="0052098F" w:rsidRDefault="0052098F" w:rsidP="0052098F">
      <w:pPr>
        <w:pStyle w:val="Extracto"/>
      </w:pPr>
    </w:p>
    <w:p w:rsidR="0052098F" w:rsidRDefault="0052098F" w:rsidP="0052098F">
      <w:pPr>
        <w:pStyle w:val="Extracto"/>
      </w:pPr>
      <w:r>
        <w:t>4.</w:t>
      </w:r>
      <w:r>
        <w:tab/>
        <w:t>Aplica doctrina sobre el derecho a la libertad de expresión, matizando que éste no consagra un derecho al insulto (SSTC 204/1997, 181/2006) [FJ 5].</w:t>
      </w:r>
    </w:p>
    <w:p w:rsidR="0052098F" w:rsidRDefault="0052098F" w:rsidP="0052098F">
      <w:pPr>
        <w:pStyle w:val="Extracto"/>
      </w:pPr>
    </w:p>
    <w:p w:rsidR="0052098F" w:rsidRDefault="0052098F" w:rsidP="0052098F">
      <w:pPr>
        <w:pStyle w:val="Extracto"/>
      </w:pPr>
      <w:r>
        <w:t>5.</w:t>
      </w:r>
      <w:r>
        <w:tab/>
        <w:t>Las opiniones no se prestan a una demostración de exactitud, y ello hace que al que ejercita la libertad de expresión no le sea exigible la prueba de la verdad o diligencia en su averiguación, que condiciona, en cambio el derecho de información (SSTC 4/1996, 181/2006) [FJ 3].</w:t>
      </w:r>
    </w:p>
    <w:p w:rsidR="0052098F" w:rsidRDefault="0052098F" w:rsidP="0052098F">
      <w:pPr>
        <w:pStyle w:val="Extracto"/>
      </w:pPr>
    </w:p>
    <w:p w:rsidR="0052098F" w:rsidRDefault="0052098F" w:rsidP="0052098F">
      <w:pPr>
        <w:pStyle w:val="Extracto"/>
      </w:pPr>
      <w:r>
        <w:t>6.</w:t>
      </w:r>
      <w:r>
        <w:tab/>
        <w:t>No sólo nada impide a un trabajador criticar a sus representantes, sino que tampoco existe obstáculo para ejercitar su libertad de expresión al margen de ellos [FJ 9].</w:t>
      </w:r>
    </w:p>
    <w:p w:rsidR="0052098F" w:rsidRDefault="0052098F" w:rsidP="0052098F">
      <w:pPr>
        <w:pStyle w:val="Extracto"/>
      </w:pPr>
    </w:p>
    <w:p w:rsidR="0052098F" w:rsidRDefault="0052098F" w:rsidP="0052098F">
      <w:pPr>
        <w:pStyle w:val="Extracto"/>
      </w:pPr>
      <w:r>
        <w:t>7.</w:t>
      </w:r>
      <w:r>
        <w:tab/>
        <w:t>La libertad de expresión ejercida en el ámbito de la relación laboral no está condicionada al requisito de que las opiniones que se vierten sean más o menos mayoritarias dentro del conjunto de los trabajadores de la empresa o cuenten con el respaldo del órgano de representación de éstos [FJ 9].</w:t>
      </w:r>
    </w:p>
    <w:p w:rsidR="0052098F" w:rsidRDefault="0052098F" w:rsidP="0052098F">
      <w:pPr>
        <w:pStyle w:val="Extracto"/>
      </w:pPr>
    </w:p>
    <w:p w:rsidR="0052098F" w:rsidRDefault="0052098F" w:rsidP="0052098F">
      <w:pPr>
        <w:pStyle w:val="Extracto"/>
      </w:pPr>
      <w:r>
        <w:lastRenderedPageBreak/>
        <w:t>8.</w:t>
      </w:r>
      <w:r>
        <w:tab/>
        <w:t>Aplica doctrina sobre el plazo legal para la interposición del recurso de amparo que establece el art. 44.2 LOTC, en su redacción anterior a la reforma operada por la Ley Orgánica 6/2007, de 24 de mayo. [FJ 2].</w:t>
      </w:r>
    </w:p>
    <w:p w:rsidR="0052098F" w:rsidRDefault="0052098F" w:rsidP="0052098F">
      <w:pPr>
        <w:pStyle w:val="Extracto"/>
      </w:pPr>
    </w:p>
    <w:p w:rsidR="0052098F" w:rsidRDefault="0052098F" w:rsidP="0052098F">
      <w:pPr>
        <w:pStyle w:val="Extracto"/>
      </w:pPr>
      <w:r>
        <w:t>9.</w:t>
      </w:r>
      <w:r>
        <w:tab/>
        <w:t>La inadmisión del recurso de casación para la unificación de doctrina por parte del Tribunal Supremo no comporta que su interposición haya de tenerse por manifiestamente improcedente o dilatoria a efectos del cómputo del plazo para recurrir en amparo (SSTC 211/1999, 265/2006) [FJ 2].</w:t>
      </w:r>
    </w:p>
    <w:p w:rsidR="0052098F" w:rsidRDefault="0052098F" w:rsidP="0052098F">
      <w:pPr>
        <w:pStyle w:val="Extracto"/>
      </w:pPr>
    </w:p>
    <w:p w:rsidR="0052098F" w:rsidRDefault="0052098F" w:rsidP="0052098F">
      <w:pPr>
        <w:pStyle w:val="Extracto"/>
      </w:pPr>
      <w:r>
        <w:t>10.</w:t>
      </w:r>
      <w:r>
        <w:tab/>
        <w:t>En aquellos supuestos en los que se emplee el recurso de casación para la unificación de doctrina contraviniendo abiertamente su función institucional habrá que considerar manifiestamente improcedente el recurso presentado, lo que conducirá a declarar el carácter extemporáneo de la demanda de amparo siempre que con ello se haya ocasionado una artificial prolongación del plazo previsto en el art. 44.2 LOTC [FJ 2].</w:t>
      </w:r>
    </w:p>
    <w:p w:rsidR="0052098F" w:rsidRDefault="0052098F" w:rsidP="0052098F">
      <w:pPr>
        <w:pStyle w:val="Extracto"/>
      </w:pPr>
    </w:p>
    <w:p w:rsidR="0052098F" w:rsidRDefault="0052098F" w:rsidP="0052098F">
      <w:pPr>
        <w:pStyle w:val="Extracto"/>
      </w:pPr>
      <w:r>
        <w:t>11.</w:t>
      </w:r>
      <w:r>
        <w:tab/>
        <w:t>Procede declarar la nulidad de las Sentencias impugnadas así como del Auto de la Sala de lo Social del Tribunal Supremo que declaró la firmeza de la Sentencia dictada en suplicación [FJ 11].</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2732-2006, interpuesto por don Sergio Enrique Izquierdo Hernández, representado por el Procurador de los Tribunales don José Pedro Vila Rodríguez y asistido por la Abogada doña María Josefina Méndez Pérez, contra la Sentencia de la Sala de lo Social del Tribunal Superior de Justicia de Canarias, sede de Santa Cruz de Tenerife, de 5 de julio de 2004, dictada en el recurso de suplicación núm. 453-2004, formulado frente a la Sentencia del Juzgado de lo Social núm. 1 de Santa Cruz de Tenerife, de 2 de marzo de 2004, que en autos núm. 777-2003 declaró la procedencia del despido del recurrente en amparo. Ha sido parte la Compañía Española de Petróleos, S.A. (Cepsa), representada por el Procurador de los Tribunales don Jorge Deleito García y asistida por el Abogado don Juan Antonio Sagardoy Bengoechea. Ha intervenido el Ministerio Fiscal. Ha sido Ponente el Magistrado don Pascual Sala Sánchez, quien expresa el parecer de la Sala.</w:t>
      </w:r>
    </w:p>
    <w:p w:rsidR="0052098F" w:rsidRDefault="0052098F" w:rsidP="0052098F">
      <w:pPr>
        <w:pStyle w:val="TextoNormal"/>
      </w:pPr>
    </w:p>
    <w:p w:rsidR="0052098F" w:rsidRDefault="0052098F" w:rsidP="0052098F">
      <w:pPr>
        <w:pStyle w:val="TextoNormalNegritaCentrado"/>
        <w:keepNext/>
      </w:pPr>
      <w:r>
        <w:lastRenderedPageBreak/>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10 de marzo de 2006 el Procurador de los Tribunales don José Pedro Vila Rodríguez, actuando en nombre y representación de don Sergio Enrique Izquierdo Hernández, interpuso recurso de amparo contra la Sentencia de la Sala de lo Social del Tribunal Superior de Justicia de Canarias, sede de Santa Cruz de Tenerife, de 5 de julio de 2004, dictada en el recurso de suplicación núm. 453-2004, formulado frente a la Sentencia del Juzgado de lo Social núm. 1 de Santa Cruz de Tenerife de 2 de marzo de 2004 que en autos núm. 777-2003, declaró la procedencia del despido del recurrente en amparo, considerando que las citadas resoluciones judiciales vulneran el derecho fundamental a la libertad de expresión [art. 20.1 a) CE)].</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de los que trae causa la demanda son, en síntesis, los siguientes: </w:t>
      </w:r>
    </w:p>
    <w:p w:rsidR="0052098F" w:rsidRDefault="0052098F" w:rsidP="0052098F">
      <w:pPr>
        <w:pStyle w:val="TextoNormal"/>
      </w:pPr>
      <w:r>
        <w:t xml:space="preserve">a) Don Sergio Enrique Izquierdo Hernández ha prestado servicios para Cepsa en el centro de trabajo Refinería Tenerife (Laboratorio), con una antigüedad de 1 de octubre de 1966 y categoría profesional de Técnico Auxiliar nivel 6. </w:t>
      </w:r>
    </w:p>
    <w:p w:rsidR="0052098F" w:rsidRDefault="0052098F" w:rsidP="0052098F">
      <w:pPr>
        <w:pStyle w:val="TextoNormal"/>
      </w:pPr>
      <w:r>
        <w:t xml:space="preserve">El día 18 de noviembre de 2002 la empresa le impuso una sanción de suspensión de empleo y sueldo de cinco días por la comisión de una falta grave descrita en el número 6 del punto 2.4 b) del capítulo X del convenio colectivo, por haberse hecho públicos en la empresa los días 15 y 16 de octubre y 6 de noviembre de ese año sendos escritos, uno de ellos firmado por aquel trabajador, en los que, a juicio de Cepsa, se proferían insultos y amenazas contra compañeros y mandos, concretamente palabras como “traidor”, “inmorales” y “luego no digas que no te avisé”. El trabajador impugnó dicha sanción, llegando con la empresa a una conciliación previa al acto del juicio, el día 18 de septiembre de 2003, en los siguientes términos: </w:t>
      </w:r>
    </w:p>
    <w:p w:rsidR="0052098F" w:rsidRDefault="0052098F" w:rsidP="0052098F">
      <w:pPr>
        <w:pStyle w:val="TextoNormal"/>
      </w:pPr>
      <w:r>
        <w:t xml:space="preserve">“El trabajador manifiesta que reconoce haber sido él, el autor de los carteles, y al respecto manifiesta: que no ha tenido intención de ofender y perjudicar a sus compañeros ni a los mandos, en el futuro procurará cuando haga uso de su libertad de expresión evitar utilizar términos ofensivos o que puedan resultar perjudiciales para sus compañeros o mandos. A la vista de ello la empresa acuerda retirar la sanción impuesta al trabajador”. </w:t>
      </w:r>
    </w:p>
    <w:p w:rsidR="0052098F" w:rsidRDefault="0052098F" w:rsidP="0052098F">
      <w:pPr>
        <w:pStyle w:val="TextoNormal"/>
      </w:pPr>
      <w:r>
        <w:t xml:space="preserve">Al día siguiente de ese acuerdo, el 19 de septiembre de 2003, el trabajador colocó nuevos carteles en los tablones de anuncios del laboratorio y de la entrada principal a la refinería, entregando en mano copias del mismo a compañeros de trabajo. El texto era el siguiente: </w:t>
      </w:r>
    </w:p>
    <w:p w:rsidR="0052098F" w:rsidRDefault="0052098F" w:rsidP="0052098F">
      <w:pPr>
        <w:pStyle w:val="TextoNormal"/>
      </w:pPr>
      <w:r>
        <w:t xml:space="preserve">“IN MEMORIAM Por mis cuatro compañeros y amigos, 3 de Cepsa y uno de contrata, que murieron en el accidente de TRANSF3-HIDRO2, en junio del 92. Que murieron quemados como perros defendiendo los intereses de la Empresa, y que murieron así por, entre otras causas, un gran compañerismo laboral, falta de reflejos, y que la soplante de aire al horno estaba espirando a ras de tierra. Me prometí que algún día les haría un sentido homenaje, a pesar del encefalograma plano y bobalicón que está imperando aquí, desde hace mucho tiempo. Queridos amigos, estén donde estén, va por ustedes. </w:t>
      </w:r>
    </w:p>
    <w:p w:rsidR="0052098F" w:rsidRDefault="0052098F" w:rsidP="0052098F">
      <w:pPr>
        <w:pStyle w:val="TextoNormal"/>
      </w:pPr>
      <w:r>
        <w:t xml:space="preserve">LA EMPRESA RETIRA LA SANCIÓN QUE ME IMPUSO. En noviembre pasado, M. Carvajal me sancionó con 5 días en un expediente disciplinario como falta grave —así no tendría juez interno y me obligaba a ir a la Magistratura— que además contó con el beneplácito del Cté. de Empresa y su sindicato mayoritario. Ahora, tras la finalización del contencioso, ayer en el Palacio de Justicia de S/C de Tfe., he decidido contestar en varias cartas abiertas, a todas las personas, entes sindicales y laborales, que participaron en aquel engendro sancionador. </w:t>
      </w:r>
    </w:p>
    <w:p w:rsidR="0052098F" w:rsidRDefault="0052098F" w:rsidP="0052098F">
      <w:pPr>
        <w:pStyle w:val="TextoNormal"/>
      </w:pPr>
      <w:r>
        <w:lastRenderedPageBreak/>
        <w:t xml:space="preserve">Hoy creo un poco más en la Democracia Española y sus Leyes. Que la libertad de opinión y la libertad de expresión, sean por siempre, cabecera fundamental de la vida. De puño y letra Sergio Izquierdo Hdez”. </w:t>
      </w:r>
    </w:p>
    <w:p w:rsidR="0052098F" w:rsidRDefault="0052098F" w:rsidP="0052098F">
      <w:pPr>
        <w:pStyle w:val="TextoNormal"/>
      </w:pPr>
      <w:r>
        <w:t xml:space="preserve">A consecuencia de ello la empresa procedió a incoarle un expediente sancionador, que concluyó con resolución de 30 de octubre de 2003 por la que se acordó su despido disciplinario con efectos del día siguiente por la comisión de una falta laboral muy grave, al haberse formulado ofensas escritas a trabajadores y mandos de la empresa, tipificada en el punto 2.4 c), 11 del capítulo X del convenio colectivo de Cepsa, así como por transgresión de la buena fe contractual, tipificada en el punto 2.4 c), 18 del mismo capítulo y art. 54.2 c) y d) LET. </w:t>
      </w:r>
    </w:p>
    <w:p w:rsidR="0052098F" w:rsidRDefault="0052098F" w:rsidP="0052098F">
      <w:pPr>
        <w:pStyle w:val="TextoNormal"/>
      </w:pPr>
      <w:r>
        <w:t xml:space="preserve">El comité de empresa de Cepsa acordó por unanimidad manifestar su desacuerdo con la decisión de la empresa. </w:t>
      </w:r>
    </w:p>
    <w:p w:rsidR="0052098F" w:rsidRDefault="0052098F" w:rsidP="0052098F">
      <w:pPr>
        <w:pStyle w:val="TextoNormal"/>
      </w:pPr>
      <w:r>
        <w:t xml:space="preserve">b) Con fecha de 4 de diciembre de 2003 el trabajador presentó demanda por despido, dictando Sentencia el Juzgado de lo Social núm. 1 de Santa Cruz de Tenerife, el día 2 de marzo de 2004, rechazando la petición principal de nulidad y la subsidiaria de improcedencia del acto extintivo. </w:t>
      </w:r>
    </w:p>
    <w:p w:rsidR="0052098F" w:rsidRDefault="0052098F" w:rsidP="0052098F">
      <w:pPr>
        <w:pStyle w:val="TextoNormal"/>
      </w:pPr>
      <w:r>
        <w:t xml:space="preserve">Afirma el juzgador que en el escrito que motivó la decisión disciplinaria se utilizan expresiones como “murieron quemados como perros defendiendo los intereses de la Empresa, y que murieron así por, entre otras causas, un gran compañerismo laboral, falta de reflejos”, en referencia a cuatro compañeros que fallecieron en un accidente ocurrido en la empresa años antes; “a pesar del encefalograma plano y bobalicón que está imperando aquí”, en referencia, según el actor, a los representantes de los trabajadores en la empresa; y “todas las personas, entes sindicales y laborales, que participaron en aquel engendro sancionador”, aludiendo al expediente disciplinario que se le incoó al Sr. Izquierdo Hernández por los escritos de 15 y 16 de octubre y 6 de noviembre de 2002. Tales expresiones, dice la resolución judicial, lejos de constituir un homenaje a los compañeros fallecidos, resultan claramente insultantes y humillantes para ellos y para sus familias, así como en diferente medida para la empresa en la que prestaban servicios, y constituyen una absoluta falta de respeto y consideración hacia ellos. Por su parte, en las supuestamente dirigidas a los representantes de los trabajadores, los términos utilizados tampoco resultan adecuados a la forma de denuncia y comunicación que debe imperar en la empresa. Por último la expresión “engendro sancionador”, relativa al expediente del que fue objeto el trabajador, que concluyó con la imposición de la sanción respecto de la cual se concilió antes de celebrar el correspondiente juicio el día 18 de septiembre de 2003, revela un claro insulto a la empresa, una falta absoluta de respeto a los que participaron en su tramitación y una burla a los mecanismos instituidos legalmente para garantizar precisamente los derechos de los trabajadores. </w:t>
      </w:r>
    </w:p>
    <w:p w:rsidR="0052098F" w:rsidRDefault="0052098F" w:rsidP="0052098F">
      <w:pPr>
        <w:pStyle w:val="TextoNormal"/>
      </w:pPr>
      <w:r>
        <w:t xml:space="preserve">De suerte que, concluye la Sentencia, la conducta del trabajador sobrepasó de forma evidente los límites lógicos de la libertad de expresión; su escrito no se dirigió hacia los organismos representativos que hubieran podido encauzarlo adecuadamente para la buena marcha de la empresa, sino que se difundió de forma perniciosa para ésta, y no estuvo inspirado por un propósito de defensa de intereses colectivos o del rendimiento de la organización productiva, sino por el ánimo de inferir un daño moral a superiores o a compañeros de trabajo. En estas circunstancias no cabe hablar, afirma, de ejercicio de la crítica, sino de conducta injuriosa, incompatible con una convivencia normal en el trabajo. El despido, por ello, no supuso una vulneración del derecho de libertad de expresión del trabajador, sino que fue consecuencia de la transgresión de la buena fe contractual, sin que proceda tampoco la aplicación del criterio gradualista en la imposición de sanciones disciplinarias, dado que el trabajador ya había sido sancionado con anterioridad por motivos similares con una falta grave, y que, a pesar de llegar a un acuerdo con la empresa, comprometiéndose a que “en el futuro </w:t>
      </w:r>
      <w:r>
        <w:lastRenderedPageBreak/>
        <w:t xml:space="preserve">procurará cuando haga uso de su libertad de expresión evitar utilizar términos ofensivos o que puedan resultar perjudiciales para sus compañeros o mandos”, a la vista de lo cual la empresa retiró la sanción, el día inmediatamente siguiente volvió a incurrir en la misma conducta. </w:t>
      </w:r>
    </w:p>
    <w:p w:rsidR="0052098F" w:rsidRDefault="0052098F" w:rsidP="0052098F">
      <w:pPr>
        <w:pStyle w:val="TextoNormal"/>
      </w:pPr>
      <w:r>
        <w:t xml:space="preserve">c) Frente a la Sentencia de instancia recurrió el demandante de amparo en suplicación, formulando al amparo de la letra b) del art. 191 LPL un primer motivo de recurso, solicitando revisiones fácticas que no prosperaron. En segundo lugar, por el cauce de la letra c) del art. 191 LPL, acusaba a la Sentencia recurrida, en lo relativo a la pretensión de nulidad del despido, de infracción por no aplicación de los arts. 55.5 LET, no aplicación del art. 20.1 a) y b) CE y art. 10 CEDH, así como del criterio del Tribunal Constitucional sobre la materia, recogido entre otras en la STC 1/1998. En lo referente a la pretensión subsidiaria, de improcedencia del despido, denunciaba la infracción del apartado 2.4 c) punto II del capítulo X del convenio colectivo de la empresa. </w:t>
      </w:r>
    </w:p>
    <w:p w:rsidR="0052098F" w:rsidRDefault="0052098F" w:rsidP="0052098F">
      <w:pPr>
        <w:pStyle w:val="TextoNormal"/>
      </w:pPr>
      <w:r>
        <w:t xml:space="preserve">La Sentencia de la Sala de lo Social del Tribunal Superior de Justicia de Canarias, sede de Santa Cruz de Tenerife, de 5 de julio de 2004, sitúa el núcleo del debate en la ponderación del derecho de libertad de expresión y las obligaciones del trabajador que lo modulan o limitan, para poder determinar a la luz de las concretas circunstancias del caso si el despido fue legítimo o, por el contrario, aquél fue sancionado como consecuencia del lícito ejercicio de sus derechos fundamentales, lo que determinaría la nulidad del acto extintivo. </w:t>
      </w:r>
    </w:p>
    <w:p w:rsidR="0052098F" w:rsidRDefault="0052098F" w:rsidP="0052098F">
      <w:pPr>
        <w:pStyle w:val="TextoNormal"/>
      </w:pPr>
      <w:r>
        <w:t xml:space="preserve">Aplicando tal doctrina al caso, la Sala declara que el motivo debe ser desestimado, porque el actor, pese a haber llegado en el acto del juicio celebrado el día 18 de septiembre de 2003 a conciliarse con la empresa, prometiendo que en el futuro, cuando hiciese uso de su libertad de expresión, evitaría utilizar términos ofensivos o perjudiciales para sus compañeros o mandos, al día siguiente reincidió en la misma conducta, alardeando de que la empresa le había retirado la sanción que le impuso, y realizando censuras a todas las personas, entes sindicales y laborales que participaran en el previo expediente disciplinario, al que califica de “engendro sancionador”, acusando a los representantes de los trabajadores de encefalograma plano y bobalicón, y humillando también a los familiares de los trabajadores fallecidos en aquel accidente y compañeros de trabajo. </w:t>
      </w:r>
    </w:p>
    <w:p w:rsidR="0052098F" w:rsidRDefault="0052098F" w:rsidP="0052098F">
      <w:pPr>
        <w:pStyle w:val="TextoNormal"/>
      </w:pPr>
      <w:r>
        <w:t xml:space="preserve">En suma, no se infringió a juicio de la Sala de lo Social el art. 20 CE, y tampoco el art. 54.2 d) LET en relación con el apartado 2.4 c) punto II del capítulo X del convenio colectivo, que califica de falta muy grave las ofensas verbales o físicas a los representantes de la empresa o a las personas que trabajen en la compañía o a los familiares que convivan con ellos. Los hechos probados recogen las graves ofensas proferidas a compañeros y familiares de las víctimas, poniendo de relieve la quiebra del principio de la buena fe y lealtad que, como deber ético, debe regir en toda relación laboral y cuya infracción se tipifica como uno de los supuestos de despido disciplinario, sin que el hecho de que el trabajador tuviera treinta y ocho años de antigüedad en la empresa desvirtúe la gravedad de su conducta. </w:t>
      </w:r>
    </w:p>
    <w:p w:rsidR="0052098F" w:rsidRDefault="0052098F" w:rsidP="0052098F">
      <w:pPr>
        <w:pStyle w:val="TextoNormal"/>
      </w:pPr>
      <w:r>
        <w:t>d) El proceso judicial se cerró con el Auto de la Sala de lo Social del Tribunal Supremo, de 10 de enero de 2006, que acuerda declarar la inadmisión del sucesivo recurso de casación para la unificación de doctrina al no ser posible apreciar la contradicción invocada, vistas las diferencias fácticas y circunstanciales de las expresiones vertidas en el caso de autos y en los supuestos enjuiciados por las Sentencias que se aducían para el contraste.</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El recurrente en amparo solicita que este Tribunal dicte sentencia en la que se declare la vulneración del derecho fundamental a la libertad de expresión [art. 20.1 a) CE] por las Sentencias del Juzgado de lo Social núm.1 de los de Santa Cruz, de 2 de marzo de 2004, y de la Sala de lo Social del Tribunal Superior de Justicia de Canarias, sede de Santa Cruz de </w:t>
      </w:r>
      <w:r>
        <w:lastRenderedPageBreak/>
        <w:t xml:space="preserve">Tenerife, de 5 de julio de 2004, acordándose restablecerle en su derecho anulando a tal fin ambas resoluciones judiciales con declaración de la nulidad del despido. </w:t>
      </w:r>
    </w:p>
    <w:p w:rsidR="0052098F" w:rsidRDefault="0052098F" w:rsidP="0052098F">
      <w:pPr>
        <w:pStyle w:val="TextoNormal"/>
      </w:pPr>
      <w:r>
        <w:t xml:space="preserve">Destaca que en el escrito que motivó su despido se limitaba a informar acerca del primer expediente disciplinario, haciendo ejercicio de su derecho a la libertad de expresión en un ámbito que no excedió del centro de trabajo, sin mayor trascendencia pública al quedar en el ámbito interno; que la información que daba era veraz, pues hubo un accidente donde fallecieron cinco trabajadores, y que era igualmente veraz que había sido previamente sancionado y que la sanción le fue retirada en acto de conciliación judicial. Respecto a los términos utilizados en su comunicado mantiene que no pueden valorarse sin hacer una ponderación de todo lo sucedido, entrando en juego en ello, además, factores subjetivos, pues algunas expresiones pueden resultar ofensivas y humillantes o no dependiendo del contexto en el que se utilicen. En ese sentido, cuando se afirma que sus compañeros murieron “quemados como perros” a nadie se está ofendiendo. Dicha expresión no se utiliza en el lenguaje literario o en el coloquial como una ofensa, sino que es una expresión permitida que, según la segunda acepción que recoge el Diccionario de la Real Academia Española, significa que “murieron solos, sin recibir ayuda de nadie”, que es también lo que quería señalarse con la referencia al gran compañerismo laboral o a la falta de reflejos. Menos aún pueden considerarse esas palabras insultantes o humillantes para sus familias, porque el comunicado no trasciende del ámbito de la empresa. Por otra parte, indicar “que la soplante de aire al horno estaba aspirando a ras de tierra” sólo viene a constatar que no se cumplían todas las medidas de seguridad, como por lo demás ha puesto de relieve el comité de empresa en un comunicado de diciembre de 2003, no pudiéndose pasar por alto que se trata de un trabajo excepcionalmente peligroso en un refinería de petróleos. En tercer lugar, hablar “del encefalograma plano y bobalicón que está imperando aquí” no es tampoco una ofensa. Decir que una persona tiene el encefalograma plano es lo mismo que decir que ha muerto, aquí en referencia al comité de empresa, mientras que la expresión bobalicón equivale únicamente a un aumentativo de bobo, como personas con falta de inteligencia o discreción, que se emplea muy frecuentemente sin intención ofensiva. Finalmente, calificar un expediente como “engendro sancionador” alude a algo mal concebido y ejecutado, hablando hiperbólicamente, lo cual tampoco es ofensivo, puesto que sólo revela la opinión del trabajador sobre el expediente disciplinario de referencia. </w:t>
      </w:r>
    </w:p>
    <w:p w:rsidR="0052098F" w:rsidRDefault="0052098F" w:rsidP="0052098F">
      <w:pPr>
        <w:pStyle w:val="TextoNormal"/>
      </w:pPr>
      <w:r>
        <w:t>En suma, no habiendo hecho uso de términos ofensivos, tal y como se había comprometido en el acto de conciliación, difícilmente se puede hablar de transgresión de la buena fe contractual. Y, al no existir tal transgresión, es evidente que no se ha aplicado correctamente el precepto constitucional que se invoca.</w:t>
      </w:r>
    </w:p>
    <w:p w:rsidR="0052098F" w:rsidRDefault="0052098F" w:rsidP="0052098F">
      <w:pPr>
        <w:pStyle w:val="TextoNormal"/>
      </w:pPr>
    </w:p>
    <w:p w:rsidR="0052098F" w:rsidRDefault="0052098F" w:rsidP="0052098F">
      <w:pPr>
        <w:pStyle w:val="TextoNormal"/>
      </w:pPr>
      <w:r w:rsidRPr="0052098F">
        <w:rPr>
          <w:rStyle w:val="NumeroAFNegritaCaracter"/>
        </w:rPr>
        <w:t>4</w:t>
      </w:r>
      <w:r>
        <w:t>. Por providencia de 10 de julio de 2007 la Sala Segunda de este Tribunal acordó conocer del presente recurso de amparo y, a tenor de lo dispuesto en el art. 51 LOTC, dirigir atenta comunicación a la Sala de lo Social del Tribunal Supremo a fin de que remitiera certificación o fotocopia adverada de las actuaciones correspondientes al recurso núm. 4083-2004, así como a la Sala de lo Social del Tribunal Superior de Justicia de Canarias, con sede en San Cruz de Tenerife, en lo relativo a las actuaciones correspondientes al recurso de suplicación núm. 453-2004, y al Juzgado de lo Social núm. 1 de Santa Cruz de Tenerife respecto de los autos de despido núm. 777-2003, requiriendo a este último órgano judicial que emplazase a quienes hubieran sido parte en el procedimiento, excepto a la parte recurrente en amparo, para que en el plazo de diez días pudieran comparecer en el recurso de amparo.</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5</w:t>
      </w:r>
      <w:r>
        <w:t>. El día 24 de julio de 2007 tuvo entrada en este Tribunal escrito del Procurador de los Tribunales don Jorge Deleito García, en el que solicitaba se tuviera por personada en este procedimiento a la Compañía Española de Petróleos, S.A. (Cepsa). En posterior diligencia de ordenación, de 27 de septiembre de 2007, se acordó en el sentido solicitado y, en aplicación de lo dispuesto en el art. 52.1 LOTC, se procedió a dar vista de todas las actuaciones del presente recurso de amparo al Ministerio Fiscal y a las partes personadas por un plazo común de veinte días, para que, dentro de él, pudieran presentar las alegaciones que estimaran pertinentes.</w:t>
      </w:r>
    </w:p>
    <w:p w:rsidR="0052098F" w:rsidRDefault="0052098F" w:rsidP="0052098F">
      <w:pPr>
        <w:pStyle w:val="TextoNormal"/>
      </w:pPr>
    </w:p>
    <w:p w:rsidR="0052098F" w:rsidRDefault="0052098F" w:rsidP="0052098F">
      <w:pPr>
        <w:pStyle w:val="TextoNormal"/>
      </w:pPr>
      <w:r w:rsidRPr="0052098F">
        <w:rPr>
          <w:rStyle w:val="NumeroAFNegritaCaracter"/>
        </w:rPr>
        <w:t>6</w:t>
      </w:r>
      <w:r>
        <w:t>. La parte recurrente en amparo evacuó ese trámite el día 6 de noviembre de 2007, ratificándose íntegramente en las alegaciones contenidas en su demanda, y señalando que debería anularse también el Auto de la Sala de lo Social del Tribunal Supremo, de 10 de enero de 2006, que declara la firmeza de las resoluciones impugnadas y cuya nulidad no se pidió expresamente en el escrito del recurso.</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La representación de Cepsa presentó sus alegaciones dentro del plazo concedido, por escrito registrado en este Tribunal el día 22 de octubre de 2007. </w:t>
      </w:r>
    </w:p>
    <w:p w:rsidR="0052098F" w:rsidRDefault="0052098F" w:rsidP="0052098F">
      <w:pPr>
        <w:pStyle w:val="TextoNormal"/>
      </w:pPr>
      <w:r>
        <w:t xml:space="preserve">En primer lugar aduce la inviabilidad del recurso de amparo por un óbice de procedibilidad. Así, a su juicio, el recurrente pudo acudir directamente al recurso de amparo después de serle notificada la Sentencia dictada en suplicación, sin emplear previamente un innecesario y estéril recurso de casación para la unificación de doctrina, al tratarse, como era el caso, de un procedimiento de despido. Es conocida la doctrina del Tribunal Supremo que rechaza la viabilidad del recurso de casación para la unificación de doctrina en esa materia, dado que en el procedimiento de despido se valoran “conductas” que, por definición, son diferentes y ofrecen matices singulares en los distintos supuestos. </w:t>
      </w:r>
    </w:p>
    <w:p w:rsidR="0052098F" w:rsidRDefault="0052098F" w:rsidP="0052098F">
      <w:pPr>
        <w:pStyle w:val="TextoNormal"/>
      </w:pPr>
      <w:r>
        <w:t>En segundo lugar señala Cepsa que el recurrente contravino lo pactado en la conciliación del día 18 de septiembre, publicando el día siguiente una misiva ofensiva, soslayando el acuerdo transaccional e incurriendo en transgresión de la buena fe contractual. Así lo han entendido los órganos judiciales y, por tanto, el despido es procedente desde la perspectiva del derecho ordinario, circunstancia que no ha sido puesta en cuestión por el recurrente, lo que obliga a mantener aquella calificación judicial del acto extintivo. De cualquier modo debería igualmente desestimarse el recurso de amparo atendiendo al examen de la cuestión de fondo, pues el recurrente difundió graves frases ofensivas para sus compañeros. Como afirmaron los órganos judiciales, era innecesario que el actor llamara perros a sus compañeros fallecidos, hiriendo la sensibilidad de sus familiares y compañeros; era innecesario que calificara de “encefalograma plano y bobalicón” a los representantes de los trabajadores; y era innecesario que descalificara a la empresa y a la representación sindical que participó en el expediente sancionador definiéndolo como un “engendro sancionador”. Todo esto, además, precedido de otros escritos con insultos a los representantes de los trabajadores (traidores, inmorales, corruptos, etc.) y a pesar de haberse comprometido en conciliación, cuando fue sancionado por ello, a no reincidir en actuaciones similares. En definitiva, el ejercicio del derecho de libertad de expresión se ha ejercitado con plena y consciente transgresión de la buena fe contractual y extralimitando sus justos límites.</w:t>
      </w:r>
    </w:p>
    <w:p w:rsidR="0052098F" w:rsidRDefault="0052098F" w:rsidP="0052098F">
      <w:pPr>
        <w:pStyle w:val="TextoNormal"/>
      </w:pPr>
    </w:p>
    <w:p w:rsidR="0052098F" w:rsidRDefault="0052098F" w:rsidP="0052098F">
      <w:pPr>
        <w:pStyle w:val="TextoNormal"/>
      </w:pPr>
      <w:r w:rsidRPr="0052098F">
        <w:rPr>
          <w:rStyle w:val="NumeroAFNegritaCaracter"/>
        </w:rPr>
        <w:t>8</w:t>
      </w:r>
      <w:r>
        <w:t xml:space="preserve">. El Ministerio público presentó su escrito de alegaciones el día 29 de octubre de 2007, interesando el otorgamiento del amparo. </w:t>
      </w:r>
    </w:p>
    <w:p w:rsidR="0052098F" w:rsidRDefault="0052098F" w:rsidP="0052098F">
      <w:pPr>
        <w:pStyle w:val="TextoNormal"/>
      </w:pPr>
      <w:r>
        <w:lastRenderedPageBreak/>
        <w:t xml:space="preserve">Encuadrando el objeto del recurso, indica que frente al Auto de la Sala de lo Social del Tribunal Supremo, de 10 de enero de 2006, no se formula reproche alguno, por lo que debe quedar al margen del examen de la queja planteada, no habiendo cumplido otro objeto que el de agotar la vía judicial previa, sin perjuicio de que, de estimarse el amparo, el mismo quede sin efecto. </w:t>
      </w:r>
    </w:p>
    <w:p w:rsidR="0052098F" w:rsidRDefault="0052098F" w:rsidP="0052098F">
      <w:pPr>
        <w:pStyle w:val="TextoNormal"/>
      </w:pPr>
      <w:r>
        <w:t xml:space="preserve">En relación con la cuestión sustantiva razona que el escrito o cartel redactado por el trabajador expone dos sucesos acaecidos en la empresa para la que prestaba servicios, cuya ocurrencia en modo alguno es cuestionada, y que tienen, a juicio de su autor, dos elementos comunes: un mal actuar empresarial y una deficiente actuación de los representantes de los trabajadores, expresando su opinión crítica al respecto. El primer suceso se refiere a un accidente laboral acaecido tiempo atrás y en el que perecieron cuatro trabajadores que murieron abrasados, y que se produjo entre otras causas por el incumplimiento por parte de la empresa de ciertas medidas de seguridad. El segundo suceso a un expediente sancionador incoado al trabajador autor del escrito, ahora demandante de amparo, y cuya sanción fue ulteriormente retirada por la empresa, entendiendo el recurrente que la vía disciplinaria elegida por la empresa le había privado de ciertas garantías. En ambos casos se formula un reproche a los representantes de los trabajadores, al comité de empresa o al sindicato mayoritario del mismo, consistente en no defender adecuadamente a los trabajadores y en haber consentido el expediente sancionador. </w:t>
      </w:r>
    </w:p>
    <w:p w:rsidR="0052098F" w:rsidRDefault="0052098F" w:rsidP="0052098F">
      <w:pPr>
        <w:pStyle w:val="TextoNormal"/>
      </w:pPr>
      <w:r>
        <w:t xml:space="preserve">Los órganos judiciales consideran que el afirmar que compañeros del actor “murieron quemados como perros” implica un insulto o humillación para los fallecidos y sus familiares, cuando lo cierto es que tal expresión no puede ser sacada del contexto en que se inserta, en el que no contiene ninguna valoración ad personam adversa, poniendo énfasis, por el contrario, en las desdichadas circunstancias en que aquéllos encontraron la muerte, que son juzgadas de manera muy negativa por el autor del escrito. Tal expresión no es, por lo demás, inusual para referirse a muertes acaecidas en circunstancias que se juzgan inadmisibles. Por otra parte calificar la actuación de los representantes de los trabajadores como de “encefalograma plano o bobalicón”, para denunciar su inoperancia o su actuación poco combativa o falta de inteligencia, tampoco puede descontextualizarse, como hacen las resoluciones cuestionadas, pues ambas expresiones son adecuadas para transmitir dicha denuncia o crítica, no pudiendo desconocerse que el comité de empresa acordó por unanimidad manifestar su desacuerdo con la decisión de la empresa de despedir al trabajador, ni que dichas expresiones no aparecen como insultos o expresiones ultrajantes desconectados de la opinión expuesta, sino, por el contrario, como el vehículo a través del que se expresa la opinión, no siendo tampoco inusuales. Por último, tildar de engendro a un expediente sancionador del que se opina que fue mal tramitado, y que quedó ulteriormente sin efecto, tampoco constituye un insulto, sino una mera opinión crítica adversa. </w:t>
      </w:r>
    </w:p>
    <w:p w:rsidR="0052098F" w:rsidRDefault="0052098F" w:rsidP="0052098F">
      <w:pPr>
        <w:pStyle w:val="TextoNormal"/>
      </w:pPr>
      <w:r>
        <w:t xml:space="preserve">Por lo tanto el citado escrito no ha transgredido los límites genéricos de la libertad de expresión, conteniendo una crítica a la actuación empresarial y a la de los representantes de los trabajadores en dos sucesos acaecidos en la empresa, crítica que se circunscribe a dichas cuestiones laborales. Si bien algunas de las expresiones utilizadas pudieran considerarse molestas o de dudoso gusto, no quedan por ello fuera de la protección del derecho fundamental. </w:t>
      </w:r>
    </w:p>
    <w:p w:rsidR="0052098F" w:rsidRDefault="0052098F" w:rsidP="0052098F">
      <w:pPr>
        <w:pStyle w:val="TextoNormal"/>
      </w:pPr>
      <w:r>
        <w:t xml:space="preserve">Por otra parte ambas Sentencias utilizan otros argumentos de refuerzo para considerar que la conducta del trabajador sobrepasó los límites de la libertad de expresión. Así la Sentencia de instancia dice que el escrito no se dirigió a los organismos representativos, ni estaba inspirado en un propósito de defensa de intereses colectivos o del rendimiento de la organización productiva, y la Sentencia de suplicación alude a la reincidencia del trabajador </w:t>
      </w:r>
      <w:r>
        <w:lastRenderedPageBreak/>
        <w:t xml:space="preserve">tras haberle retirado la empresa una sanción anterior, sin embargo tales argumentos no pueden ser compartidos, pues suponen constreñir la libertad de expresión de los trabajadores sin base alguna. En ese sentido la pretendida reincidencia en la conducta del trabajador, que se deduce de unos hechos que la empresa se abstuvo finalmente de sancionar, no puede ser tenida en cuenta para tildar de insultante cualquier crítica posterior del trabajador. A lo que cabe añadir que el escrito no tuvo difusión alguna fuera del ámbito empresarial, y tenía carácter laboral, al referirse en exclusividad a un accidente laboral acaecido en la refinería y a un expediente sancionador, no existiendo lesión alguna de los intereses empresariales. </w:t>
      </w:r>
    </w:p>
    <w:p w:rsidR="0052098F" w:rsidRDefault="0052098F" w:rsidP="0052098F">
      <w:pPr>
        <w:pStyle w:val="TextoNormal"/>
      </w:pPr>
      <w:r>
        <w:t>Por lo expuesto el Ministerio Fiscal interesa que se considere vulnerado el derecho a la libertad de expresión del demandante y se anulen las Sentencias recurridas, con declaración de la nulidad del despido.</w:t>
      </w:r>
    </w:p>
    <w:p w:rsidR="0052098F" w:rsidRDefault="0052098F" w:rsidP="0052098F">
      <w:pPr>
        <w:pStyle w:val="TextoNormal"/>
      </w:pPr>
    </w:p>
    <w:p w:rsidR="0052098F" w:rsidRDefault="0052098F" w:rsidP="0052098F">
      <w:pPr>
        <w:pStyle w:val="TextoNormal"/>
      </w:pPr>
      <w:r w:rsidRPr="0052098F">
        <w:rPr>
          <w:rStyle w:val="NumeroAFNegritaCaracter"/>
        </w:rPr>
        <w:t>9</w:t>
      </w:r>
      <w:r>
        <w:t>. Por providencia de 10 de abril de 2008, se señaló para deliberación y votación de la presente Sentencia el día 14 del mismo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recurrente interpone demanda de amparo contra la Sentencia de la Sala de lo Social del Tribunal Superior de Justicia de Canarias, sede de Santa Cruz de Tenerife, de 5 de julio de 2004, dictada en el recurso de suplicación núm. 453-2004, y la del Juzgado de lo Social núm. 1 de Santa Cruz de Tenerife, de 2 de marzo de 2004, que en autos núm. 777-2003 declaró la procedencia de su despido, solicitando la anulación de las mismas, así como la del Auto de la Sala de lo Social del Tribunal Supremo, de 10 de enero de 2006, que determina su firmeza, y la declaración de nulidad del acto extintivo por vulneración del derecho fundamental a la libertad de expresión [art. 20.1 a) CE]. A su juicio, debidamente contextualizadas, las expresiones empleadas en el escrito que hizo público en la empresa, y que motivó la decisión de despido, estarían amparadas por el derecho fundamental invocado, no siendo constitutivas de exceso alguno al no resultar ofensivas, limitándose a informar de hechos veraces, habiéndose vulnerado el derecho fundamental consagrado en el art. 20.1 a) CE.</w:t>
      </w:r>
    </w:p>
    <w:p w:rsidR="0052098F" w:rsidRDefault="0052098F" w:rsidP="0052098F">
      <w:pPr>
        <w:pStyle w:val="TextoNormal"/>
      </w:pPr>
      <w:r>
        <w:t>Se opone a la concesión del amparo la representación de Cepsa, e interesa el Ministerio Fiscal, por su parte, el otorgamiento del mismo, conforme a las alegaciones que con detalle han sido recogidas en los antecedentes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Con carácter previo debemos analizar la objeción procesal puesta de manifiesto por Cepsa, que apunta la extemporaneidad de la demanda de amparo al haberse presentado contra la Sentencia de suplicación ahora impugnada un recurso de casación para la unificación de doctrina que, a juicio de la citada entidad, resultaría inadecuado para subsanar la pretendida vulneración del derecho fundamental que se invoca.</w:t>
      </w:r>
    </w:p>
    <w:p w:rsidR="0052098F" w:rsidRDefault="0052098F" w:rsidP="0052098F">
      <w:pPr>
        <w:pStyle w:val="TextoNormal"/>
      </w:pPr>
      <w:r>
        <w:t>Es reiterada doctrina constitucional que el plazo legal de veinte días que establece el art.  44.2 LOTC, en su redacción anterior a la reforma operada por la Ley Orgánica 6/2007, de 24 de mayo,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recursos manifiesta</w:t>
      </w:r>
      <w:r>
        <w:lastRenderedPageBreak/>
        <w:t>mente improcedentes. En relación con la noción de recursos manifiestamente improcedentes, hemos declarado que la armonización del principio de seguridad jurídica con el derecho a la tutela judicial efectiva sin indefensión (art. 24.1 CE) exige una aplicación restrictiva del concepto, considerando como tales sólo aquéllos cuya improcedencia derive de forma evidente del propio texto legal, sin dudas que sea necesario despejar por medio de criterios interpretativos de alguna complejidad (por todas, STC 143/2007, de 18 de junio, FJ 2).</w:t>
      </w:r>
    </w:p>
    <w:p w:rsidR="0052098F" w:rsidRDefault="0052098F" w:rsidP="0052098F">
      <w:pPr>
        <w:pStyle w:val="TextoNormal"/>
      </w:pPr>
      <w:r>
        <w:t>De acuerdo con la interpretación expuesta debe desestimarse el óbice procesal aducido, pues en reiteradas ocasiones hemos afirmado que la inadmisión del recurso de casación para la unificación de doctrina por parte del Tribunal Supremo no comporta que su interposición haya de tenerse por manifiestamente improcedente o dilatoria a efectos del cómputo del plazo para recurrir en amparo (por todas, SSTC 211/1999, de 29 de noviembre, FJ 3; 144/2005, de 6 de junio, FJ 2; y 265/2006, de 11 de septiembre, FJ 2).</w:t>
      </w:r>
    </w:p>
    <w:p w:rsidR="0052098F" w:rsidRDefault="0052098F" w:rsidP="0052098F">
      <w:pPr>
        <w:pStyle w:val="TextoNormal"/>
      </w:pPr>
      <w:r>
        <w:t>No obstante, en el ATC 64/2007, de 26 de febrero, FJ 2, ocupándonos de estas cuestiones en relación con el recurso de casación unificadora, hemos establecido que la exclusión de un automatismo que conduzca a declarar la improcedencia del recurso de casación interpuesto por el mero hecho de su ulterior inadmisión no implica sin embargo que resulte aceptable cualquier comportamiento procesal de las partes procesales en relación con el mencionado recurso. En ese sentido, afirmamos, su interposición será manifiestamente improcedente cuando resulte a todas luces incompatible con la función institucional de la unificación de doctrina, conforme a la regulación legal y a la interpretación constante de la jurisprudencia de la Sala de lo Social del Tribunal Supremo, esto es, cuando la utilización de ese cauce de reacción procesal tenga lugar en casos en los que la finalidad de procurar la aplicación uniforme del Ordenamiento jurídico ante la divergencia de doctrinas no sea, ex lege y según los criterios reiterados por el Tribunal Supremo, una hipótesis concebible. Esto así, en aquellos supuestos en los que se emplee la unificación de doctrina contraviniendo abiertamente su función institucional habrá que considerar manifiestamente improcedente el recurso presentado, lo que conducirá a declarar el carácter extemporáneo de la demanda de amparo siempre que con ello se haya ocasionado una artificial prolongación del plazo previsto en el art. 44.2 LOTC.</w:t>
      </w:r>
    </w:p>
    <w:p w:rsidR="0052098F" w:rsidRDefault="0052098F" w:rsidP="0052098F">
      <w:pPr>
        <w:pStyle w:val="TextoNormal"/>
      </w:pPr>
      <w:r>
        <w:t xml:space="preserve">En el presente caso, sin embargo, centrándonos en la existencia de una posible vulneración del derecho fundamental a la libertad de expresión, que constituye el objeto del presente procedimiento constitucional, y analizando a tal fin el primer razonamiento jurídico del Auto del Tribunal Supremo de 10 de enero de 2006 —que es el referido a la nulidad del despido— es patente que la conclusión de inadmisión que el Alto Tribunal alcanza no está fundada en que la utilización del recurso pudiera estimarse abiertamente contraria a la finalidad institucional de la unificación de doctrina. El supuesto enjuiciado, en suma, queda al margen de aquéllos a los que hace referencia el ATC 64/2007, de 26 de febrero, pues cuando la resolución judicial destaca las diferencias de los supuestos a contraste se limita a realizar la operación ordinaria de comparación de resoluciones judiciales a los efectos del requisito de contradicción del art. 217 de la Ley de procedimiento laboral (LPL), sin llegar a censurar ni expresa ni implícitamente, y sin que quepa tampoco apreciarlo a la vista de las Sentencias comparadas, una utilización manifiestamente improcedente de la casación unificadora. Más es así cuando existía un segundo motivo de recurso —relativo a la petición subsidiaria de improcedencia del despido— con ocasión del cual el Tribunal Supremo recuerda que, según su reiterada jurisprudencia, los casos de despido “difícilmente” pueden dar lugar a una impugnación comprendida en el ámbito de la unificación de doctrina, al depender de una valoración casuística de circunstancias individualizadas concurrentes en cada supuesto, sin </w:t>
      </w:r>
      <w:r>
        <w:lastRenderedPageBreak/>
        <w:t>llegar a afirmar, sin embargo, que pueda excluirse absolutamente la viabilidad potencial de tal recurso en procedimientos con ese objeto.</w:t>
      </w:r>
    </w:p>
    <w:p w:rsidR="0052098F" w:rsidRDefault="0052098F" w:rsidP="0052098F">
      <w:pPr>
        <w:pStyle w:val="TextoNormal"/>
      </w:pPr>
      <w:r>
        <w:t>En suma, resulta de aplicación la regla general de nuestra doctrina, conforme a la cual, como expusimos, la inadmisión del recurso de casación para la unificación de doctrina por parte del Tribunal Supremo no comporta que su interposición haya de tenerse por manifiestamente improcedente o dilatoria a efectos del cómputo del plazo para recurrir en amparo.</w:t>
      </w:r>
    </w:p>
    <w:p w:rsidR="0052098F" w:rsidRDefault="0052098F" w:rsidP="0052098F">
      <w:pPr>
        <w:pStyle w:val="TextoNormal"/>
      </w:pPr>
    </w:p>
    <w:p w:rsidR="0052098F" w:rsidRDefault="0052098F" w:rsidP="0052098F">
      <w:pPr>
        <w:pStyle w:val="TextoNormal"/>
      </w:pPr>
      <w:r w:rsidRPr="0052098F">
        <w:rPr>
          <w:rStyle w:val="NumeroAFNegritaCaracter"/>
        </w:rPr>
        <w:t>3</w:t>
      </w:r>
      <w:r>
        <w:t>. Entrando entonces en la pretensión de fondo, nuestra jurisprudencia viene distinguiendo entre los derechos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4/1996, de 16 de enero, FJ 3; 232/2002, de 9 de diciembre , FJ 2, o 181/2006, de 19 de junio, FJ 4).</w:t>
      </w:r>
    </w:p>
    <w:p w:rsidR="0052098F" w:rsidRDefault="0052098F" w:rsidP="0052098F">
      <w:pPr>
        <w:pStyle w:val="TextoNormal"/>
      </w:pPr>
      <w:r>
        <w:t>Hemos admitido que en los casos reales que la vida ofrece no siempre es fácil separar la expresión de pensamientos, ideas y opiniones de la simple narración de unos hechos, pues a menudo el mensaje sujeto a escrutinio consiste en una amalgama de ambos. En el presente caso, sin embargo, vistos los términos en los que se centró la decisión empresarial y el debate procesal, el examen de constitucionalidad deberá centrarse exclusivamente en aquéllos, quedando situado por tanto en el marco de la libertad de expresión [art. 20.1 a) CE]. Ha de ser de esa manera porque los hechos relatados en el escrito del trabajador que motivaron su despido (existencia de un accidente sufrido por compañeros de trabajo y tramitación de un expediente disciplinario) no han sido analizados ni cuestionados desde la perspectiva de la libertad de información, no habiendo constancia alguna de que la censurada y sancionada actividad del actor se hubiera llevado a cabo fuera del ámbito propio y protegido por el art. 20.1 d) CE. En definitiva, porque sus opiniones, y no el juicio sobre la veracidad y el carácter noticiable de los hechos en los que se apoyan, fueron el único fundamento de la decisión extintiva y el auténtico objeto de las resoluciones judiciales cuya revisión se solicita en este procedimiento constitucional.</w:t>
      </w:r>
    </w:p>
    <w:p w:rsidR="0052098F" w:rsidRDefault="0052098F" w:rsidP="0052098F">
      <w:pPr>
        <w:pStyle w:val="TextoNormal"/>
      </w:pPr>
    </w:p>
    <w:p w:rsidR="0052098F" w:rsidRDefault="0052098F" w:rsidP="0052098F">
      <w:pPr>
        <w:pStyle w:val="TextoNormal"/>
      </w:pPr>
      <w:r w:rsidRPr="0052098F">
        <w:rPr>
          <w:rStyle w:val="NumeroAFNegritaCaracter"/>
        </w:rPr>
        <w:t>4</w:t>
      </w:r>
      <w:r>
        <w:t>. Para examinar la consistencia constitucional de la pretensión que formula el demandante conviene recordar algunos elementos caracterizadores del supuesto de hecho en el que el presente caso se sitúa. En particular que el actor, ahora recurrente en amparo, solicitaba con carácter principal al órgano judicial que dictara resolución por la que declarase nulo el despido y condenara a la empresa a su readmisión; pretensión que vio denegada en sucesivas instancias. La medida sancionadora había sido adoptada por Cepsa en atención a los términos del escrito que aquél difundió en la empresa justo el día siguiente a la fecha en la que alcanzó un pacto en conciliación judicial que dio lugar al levantamiento de una sanción previamente impuesta por la empleadora, considerando ésta que ese nuevo acto expresivo transgredía la buena fe contractual y que los términos del comunicado eran ofensivos, careciendo por ello del amparo que ofrece la libertad de expresión.</w:t>
      </w:r>
    </w:p>
    <w:p w:rsidR="0052098F" w:rsidRDefault="0052098F" w:rsidP="0052098F">
      <w:pPr>
        <w:pStyle w:val="TextoNormal"/>
      </w:pPr>
      <w:r>
        <w:lastRenderedPageBreak/>
        <w:t>El juzgador a quo analiza las expresiones empleadas, señaladamente las siguientes: “murieron quemados como perros defendiendo los intereses de la Empresa, y que murieron así por, entre otras causas, un gran compañerismo laboral, falta de reflejos”, referidas a cuatro compañeros que fallecieron en un accidente ocurrido en la empresa años antes; “a pesar del encefalograma plano y bobalicón que está imperando aquí”, en referencia, según dice el actor y confirman los razonamientos judiciales, a los representantes de los trabajadores en la empresa; y “todas las personas, entes sindicales y laborales, que participaron en aquel engendro sancionador”, aludiendo al expediente disciplinario que se le incoó al recurrente en amparo por unos escritos anteriores al que motivó su despido. Tales expresiones, según la resolución judicial, lejos de constituir un homenaje a los compañeros fallecidos, resultaron insultantes y humillantes para ellos y para sus familias, así como, en diferente medida, para la empresa en la que prestaban servicios, constituyendo una absoluta falta de respeto y consideración. Las supuestamente dirigidas a los representantes de los trabajadores, según el juzgador, tampoco fueron en modo alguno adecuadas a la forma de denuncia y comunicación que debe imperar en la empresa. Y, por último, la expresión “engendro sancionador”, relativa al expediente sancionador del que fue objeto el trabajador, que concluyó con la imposición de la sanción respecto de la cual se concilió antes de celebrar el correspondiente juicio, revelaría un claro insulto a la empresa, una falta absoluta de respeto a los que participaron en su tramitación y una burla a los mecanismos instituidos legalmente para garantizar precisamente los derechos de los trabajadores. El Tribunal Superior de Justicia de Canarias, en la Sentencia de suplicación de 5 de julio de 2004, insiste en tales razonamientos, sin variaciones significativas, subrayando adicionalmente que el trabajador, pese a haber llegado en el acto del juicio celebrado el día 18 de septiembre de 2003 a conciliarse con la empresa, prometiendo que en el futuro, cuando hiciese uso de su libertad de expresión, evitaría utilizar términos ofensivos o perjudiciales para sus compañeros o mandos, al día siguiente reincidió en la misma conducta haciendo público el texto controvertido. Se entiende, en suma, que existieron graves ofensas que justifican la apreciación de una infracción del principio de la buena fe y lealtad, dando cobertura causal al despido disciplinario.</w:t>
      </w:r>
    </w:p>
    <w:p w:rsidR="0052098F" w:rsidRDefault="0052098F" w:rsidP="0052098F">
      <w:pPr>
        <w:pStyle w:val="TextoNormal"/>
      </w:pPr>
    </w:p>
    <w:p w:rsidR="0052098F" w:rsidRDefault="0052098F" w:rsidP="0052098F">
      <w:pPr>
        <w:pStyle w:val="TextoNormal"/>
      </w:pPr>
      <w:r w:rsidRPr="0052098F">
        <w:rPr>
          <w:rStyle w:val="NumeroAFNegritaCaracter"/>
        </w:rPr>
        <w:t>5</w:t>
      </w:r>
      <w:r>
        <w:t>. Sentado lo anterior, el siguiente paso consistirá en determinar si las expresiones vertidas por el hoy recurrente estaban amparadas en la libertad de expresión reconocida por el art.  20.1 a) CE, según ha sostenido en la demanda, o, por el contrario, fueron efectuadas con extralimitación del ámbito de protección que dicho precepto constitucional consagra, como estima Cepsa y han confirmado las resoluciones judiciales recurridas.</w:t>
      </w:r>
    </w:p>
    <w:p w:rsidR="0052098F" w:rsidRDefault="0052098F" w:rsidP="0052098F">
      <w:pPr>
        <w:pStyle w:val="TextoNormal"/>
      </w:pPr>
      <w:r>
        <w:t>Ha señalado reiteradamente este Tribunal que el derecho a la libertad de expresión, al referirse a la formulación de “pensamientos, ideas y opiniones”, sin pretensión de sentar hechos o afirmar datos objetivos, dispone de un campo de acción que viene sólo delimitado por la ausencia de expresiones indudablemente injuriosas o sin relación con las ideas u opiniones que se expongan y que resulten innecesarias para la exposición de las mismas (por todas, SSTC 105/1990, de 6 de junio, FJ4; 42/1995, de 13 de febrero, FJ 2; 112/2000, de 5 de mayo, FJ 6; 99/2002, de 6 de mayo, FJ 5; 181/2006, de 19 de junio, FJ 5; 9/2007, de 15 de enero, FJ 4; y 139/2007, de 4 de junio de 2007, FJ 6).</w:t>
      </w:r>
    </w:p>
    <w:p w:rsidR="0052098F" w:rsidRDefault="0052098F" w:rsidP="0052098F">
      <w:pPr>
        <w:pStyle w:val="TextoNormal"/>
      </w:pPr>
      <w:r>
        <w:t xml:space="preserve">En ese sentido, es preciso recordar que, como hemos señalado con reiteración, la libertad de expresión no es sólo la manifestación de pensamientos e ideas, sino que comprende la crítica de la conducta de otro, aun cuando sea desabrida y pueda molestar, inquietar o disgustar a aquél contra quien se dirige (SSTC 6/2000, de 17 de enero, FJ 5; 49/2001, de 26 de febrero, FJ 7; y 181/2006, de 19 de junio, FJ 5), pues “así lo requieren el pluralismo, la tolerancia y el espíritu de apertura, sin los cuales no existe ‘sociedad democrática” </w:t>
      </w:r>
      <w:r>
        <w:lastRenderedPageBreak/>
        <w:t>(SSTEDH de 23 de abril de 1992, Castells c. España, § 42, y de 29 de febrero de 2000, Fuentes Bobo c. España, § 43). Lo que no reconoce el art.  20.1 a) CE es un pretendido derecho al insulto, que sería incompatible con la norma fundamental (SSTC 204/1997, de 25 de noviembre, FJ 2; 174/2006, de 5 de junio, FJ 4, o 181/2006, de 19 de junio, FJ 5, entre tantas otras).</w:t>
      </w:r>
    </w:p>
    <w:p w:rsidR="0052098F" w:rsidRDefault="0052098F" w:rsidP="0052098F">
      <w:pPr>
        <w:pStyle w:val="TextoNormal"/>
      </w:pPr>
    </w:p>
    <w:p w:rsidR="0052098F" w:rsidRDefault="0052098F" w:rsidP="0052098F">
      <w:pPr>
        <w:pStyle w:val="TextoNormal"/>
      </w:pPr>
      <w:r w:rsidRPr="0052098F">
        <w:rPr>
          <w:rStyle w:val="NumeroAFNegritaCaracter"/>
        </w:rPr>
        <w:t>6</w:t>
      </w:r>
      <w:r>
        <w:t>. No obstante, a fin de delimitar con mayor precisión la cobertura del derecho, debemos recordar que en el presente caso la protección que el recurrente demanda de su derecho a la libertad de expresión se efectúa en relación con el ejercicio por parte del empresario de sus poderes disciplinarios en el seno de una relación laboral. Se trata, por lo tanto, de un ámbito en el cual el ejercicio de la indicada libertad no sólo está sujeto a las restricciones genéricas antes apuntadas, sino también a los límites adicionales derivados del vínculo contractual que une a trabajador y empresario (SSTC 198/2004, de 15 de noviembre, FJ 8, o 227/2006, de 17 de julio, FJ 3, por todas).</w:t>
      </w:r>
    </w:p>
    <w:p w:rsidR="0052098F" w:rsidRDefault="0052098F" w:rsidP="0052098F">
      <w:pPr>
        <w:pStyle w:val="TextoNormal"/>
      </w:pPr>
      <w:r>
        <w:t>Será oportuno, entonces, especificar los márgenes del derecho fundamental en ese ámbito contractual, reproduciendo a tal propósito la doctrina que, entre otras, fijara nuestra STC 151/2004, de 20 de septiembre, FJ 7:</w:t>
      </w:r>
    </w:p>
    <w:p w:rsidR="0052098F" w:rsidRDefault="0052098F" w:rsidP="0052098F">
      <w:pPr>
        <w:pStyle w:val="TextoNormal"/>
      </w:pPr>
      <w:r>
        <w:t>“Al respecto, ha de comenzarse recordando que la celebración de un contrato de trabajo no implica en modo alguno la privación para una de las partes, el trabajador, de los derechos que la Constitución le reconoce como ciudadano, entre ellos el derecho a difundir libremente los pensamientos, ideas y opiniones [art. 20.1 a) CE], y cuya protección queda garantizada frente a eventuales lesiones mediante el impulso de los oportunos medios de reparación (por todas, SSTC 6/1988, de 21 de enero; 186/1996, de 25 de noviembre; o 20/2002, de 28 de enero). Lo que se ha justificado por cuanto las organizaciones empresariales no forman mundos separados y estancos del resto de la sociedad ni la libertad de empresa que establece el art. 38 del Texto constitucional legitima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Las manifestaciones de ‘feudalismo industrial’ repugnan al Estado social y democrático de Derecho y a los valores superiores de libertad, justicia e igualdad a través de los cuales ese Estado toma forma y se realiza (art. 1.1 CE; STC 88/1985, de 19 de julio, FJ 2). La efectividad de los derechos fundamentales del trabajador en el ámbito de las relaciones laborales debe ser compatible, por tanto, con el cuadro de límites recíprocos que pueden surgir entre aquellos y las facultades empresariales, las cuales son también expresión de derechos constitucionales reconocidos en los arts. 33 y 38 CE. Por esa razón es necesario modular, según los casos, el ejercicio de todos ellos”.</w:t>
      </w:r>
    </w:p>
    <w:p w:rsidR="0052098F" w:rsidRDefault="0052098F" w:rsidP="0052098F">
      <w:pPr>
        <w:pStyle w:val="TextoNormal"/>
      </w:pPr>
      <w:r>
        <w:t xml:space="preserve">“Se ha declarado también, en segundo término, que el ejercicio del derecho reconocido en el art. 20.1 a) CE se encuentra sometido a los límites que el apartado 4 del mismo precepto establece (SSTC 126/1990, de 5 de julio; 106/1996, de 12 de junio; o 186/1996, de 25 de noviembre, entre otras) y, en particular, que cuando nos situamos en el ámbito de una relación laboral las manifestaciones de una parte respecto de la otra deben enmarcarse en las pautas de comportamiento que se derivan de la existencia de tal relación, pues el contrato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marco de dicha relación (SSTC 120/1983, de 15 de diciembre; 6/1988, de 21 de enero; 4/1996, de 16 de enero; 106/1996, de 12 de junio; 1/1998, de 12 de enero; 20/2002, de 28 de enero; o 126/2003, de 30 de junio). De este modo, surge </w:t>
      </w:r>
      <w:r>
        <w:lastRenderedPageBreak/>
        <w:t>un ‘condicionamiento’ o ‘límite adicional’ en el ejercicio del derecho constitucional, impuesto por la relación laboral, que se deriva del principio de buena fe entre las partes en el contrato de trabajo y al que éstas han de ajustar su comportamiento mutuo (SSTC 106/1996, de 12 de junio; 1/1998, de 12 de enero; 90/1999, de 26 de mayo; 241/1999, de 20 de diciembre; o 20/2002, de 28 de enero), aunque se trate de un límite débil frente al que caracteriza la intersección del derecho fundamental con otros principios y derechos subjetivos consagrados por la Constitución (STC 241/1999, de 20 de diciembre)”.</w:t>
      </w:r>
    </w:p>
    <w:p w:rsidR="0052098F" w:rsidRDefault="0052098F" w:rsidP="0052098F">
      <w:pPr>
        <w:pStyle w:val="TextoNormal"/>
      </w:pPr>
      <w:r>
        <w:t>“De ahí que este Tribunal se haya referido, por ejemplo, al deber de secreto respecto de determinados datos de empresa que pueden quedar excluidos del conocimiento público, aunque no resulte ilimitado (entre otras, STC 213/2002, de 11 de noviembre), o al desarrollo de la prestación del trabajo en empresas de tendencia ideológica (SSTC 47/1985, de 27 de marzo; o 106/1996, de 12 de junio), y ha precisado también que los derechos fundamentales del trabajador no sirven incondicionalmente para imponer modificaciones contractuales (STC 19/1985, de 13 de febrero) ni para el incumplimiento de los deberes laborales (STC 129/1989, de 17 de julio). Pero, al mismo tiempo, hemos sentado que no cabe defender la existencia de un deber genérico de lealtad con un significado omnicomprensivo de sujeción del trabajador al interés empresarial, pues ello no es acorde con el sistema constitucional de relaciones laborales (SSTC 186/1996, de 25 de noviembre; 204/1997, de 25 de noviembre; 1/1998, de 12 de enero; 197/1998, de 13 de octubre; 241/1999, de 20 de diciembre; o 192/2003, de 27 de octubre), de modo que aunque la relación laboral tiene como efecto típico la supeditación de ciertas actividades a los poderes empresariales, no basta con la sola afirmación del interés empresarial para restringir los derechos fundamentales del trabajador, dada la posición prevalente que éstos alcanzan en nuestro ordenamiento en cuanto proyecciones de los núcleos esenciales de la dignidad de la persona (art. 10.1 CE) y fundamentos del propio Estado democrático (art. 1 CE)”.</w:t>
      </w:r>
    </w:p>
    <w:p w:rsidR="0052098F" w:rsidRDefault="0052098F" w:rsidP="0052098F">
      <w:pPr>
        <w:pStyle w:val="TextoNormal"/>
      </w:pPr>
      <w:r>
        <w:t>“Por último, en atención a lo anterior,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(SSTC 186/1996, de 25 de noviembre, y 186/2000, de 10 de julio). Pues dada la posición preeminente de los derechos fundamentales en nuestro ordenamiento, esa modulación sólo se producirá en la medida estrictamente imprescindible para el correcto y ordenado desenvolvimiento de la actividad productiva (STC 126/2003, de 30 de junio). Lo que entraña la necesidad de proceder a una ponderación adecuada que respete la definición y valoración constitucional del derecho fundamental y que atienda a las circunstancias concurrentes en el caso. Juicio que permitirá determinar si la reacción empresarial que ha conducido al despido del trabajador es legítima o, por el contrario, éste fue sancionado disciplinariamente por el lícito ejercicio de sus derechos fundamentales, en cuyo caso el despido no podría dejar de calificarse como nulo”.</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Queda por determinar, en consecuencia, en qué medida la ponderación efectuada en las resoluciones judiciales impugnadas se adapta a las pautas derivadas de la doctrina de este Tribunal Constitucional. Pues bien, analizando el contenido del citado escrito llegamos a la conclusión de que en ningún momento se han transgredido en el mismo los límites del derecho a la libertad de expresión. Su texto se refiere estrictamente a cuestiones relativas al desarrollo de las relaciones laborales en la empresa, tanto a un supuesto de siniestralidad laboral —fallecimiento de compañeros en accidente de trabajo— como a decisiones empresariales de carácter disciplinario directamente dirigidas frente al actor —expediente abierto </w:t>
      </w:r>
      <w:r>
        <w:lastRenderedPageBreak/>
        <w:t>por unos escritos de fecha 15 y 16 de octubre y 6 de noviembre de 2002—, aspectos en los que el trabajador ve elementos que considera criticables y que desea denunciar. Las críticas y juicios de valor se dirigen contra la dirección del establecimiento, contra los órganos de representación de los trabajadores y (podría entenderse que) también contra los compañeros de trabajo en lo relativo al accidente laboral ya mencionado. Aun cuando en algunos momentos pueda estimarse que la denuncia reviste una particular dureza, ha de tenerse en cuenta que tal escrito, que queda limitado en su difusión al ámbito puramente interno de la empresa, obedece a la expresa finalidad de rendir un homenaje a los compañeros fallecidos y, asimismo, al propósito de denunciar tanto las circunstancias en las que se produjo su accidente como, por otra parte, los términos en los que se desarrolló el mencionado procedimiento disciplinario, sin que el trabajador haya empleado al hacerlo expresiones insultantes, ultrajantes u ofensivas, sin relación con las ideas y opiniones que expone y, por tanto, innecesarias a su propósito —límites que, como vimos, se imponen en el ejercicio del derecho fundamental invocado—, y sin que tampoco se haya situado al margen de las pautas de comportamiento exigibles existente una relación laboral, como veremos seguidamente.</w:t>
      </w:r>
    </w:p>
    <w:p w:rsidR="0052098F" w:rsidRDefault="0052098F" w:rsidP="0052098F">
      <w:pPr>
        <w:pStyle w:val="TextoNormal"/>
      </w:pPr>
      <w:r>
        <w:t>Así, el escrito del demandante de amparo, en primer lugar, constituye una comunicación interna en el seno de la empresa, sin que en ningún momento se haya ni siquiera alegado la existencia de cualquier tipo de difusión externa a la opinión pública en general, ni en particular a los usuarios concretos del servicio que Cepsa presta. Es obvio, por otro lado, que nada imponía al ejercitante del derecho dirigir su comunicado únicamente a los gestores de la entidad, pues el demandante de amparo podía, como hizo, dar a conocer el documento a los restantes trabajadores de la empresa, entregándolo incluso en mano a alguno de ellos, dinámica ésta consustancial a toda acción de expresión como la analizada, y que no afecta al carácter interno de la comunicación.</w:t>
      </w:r>
    </w:p>
    <w:p w:rsidR="0052098F" w:rsidRDefault="0052098F" w:rsidP="0052098F">
      <w:pPr>
        <w:pStyle w:val="TextoNormal"/>
      </w:pPr>
      <w:r>
        <w:t>Por lo demás, que ese carácter interno reduzca el impacto y efectos de la crítica y denuncia realizadas en términos de difusión —lo que resulta relevante sobre todo para analizar su relación con la causación de un posible perjuicio desproporcionado a Cepsa—, no permite desvirtuar el alcance de ese dato soslayando que un trabajador, en principio o como regla general, y sin perjuicio del examen de cada caso, no ve limitado por defecto su derecho fundamental al ámbito interno de la empresa, pudiendo dar difusión externa a sus opiniones y críticas (un ejemplo de ello en la STC 151/2004, de 20 de septiembre). Como recordara la STC 181/2006, de 19 de junio, FJ 6, desde la prevalencia de los derechos fundamentales, su limitación sólo puede derivar, bien del hecho de que la propia naturaleza del trabajo contratado implique la restricción del derecho (SSTC 99/1994, de 11 de abril, FJ 7; y 106/1996, de 12 de junio, FJ 4), bien de una acreditada necesidad o interés empresarial, sin que sea suficiente su mera invocación para sacrificar el derecho fundamental del trabajador (SSTC 99/1994, de 11 de abril, FJ 7; 6/1995, de 10 de enero, FJ 3; y 136/1996, de 23 de julio, FJ 7). En suma, el escrito del actor tuvo carácter interno, sin perjuicio de que, en su caso, su difusión externa hubiera podido encontrar acomodo en la cobertura del derecho fundamental.</w:t>
      </w:r>
    </w:p>
    <w:p w:rsidR="0052098F" w:rsidRDefault="0052098F" w:rsidP="0052098F">
      <w:pPr>
        <w:pStyle w:val="TextoNormal"/>
      </w:pPr>
      <w:r>
        <w:t xml:space="preserve">El carácter estrictamente laboral del contenido del escrito considerado se acredita advirtiendo que nada hay en él que verse sobre ámbitos distintos al de las relaciones laborales. En efecto, el mismo se refiere íntegramente al accidente de trabajo de varios compañeros y a la sanción previamente impuesta al recurrente en amparo por otros comunicados previos. Sin perjuicio de lo que se dirá sobre la crítica formulada contra los representantes de los trabajadores, en lo que estrictamente afecta al empleador en ningún momento se realiza imputación o crítica alguna a la dirección del centro no relacionada directamente con aquellos concretos aspectos laborales. Desde esta perspectiva es evidente la conexión plena del </w:t>
      </w:r>
      <w:r>
        <w:lastRenderedPageBreak/>
        <w:t>escrito con el ejercicio de la libertad de expresión en el seno de la relación de trabajo. Las críticas estarán o no justificadas; el malestar que en el escrito se explicita tendrá un alcance más o menos generalizado y será o no compartido por otros trabajadores; los concretos hechos que se denuncian serán o no ciertos; el diagnóstico de la situación y de sus causas será, en fin, más o menos acertado. Pero no cabe, en modo alguno, cuestionar su finalidad estrictamente laboral, pues resulta evidente que cabe encuadrar su contenido, más allá de su expresada voluntad de homenajear a compañeros muertos en el trabajo, en materias relativas a los riesgos laborales y al ejercicio de los poderes disciplinarios por parte del empleador.</w:t>
      </w:r>
    </w:p>
    <w:p w:rsidR="0052098F" w:rsidRDefault="0052098F" w:rsidP="0052098F">
      <w:pPr>
        <w:pStyle w:val="TextoNormal"/>
      </w:pPr>
      <w:r>
        <w:t>Por último, en tercer lugar, no cabe apreciar daño alguno en acreditadas necesidades o en intereses empresariales. Es indudable, en ese sentido, que el escrito constituye, en sí mismo, un acto de conflictividad laboral, pues con su elaboración y publicación —más aún cuando ésta se produce justamente el día siguiente al pacto alcanzado en conciliación judicial respecto del expediente disciplinario precedente— se ejerce por el recurrente en amparo una acción de protesta, crítica y autoafirmación de la propia posición, con independencia de que acompañe a ese propósito el declarado de homenajear a sus compañeros muertos en accidente laboral. Ahora bien, es igualmente cierto que, en sí mismo considerado, el hecho de explicitar un conflicto laboral no puede siquiera concebirse como un exceso en el ejercicio del derecho a la libertad de expresión, resultando conceptualmente insostenible vincular el acto de hacerlo público con la idea de perjuicio o lesión de los intereses empresariales, pues el conflicto de intereses entre las partes del contrato de trabajo es consustancial a un sistema democrático de relaciones laborales, y lo es también, por tanto, el derecho a hacerlo expreso y a adoptar las medidas de conflicto que el Ordenamiento jurídico reconoce.</w:t>
      </w:r>
    </w:p>
    <w:p w:rsidR="0052098F" w:rsidRDefault="0052098F" w:rsidP="0052098F">
      <w:pPr>
        <w:pStyle w:val="TextoNormal"/>
      </w:pPr>
      <w:r>
        <w:t>A ello responde, como señalamos anteriormente con cita de doctrina constitucional, que hayamos establecido que no cabe defender la existencia de un deber genérico de lealtad con un significado omnicomprensivo de sujeción del trabajador al interés empresarial, o que sea reiterada nuestra doctrina en cuanto a que, aun cuando la relación laboral tiene como efecto típico la supeditación de ciertas actividades a los poderes empresariales, no basta con la sola afirmación del interés empresarial para restringir los derechos fundamentales del trabajador.  En definitiva, en la medida en que el escrito no hace otra cosa que manifestar el malestar y crítica del trabajador firmante por las situaciones que denuncia, no puede declararse ningún daño efectivo a la empresa por extralimitación del marco legítimo del ejercicio de la libertad de expresión, al no haber resultado acreditadas otras consecuencias o daños específicos con base en los que proceda realizar algún tipo de ponderación.</w:t>
      </w:r>
    </w:p>
    <w:p w:rsidR="0052098F" w:rsidRDefault="0052098F" w:rsidP="0052098F">
      <w:pPr>
        <w:pStyle w:val="TextoNormal"/>
      </w:pPr>
    </w:p>
    <w:p w:rsidR="0052098F" w:rsidRDefault="0052098F" w:rsidP="0052098F">
      <w:pPr>
        <w:pStyle w:val="TextoNormal"/>
      </w:pPr>
      <w:r w:rsidRPr="0052098F">
        <w:rPr>
          <w:rStyle w:val="NumeroAFNegritaCaracter"/>
        </w:rPr>
        <w:t>8</w:t>
      </w:r>
      <w:r>
        <w:t>. Siendo esa la situación, y pese al pacto alcanzado el día anterior en conciliación judicial, el recurrente decide poner en marcha una acción que ha resultado objeto de sanción disciplinaria. Lo hizo, según hemos señalado, sin abandono en ningún momento del ámbito de la relación laboral, sin afectar a las relaciones con los clientes, sin difusión externa y, a mayor abundamiento, sin ocasionar en los intereses de la empresa un daño innecesario y desproporcionado que haya quedado acreditado.  Ahora bien, lo hizo, al mismo tiempo, empleando expresiones cuya cobertura por parte del derecho fundamental invocado debe ser examinada, para concluir si la conducta del recurrente se desarrolló en todo momento dentro de los márgenes que delimitan el legítimo ejercicio de la libertad de expresión [art. 20.1 a) CE], y para determinar, en consecuencia, si su despido es o no compatible con el respeto a dicho derecho fundamental.</w:t>
      </w:r>
    </w:p>
    <w:p w:rsidR="0052098F" w:rsidRDefault="0052098F" w:rsidP="0052098F">
      <w:pPr>
        <w:pStyle w:val="TextoNormal"/>
      </w:pPr>
      <w:r>
        <w:t>A tal propósito han de examinarse ahora específicamente las expresiones del recurrente analizadas con anterioridad en su significación global, en sí mismas y en relación con las circunstancias relevantes del presente caso.</w:t>
      </w:r>
    </w:p>
    <w:p w:rsidR="0052098F" w:rsidRDefault="0052098F" w:rsidP="0052098F">
      <w:pPr>
        <w:pStyle w:val="TextoNormal"/>
      </w:pPr>
      <w:r>
        <w:lastRenderedPageBreak/>
        <w:t>Desde un punto de vista meramente semántico, la conclusión a la que se llega sin dificultad es que ninguna de las expresiones transcritas puede ser entendida, en sí misma y en su contexto, como gravemente ofensiva o vejatoria.</w:t>
      </w:r>
    </w:p>
    <w:p w:rsidR="0052098F" w:rsidRDefault="0052098F" w:rsidP="0052098F">
      <w:pPr>
        <w:pStyle w:val="TextoNormal"/>
      </w:pPr>
      <w:r>
        <w:t>En efecto, las referidas a los trabajadores fallecidos (“murieron quemados como perros defendiendo los intereses de la Empresa, y que murieron así por, entre otras causas, un gran compañerismo laboral, falta de reflejos”), porque su utilización para referirse al accidente laboral, tal y como lo percibía el autor del escrito, y como con acierto sostienen el Ministerio Fiscal y el propio recurrente, no contiene ninguna valoración ad personam adversa para aquellos trabajadores que fallecieron abrasados, refiriéndose por el contrario a las desdichadas circunstancias en que encontraron la muerte, que son juzgadas de manera muy negativa por el Sr. Izquierdo Hernández, resultando que tal expresión no es, por lo demás, inusual para hablar de muertes acaecidas en circunstancias que se juzgan inadmisibles. Como afirma la demanda, es una expresión que según el Diccionario de la Real Academia Española tiene entre sus significados “Morir solo, abandonado, sin ayuda alguna”, declaración que, no estando en cuestión la veracidad misma del hecho, sino sólo la cobertura de la libertad de expresión para manifestarse en esos términos, no puede calificarse como ofensiva, pues sólo describe una situación acaecida y, por tanto, una realidad histórica que se enuncia con una valoración fuertemente crítica y negativa. Esto así no puede considerarse ofensiva la expresión utilizada, tanto que, en el significado expuesto, ni siquiera cabe descartar la hipótesis de que responda a una descripción ajustada de la realidad de lo que sucedió. Interpretar esa expresión como algo ofensivo para los trabajadores fallecidos o sus familias, como subraya señaladamente la Sentencia de instancia, constituye, no sólo una exégesis rebuscada y forzada, sino, a todas luces, contraindicada a la vista del contenido completo del escrito e incoherente con la finalidad de homenaje que expresamente resalta el autor del mismo.</w:t>
      </w:r>
    </w:p>
    <w:p w:rsidR="0052098F" w:rsidRDefault="0052098F" w:rsidP="0052098F">
      <w:pPr>
        <w:pStyle w:val="TextoNormal"/>
      </w:pPr>
      <w:r>
        <w:t>La referencia, en relación con ese mismo hecho, a que los compañeros murieron “defendiendo los intereses de la Empresa, y que murieron así por, entre otras causas, un gran compañerismo laboral, falta de reflejos”, que según la demanda, como la expresión antes analizada, está pensando igualmente en que aquellos trabajadores murieron solos, sin recibir ayuda de nadie, tampoco es ofensiva, ni insultante. Aunque pudiera englobarse en ello la idea de acusación y denuncia del comportamiento de los compañeros de trabajo de los fallecidos, estaríamos ciertamente ante un reproche molesto, hiriente e incluso despectivo, pero, como ya dijéramos en la STC 151/2004, de 20 de septiembre, FJ 8, no resultaría tampoco en esa tesis hermenéutica una expresión gravemente vejatoria, menos aún cuando el escrito no individualiza ni identifica a trabajadores concretos y cuando, nuevamente, nos situamos en el ámbito de la libertad de expresión, al no estar en cuestión la veracidad de lo declarado por el actor en su comunicado.</w:t>
      </w:r>
    </w:p>
    <w:p w:rsidR="0052098F" w:rsidRDefault="0052098F" w:rsidP="0052098F">
      <w:pPr>
        <w:pStyle w:val="TextoNormal"/>
      </w:pPr>
      <w:r>
        <w:t>Por lo demás carecen de toda trascendencia otros elementos, señaladamente la indicación de que los compañeros murieron defendiendo los intereses de la empresa, que bien puede significar, simplemente, en unión a lo anteriormente dicho, que lo hicieron en el ejercicio y cumplimiento de sus obligaciones prestacionales con el empleador, pese a lo que fallecieron sin ayuda.</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En cuanto a la expresión “a pesar del encefalograma plano y bobalicón que está imperando aquí”, referida según afirma el actor y parecen asumir los órganos judiciales a los representantes de los trabajadores en la empresa, será preciso recordar, en primer lugar, que la crítica a la función representativa también es posible. Por otra parte, como dice el Fiscal, en el caso de autos el comité de empresa se ha opuesto a la propia decisión de despido, lo que, sin llegar a significar que lo dicho por el actor se percibiera como no ofensivo por sus </w:t>
      </w:r>
      <w:r>
        <w:lastRenderedPageBreak/>
        <w:t>destinatarios, no deja de constituir un dato que debe tenerse en consideración. A todo ello cabe añadir que las declaraciones del trabajador referidas a sus representantes difícilmente podrían justificar una resolución unilateral del contrato de trabajo de carácter disciplinario, al ser aquella relación de representación diversa al vínculo contractual que liga al empresario y el trabajador.</w:t>
      </w:r>
    </w:p>
    <w:p w:rsidR="0052098F" w:rsidRDefault="0052098F" w:rsidP="0052098F">
      <w:pPr>
        <w:pStyle w:val="TextoNormal"/>
      </w:pPr>
      <w:r>
        <w:t>Aun siendo suficiente lo anterior para confirmar la conclusión que ha sido reseñada, convendrá resaltar que las expresiones “encefalograma plano” y “bobalicón”, dirigidas a los representantes de los trabajadores y utilizadas en el apartado del escrito que se ocupa del accidente de trabajo con resultado de muerte, podrían razonablemente vincularse, como se ha dicho, a la gestión representativa de los miembros del comité de empresa en ese caso, esto es, encuadrarse en una crítica al ejercicio de su función en relación con el accidente, sin ánimo en cambio de descalificación personal.  En esa hipótesis hermenéutica —que debe atenderse al ser la que se aduce y al resultar una interpretación posible de lo dicho— el problema quedaría conectado por extensión con la idea de prestigio profesional, y mediante ella con el art. 18.1 CE (STC 282/2000, de 27 de noviembre). Como se sabe en la actualidad la actividad laboral o profesional posee una faceta externa, de relación social que, en cuanto tal, repercute en la imagen que de la persona tengan los demás. Algo similar podría sostenerse de la imagen de los representantes de los trabajadores en sus representados. Pero ese dato, lejos de excluir las posibilidades de expresión del actor, haría el desempeño de la función representativa susceptible de ser sometida a la crítica y evaluación ajenas, sin que tal cosa suponga el enjuiciamiento de la persona que la desempeña y, en consecuencia, de su honorabilidad. En suma, la protección del art.  18.1 CE sólo alcanzaría a aquellas críticas que, pese a estar formalmente dirigidas a la actividad representativa de los miembros del comité de empresa y a los representantes de los trabajadores en general, constituyan en el fondo una descalificación personal, al repercutir directamente en su consideración y dignidad individuales, poseyendo un especial relieve aquellas infamias que pongan en duda o menosprecien su probidad o su ética en el desempeño de su función de representación; lo que, obviamente, dependerá de las circunstancias del caso, de quién, cómo, cuándo y de qué forma se ha cuestionado la valía del ofendido (mutatis mutandis, SSTC 180/1999, de 11 de octubre, FJ 5; 282/2000, de 27 de noviembre, FJ 3; 151/2004, de 20 de septiembre , FJ 8, y 9/2007, de 15 de enero, FJ 3).</w:t>
      </w:r>
    </w:p>
    <w:p w:rsidR="0052098F" w:rsidRDefault="0052098F" w:rsidP="0052098F">
      <w:pPr>
        <w:pStyle w:val="TextoNormal"/>
      </w:pPr>
      <w:r>
        <w:t>Y lo cierto es que la crítica que subyace en aquellas expresiones, por molestas que sean, no equivale a discutir la rectitud, integridad u honradez de los afectados, como mucho su solvencia en el desarrollo de la función o la actuación concreta que pudieron llevar a cabo en un supuesto singular, crítica amparada por el derecho fundamental en tanto que no se acredita, ni un ánimo de repercutir directamente en la consideración y dignidad individual de los representantes de los trabajadores, ni la producción objetiva de un daño de aquella naturaleza. En otras palabras, dichas calificaciones estarían valorando una actuación representativa en un asunto específico y particular, por lo que no pueden considerarse descalificaciones personales de carácter general (en ese sentido, realizando la diferenciación entre actuación profesional concreta y descalificación personal, STC 174/2006, de 5 de junio, FJ 6).</w:t>
      </w:r>
    </w:p>
    <w:p w:rsidR="0052098F" w:rsidRDefault="0052098F" w:rsidP="0052098F">
      <w:pPr>
        <w:pStyle w:val="TextoNormal"/>
      </w:pPr>
      <w:r>
        <w:t xml:space="preserve">Por lo demás, como es obvio, no sólo nada impide a un trabajador criticar a sus representantes, sino que tampoco existe obstáculo para ejercitar su libertad de expresión al margen de ellos. En ese sentido que el escrito en cuestión constituya una acción individual del trabajador no condiciona el protagonismo que adquiere el derecho fundamental invocado, puesto que, como dijéramos en la STC 181/2006, de 19 de junio, la libertad de expresión ejercida en el ámbito de la relación laboral no está condicionada al requisito de que las </w:t>
      </w:r>
      <w:r>
        <w:lastRenderedPageBreak/>
        <w:t>opiniones que se vierten sean más o menos mayoritarias dentro del conjunto de los trabajadores de la empresa o cuenten con el respaldo del órgano de representación de éstos. Establecía en ese sentido aquella Sentencia que: “La posición contraria al escrito por parte del comité de empresa, en cuanto legítimo representante de aquéllos, o incluso la posición contraria de la totalidad de dichos trabajadores individualmente considerados, si así fuera el caso, podría ser valorada desde muchos puntos de vista, incluido el de la mayor o menor relevancia de las opiniones manifestadas o el de la consideración que hubieran de merecer por parte de los responsables a los que se dirigen, pero en nada afecta al lícito ejercicio individual del derecho a la libertad de expresión, si efectivamente éste ha sido ejercido dentro de sus límites constitucionalmente definidos. Antes al contrario, es fácil comprender que el carácter minoritario de una opinión convierte en más vulnerable a su autor y requiere en mayor medida de la afirmación de la tutela que deriva del hecho de estar actuando en el legítimo ejercicio de sus derechos fundamentales”.</w:t>
      </w:r>
    </w:p>
    <w:p w:rsidR="0052098F" w:rsidRDefault="0052098F" w:rsidP="0052098F">
      <w:pPr>
        <w:pStyle w:val="TextoNormal"/>
      </w:pPr>
    </w:p>
    <w:p w:rsidR="0052098F" w:rsidRDefault="0052098F" w:rsidP="0052098F">
      <w:pPr>
        <w:pStyle w:val="TextoNormal"/>
      </w:pPr>
      <w:r w:rsidRPr="0052098F">
        <w:rPr>
          <w:rStyle w:val="NumeroAFNegritaCaracter"/>
        </w:rPr>
        <w:t>10</w:t>
      </w:r>
      <w:r>
        <w:t>. Resta, finalmente, examinar la expresión “engendro sancionador” referida al expediente disciplinario del que fue objeto el recurrente en amparo, que concluyó con la imposición de una sanción que fue finalmente dejada sin efecto por el pacto alcanzado antes de celebrarse el juicio previsto. A este respecto es necesario destacar que entre las acepciones de “engendro” está “Plan, designio u obra intelectual mal concebidos”.  Por extensión, sin necesidad de realizar esfuerzo interpretativo alguno, es patente que no ofende ni insulta a nadie el hecho de calificar como mal concebido o tramitado un expediente disciplinario. Es una opinión que será o no correcta conforme a un test jurídico, pero que no puede quedar desamparada por el derecho de libertad de expresión. Es claro, por tanto, que tal declaración guarda relación con las circunstancias en las que el mismo fue desarrollado y las irregularidades en las que, a juicio del autor del escrito, incurrió el procedimiento, lo que no puede considerarse gravemente ofensivo o insultante puesto que aquel término tiene un significado en castellano que bien puede quedar comprendido en el mismo campo semántico que otros que aluden a lo realizado de modo irregular o en forma gravemente defectuosa e incorrecta. Así entendida no se trata de una expresión ofensiva, por mucho que la empresa pueda estimarla irrespetuosa en atención a su particular concepción de lo que deba ser la conducta de los trabajadores; concepción que no responde, sin embargo, a un imperativo constitucional ni puede convertirse entonces en un límite al ejercicio del derecho fundamental consagrado en el art. 20.1 a) CE (STC 151/2004, de 20 de septiembre, FJ 8).</w:t>
      </w:r>
    </w:p>
    <w:p w:rsidR="0052098F" w:rsidRDefault="0052098F" w:rsidP="0052098F">
      <w:pPr>
        <w:pStyle w:val="TextoNormal"/>
      </w:pPr>
      <w:r>
        <w:t>Por último no es ocioso señalar que de la avenencia a que finalmente se llegó entre empresa y trabajador sólo se sigue que el ejercicio del derecho a la libertad de expresión de éste se realizaría en el futuro conforme a su regular cobertura, sin cometer excesos, y ya se ha dicho en los fundamentos jurídicos anteriores que el Sr.  Izquierdo Hernández no incurrió en extralimitación alguna. Esto así, cumplidos los requisitos que la Constitución impone, el ejercicio del derecho fundamental no puede someterse a un juicio de oportunidad, pues sus límites, antes descritos, son de otro tipo, al igual que no cabe exigir que quede sujeto a un deber de imparcialidad (STC 151/2004, de 20 de septiembre, FJ 9), tampoco en relación con un conflicto en el que el autor del escrito defendía un interés y una posición frente a la empresa en materias de índole laboral.</w:t>
      </w:r>
    </w:p>
    <w:p w:rsidR="0052098F" w:rsidRDefault="0052098F" w:rsidP="0052098F">
      <w:pPr>
        <w:pStyle w:val="TextoNormal"/>
      </w:pPr>
      <w:r>
        <w:t xml:space="preserve">Sentado todo lo anterior concluimos, que las manifestaciones hechas por el trabajador guardaban relación con sus intereses laborales y, de otra parte, que tanto si se consideran en sí mismas como en su contexto no entrañaron una ofensa grave para la empleadora, ni eran vejatorias para sus gestores o trabajadores, aun cuando pudieran considerarse improcedentes. La actuación del actor supuso un legítimo ejercicio de su derecho fundamental a la </w:t>
      </w:r>
      <w:r>
        <w:lastRenderedPageBreak/>
        <w:t>libertad de expresión [art. 20.1 a) CE], en la medida en que se limitó a manifestar su desaprobación, disconformidad y crítica, en el ámbito interno de la empresa, con problemáticas laborales. Por consiguiente ha de estimarse que no fue legítima, por contraria al art. 20.1 a) CE, la decisión de Cepsa acordando su despido.</w:t>
      </w:r>
    </w:p>
    <w:p w:rsidR="0052098F" w:rsidRDefault="0052098F" w:rsidP="0052098F">
      <w:pPr>
        <w:pStyle w:val="TextoNormal"/>
      </w:pPr>
    </w:p>
    <w:p w:rsidR="0052098F" w:rsidRDefault="0052098F" w:rsidP="0052098F">
      <w:pPr>
        <w:pStyle w:val="TextoNormal"/>
      </w:pPr>
      <w:r w:rsidRPr="0052098F">
        <w:rPr>
          <w:rStyle w:val="NumeroAFNegritaCaracter"/>
        </w:rPr>
        <w:t>11</w:t>
      </w:r>
      <w:r>
        <w:t>. Las consideraciones que anteceden conducen a la estimación del amparo y sólo resta determinar el alcance de los pronunciamientos previstos en el art. 55 LOTC. Con este fin procederá declarar la nulidad de las Sentencias impugnadas, así como la del Auto de la Sala de lo Social del Tribunal Supremo, de 10 de enero de 2006, en cuanto declara la firmeza de la Sentencia dictada en suplicación (por todas, SSTC 171/2005, de 20 de junio, y 52/2007, de 12 de marzo).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Otorgar el amparo solicitado por don Sergio Enrique Izquierdo Hernández y, en su virtud:</w:t>
      </w:r>
    </w:p>
    <w:p w:rsidR="0052098F" w:rsidRDefault="0052098F" w:rsidP="0052098F">
      <w:pPr>
        <w:pStyle w:val="TextoNormal"/>
      </w:pPr>
      <w:r>
        <w:t>1º Declarar que ha sido vulnerado su derecho a la libertad de expresión (art. 20.1.a CE).</w:t>
      </w:r>
    </w:p>
    <w:p w:rsidR="0052098F" w:rsidRDefault="0052098F" w:rsidP="0052098F">
      <w:pPr>
        <w:pStyle w:val="TextoNormal"/>
      </w:pPr>
      <w:r>
        <w:t>2º Restablecer al recurrente en la integridad de su derecho y, a tal fin anular la Sentencia de la Sala de lo Social del Tribunal Superior de Justicia de Canarias, sede de Santa Cruz de Tenerife, de 5 de julio de 2004, dictada en el recurso de suplicación núm. 453-2004, la Sentencia del Juzgado de lo Social núm. 1 de Santa Cruz de Tenerife, de 2 de marzo de 2004, dictada en el procedimiento de despido núm. 777-2003, y asimismo, en cuanto declara la firmeza de la Sentencia de suplicación citada, el Auto de la Sala de lo Social del Tribunal Supremo, de 10 de enero de 2006, dictado en el recurso de casación para la unificación de doctrina núm. 4083-2004.</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catorce de abril de dos mil ocho.</w:t>
      </w:r>
    </w:p>
    <w:p w:rsidR="0052098F" w:rsidRDefault="0052098F" w:rsidP="0052098F">
      <w:pPr>
        <w:pStyle w:val="ParrafoNormal"/>
      </w:pPr>
    </w:p>
    <w:p w:rsidR="0052098F" w:rsidRDefault="0052098F" w:rsidP="0052098F">
      <w:pPr>
        <w:pStyle w:val="TextoNormalNegritaCentrado"/>
        <w:keepNext/>
      </w:pPr>
      <w:r>
        <w:t>Voto particular que formula el Magistrado don Vicente Conde Martín de Hijas respecto de la Sentencia de fecha 14 de abril de 2008 dictada en el recurso de amparo núm. 2732-2006.</w:t>
      </w:r>
    </w:p>
    <w:p w:rsidR="0052098F" w:rsidRDefault="0052098F" w:rsidP="0052098F">
      <w:pPr>
        <w:pStyle w:val="TextoNormalNegritaCentrado"/>
        <w:keepNext/>
      </w:pPr>
    </w:p>
    <w:p w:rsidR="0052098F" w:rsidRDefault="0052098F" w:rsidP="0052098F">
      <w:pPr>
        <w:pStyle w:val="TextoNormal"/>
      </w:pPr>
      <w:r>
        <w:t>Con expresión de mi sincero respeto al parecer mayoritario de mis colegas, pese a no compartirlo, haciendo uso de la facultad establecida en el artículo 90.2 LOTC formulo el presente Voto particular disidente, por entender que la Sentencia, sin entrar a decidir sobre el fondo del recurso, debía haber declarado su inadmisión.</w:t>
      </w:r>
    </w:p>
    <w:p w:rsidR="0052098F" w:rsidRDefault="0052098F" w:rsidP="0052098F">
      <w:pPr>
        <w:pStyle w:val="TextoNormal"/>
      </w:pPr>
      <w:r>
        <w:t xml:space="preserve">Al respecto me limito a remitirme a la argumentación contenida en los Votos particulares formulados por mí a las SSTC 171/2005, de 20 de junio (“Boletín Oficial del Estado” de 21 de julio de 2005), 265/2006, de 11 de septiembre (“Boletín Oficial del Estado” de 11 de octubre de 2006) y 52/2007, de 12 de marzo (“Boletín Oficial del Estado” de 17 de abril de </w:t>
      </w:r>
      <w:r>
        <w:lastRenderedPageBreak/>
        <w:t>2007), en cuyos casos se planteaban cuestiones en todo similares a la del actual en lo relativo a la vía previa seguida.</w:t>
      </w:r>
    </w:p>
    <w:p w:rsidR="0052098F" w:rsidRDefault="0052098F" w:rsidP="0052098F">
      <w:pPr>
        <w:pStyle w:val="TextoNormal"/>
      </w:pPr>
      <w:r>
        <w:t>En todo caso quiero dejar expresa constancia de mi conformidad plena con la argumentación de fondo de la Sentencia conducente al fallo, que no tendría ninguna duda en compartir, de no apreciar el óbice procesal.</w:t>
      </w:r>
    </w:p>
    <w:p w:rsidR="0052098F" w:rsidRDefault="0052098F" w:rsidP="0052098F">
      <w:pPr>
        <w:pStyle w:val="TextoNormal"/>
      </w:pPr>
      <w:r>
        <w:t>Madrid, a catorce de abril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60" w:name="SENTENCIA_2008_57"/>
      <w:r>
        <w:lastRenderedPageBreak/>
        <w:t>SENTENCIA 57/2008, de 28 de abril de 2008</w:t>
      </w:r>
    </w:p>
    <w:bookmarkEnd w:id="60"/>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135, de 4 de junio de 2008)</w:t>
      </w:r>
    </w:p>
    <w:p w:rsidR="0052098F" w:rsidRDefault="0052098F" w:rsidP="0052098F">
      <w:pPr>
        <w:pStyle w:val="TtuloBOE"/>
      </w:pPr>
    </w:p>
    <w:p w:rsidR="0052098F" w:rsidRDefault="0052098F" w:rsidP="0052098F">
      <w:pPr>
        <w:pStyle w:val="SntesisDescriptiva"/>
      </w:pPr>
      <w:r>
        <w:t>ECLI:ES:TC:2008:57</w:t>
      </w:r>
    </w:p>
    <w:p w:rsidR="0052098F" w:rsidRDefault="0052098F" w:rsidP="0052098F">
      <w:pPr>
        <w:pStyle w:val="SntesisDescriptiva"/>
      </w:pPr>
    </w:p>
    <w:p w:rsidR="0052098F" w:rsidRDefault="0052098F" w:rsidP="0052098F">
      <w:pPr>
        <w:pStyle w:val="SntesisDescriptiva"/>
      </w:pPr>
      <w:r>
        <w:t>Recurso de amparo 5899-2003. Promovido por don Abdelhakim Issaoun respecto a los Autos de la Audiencia Provincial de Las Palmas que liquidaron su condena de privación de libertad por delito.</w:t>
      </w:r>
    </w:p>
    <w:p w:rsidR="0052098F" w:rsidRDefault="0052098F" w:rsidP="0052098F">
      <w:pPr>
        <w:pStyle w:val="SntesisDescriptiva"/>
      </w:pPr>
    </w:p>
    <w:p w:rsidR="0052098F" w:rsidRDefault="0052098F" w:rsidP="0052098F">
      <w:pPr>
        <w:pStyle w:val="SntesisAnaltica"/>
      </w:pPr>
      <w:r>
        <w:t>Vulneración del derecho a la libertad personal: liquidación de condena que no abona el tiempo en el que simultáneamente a la prisión provisional sufrida en la causa ha estado privado de libertad como penado en cumplimiento de la condena impuesta en otra causa distinta.</w:t>
      </w:r>
    </w:p>
    <w:p w:rsidR="0052098F" w:rsidRDefault="0052098F" w:rsidP="0052098F">
      <w:pPr>
        <w:pStyle w:val="SntesisAnaltica"/>
      </w:pPr>
    </w:p>
    <w:p w:rsidR="0052098F" w:rsidRDefault="0052098F" w:rsidP="0052098F">
      <w:pPr>
        <w:pStyle w:val="Extracto"/>
      </w:pPr>
      <w:r>
        <w:t>1.</w:t>
      </w:r>
      <w:r>
        <w:tab/>
        <w:t>Vulnera el derecho a la libertad personal una decisión de no abonar en su totalidad el tiempo de privación de libertad sufrido preventivamente en un procedimiento abreviado para el cumplimiento de la pena de prisión impuesta en la misa causa, ya que se carecía de cobertura legal y suponía un alargamiento ilegítimo de la situación de privación de libertad [FFJJ 6, 8].</w:t>
      </w:r>
    </w:p>
    <w:p w:rsidR="0052098F" w:rsidRDefault="0052098F" w:rsidP="0052098F">
      <w:pPr>
        <w:pStyle w:val="Extracto"/>
      </w:pPr>
    </w:p>
    <w:p w:rsidR="0052098F" w:rsidRDefault="0052098F" w:rsidP="0052098F">
      <w:pPr>
        <w:pStyle w:val="Extracto"/>
      </w:pPr>
      <w:r>
        <w:t>2.</w:t>
      </w:r>
      <w:r>
        <w:tab/>
        <w:t>El derecho a la libertad puede resultar conculcado, tanto cuando se actúa bajo la cobertura improcedente de la Ley, como cuando se proceda contra lo que la misma dispone (SSTC 124/1984, 322/2005) [FJ 2].</w:t>
      </w:r>
    </w:p>
    <w:p w:rsidR="0052098F" w:rsidRDefault="0052098F" w:rsidP="0052098F">
      <w:pPr>
        <w:pStyle w:val="Extracto"/>
      </w:pPr>
    </w:p>
    <w:p w:rsidR="0052098F" w:rsidRDefault="0052098F" w:rsidP="0052098F">
      <w:pPr>
        <w:pStyle w:val="Extracto"/>
      </w:pPr>
      <w:r>
        <w:t>3.</w:t>
      </w:r>
      <w:r>
        <w:tab/>
        <w:t>A tenor de la previsión legal aplicable en el momento, carecía de cobertura legal la exclusión para el referido abono del periodo de tiempo en el que simultáneamente a la situación de prisión provisional en dicha causa concurre la situación de penado por otra causa [FJ 6].</w:t>
      </w:r>
    </w:p>
    <w:p w:rsidR="0052098F" w:rsidRDefault="0052098F" w:rsidP="0052098F">
      <w:pPr>
        <w:pStyle w:val="Extracto"/>
      </w:pPr>
    </w:p>
    <w:p w:rsidR="0052098F" w:rsidRDefault="0052098F" w:rsidP="0052098F">
      <w:pPr>
        <w:pStyle w:val="Extracto"/>
      </w:pPr>
      <w:r>
        <w:t>4.</w:t>
      </w:r>
      <w:r>
        <w:tab/>
        <w:t>No resulta constitucionalmente adecuada una interpretación en virtud de la cual pueda llegarse a una consecuencia sobre el abono del tiempo de prisión provisional en una causa para el cumplimiento de la pena o penas impuestas en la misma, regulado en el art. 58.1 CP, basada en un dato ausente de éste (STC 19/1999) [FJ 6].</w:t>
      </w:r>
    </w:p>
    <w:p w:rsidR="0052098F" w:rsidRDefault="0052098F" w:rsidP="0052098F">
      <w:pPr>
        <w:pStyle w:val="Extracto"/>
      </w:pPr>
    </w:p>
    <w:p w:rsidR="0052098F" w:rsidRDefault="0052098F" w:rsidP="0052098F">
      <w:pPr>
        <w:pStyle w:val="Extracto"/>
      </w:pPr>
      <w:r>
        <w:t>5.</w:t>
      </w:r>
      <w:r>
        <w:tab/>
        <w:t>No puede sostenerse que el preso preventivo que cumple a la vez condena no está materialmente en situación de prisión preventiva, o, en otros términos, sólo padece una privación de libertad meramente formal, ya que no puede acceder a ningún régimen de semilibertad, ni obtener permisos o la libertad condicional (STC 19/1999) [FJ 7].</w:t>
      </w:r>
    </w:p>
    <w:p w:rsidR="0052098F" w:rsidRDefault="0052098F" w:rsidP="0052098F">
      <w:pPr>
        <w:pStyle w:val="Extracto"/>
      </w:pPr>
    </w:p>
    <w:p w:rsidR="0052098F" w:rsidRDefault="0052098F" w:rsidP="0052098F">
      <w:pPr>
        <w:pStyle w:val="Extracto"/>
      </w:pPr>
      <w:r>
        <w:t>6.</w:t>
      </w:r>
      <w:r>
        <w:tab/>
        <w:t>Si el legislador no incluyó ninguna previsión en el art. 58.1 CP sobre la situación de coincidencia entre la prisión provisional en una causa y la situación de penado en otra fue porque no quiso hacerlo [FJ 6].</w:t>
      </w:r>
    </w:p>
    <w:p w:rsidR="0052098F" w:rsidRDefault="0052098F" w:rsidP="0052098F">
      <w:pPr>
        <w:pStyle w:val="Extracto"/>
      </w:pPr>
    </w:p>
    <w:p w:rsidR="0052098F" w:rsidRDefault="0052098F" w:rsidP="0052098F">
      <w:pPr>
        <w:pStyle w:val="Extracto"/>
      </w:pPr>
      <w:r>
        <w:lastRenderedPageBreak/>
        <w:t>7.</w:t>
      </w:r>
      <w:r>
        <w:tab/>
        <w:t>Doctrina sobre la no correcta identificación del significado de la prisión provisional con el de la pena de prisión (SSTC 19/1999 y 71/2000) [FJ 5].</w:t>
      </w:r>
    </w:p>
    <w:p w:rsidR="0052098F" w:rsidRDefault="0052098F" w:rsidP="0052098F">
      <w:pPr>
        <w:pStyle w:val="Extracto"/>
      </w:pPr>
    </w:p>
    <w:p w:rsidR="0052098F" w:rsidRDefault="0052098F" w:rsidP="0052098F">
      <w:pPr>
        <w:pStyle w:val="Extracto"/>
      </w:pPr>
      <w:r>
        <w:t>8.</w:t>
      </w:r>
      <w:r>
        <w:tab/>
        <w:t>La interpretación y aplicación de la legalidad procesal y penal corresponde a la jurisdicción ordinaria, debiendo este Tribunal limitarse a una supervisión externa de la razonabilidad de la fundamentación de las resoluciones judiciales recurridas desde la perspectiva del derecho a la libertad (SSTC 108/1997, 31/1999) [FJ 2].</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5899-2003, promovido por don Abdelhakim Issaoun, representado por la Procuradora de los Tribunales doña Marta Dolores Martínez Tripiana y asistido por el Letrado don Francisco J. Luzardo Rodríguez, contra los Autos de la Sección Primera de la Audiencia Provincial de Las Palmas de 20 y 22 de mayo y de 29 de agosto de 2003, por los que se aprobó y confirmó, respectivamente, la liquidación de condena de privación de libertad en ejecutoria núm. 35-2003 dimanante del procedimiento abreviado núm. 273-2002 procedente del Juzgado de Instrucción núm. 4 de Las Palmas de Gran Canaria. Ha comparecido y formulado alegaciones el Ministerio Fiscal. Ha actuado como Ponente el Magistrado don Vicente Conde Martín de Hijas,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1 de octubre de 2003 doña Carmen Marrero García, Procuradora de los Tribunales, en nombre y representación de don Abdelhakim Issaoun, solicitó le fuera designado Procurador del turno de oficio que asistiese al recurrente para interponer demanda de amparo contra las resoluciones judiciales a las que se ha hecho mención en el encabezamiento de esta Sentencia, con la asistencia letrada de don Francisco J. Luzardo Rodríguez, quien manifestó renunciar al cobro de honorarios profesionales.</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Por diligencia de ordenación de la Secretaría de la Sala Segunda del Tribunal Constitucional, de 23 de octubre de 2003, se dirigió atenta comunicación al Ilustre Colegio de Abogados de Madrid a fin de que, conforme a lo dispuesto en la Ley 1/1996, de 10 de enero, de asistencia jurídica gratuita y en el Acuerdo del Pleno de este Tribunal de 18 de junio de 1996 sobre asistencia jurídica gratuita, designara, si procediese, Procurador del turno de </w:t>
      </w:r>
      <w:r>
        <w:lastRenderedPageBreak/>
        <w:t xml:space="preserve">oficio que representara al demandante de amparo, acompañando a dicha comunicación los documentos remitidos por el Letrado don Francisco J. Luzardo Rodríguez. </w:t>
      </w:r>
    </w:p>
    <w:p w:rsidR="0052098F" w:rsidRDefault="0052098F" w:rsidP="0052098F">
      <w:pPr>
        <w:pStyle w:val="TextoNormal"/>
      </w:pPr>
      <w:r>
        <w:t>Por nueva diligencia de ordenación de 27 de noviembre de 2003 se tuvo por designados del turno de oficio como Procurador a doña Marta Dolores Martínez Tripiana y como Abogado a don Francisco J. Luzardo Rodríguez; se les hizo saber a los mismos y al recurrente en amparo tal designación; y, en fin, se les concedió un plazo de veinte días a fin de que formalizasen la demanda de amparo con sujeción a lo dispuesto en el art. 49 LOTC.</w:t>
      </w:r>
    </w:p>
    <w:p w:rsidR="0052098F" w:rsidRDefault="0052098F" w:rsidP="0052098F">
      <w:pPr>
        <w:pStyle w:val="TextoNormal"/>
      </w:pPr>
    </w:p>
    <w:p w:rsidR="0052098F" w:rsidRDefault="0052098F" w:rsidP="0052098F">
      <w:pPr>
        <w:pStyle w:val="TextoNormal"/>
      </w:pPr>
      <w:r w:rsidRPr="0052098F">
        <w:rPr>
          <w:rStyle w:val="NumeroAFNegritaCaracter"/>
        </w:rPr>
        <w:t>3</w:t>
      </w:r>
      <w:r>
        <w:t xml:space="preserve">. La demanda de amparo fue formalizada mediante escrito presentado en el Registro General de este Tribunal el día 10 de diciembre de 2003, con base en la relación de antecedentes fácticos que a continuación sucintamente se extracta: </w:t>
      </w:r>
    </w:p>
    <w:p w:rsidR="0052098F" w:rsidRDefault="0052098F" w:rsidP="0052098F">
      <w:pPr>
        <w:pStyle w:val="TextoNormal"/>
      </w:pPr>
      <w:r>
        <w:t xml:space="preserve">a) Al demandante de amparo le fue decretada prisión provisional por el Juzgado de Instrucción núm. 4 de Las Palmas de Gran Canaria con fecha 6 de junio de 2002 (procedimiento abreviado núm. 273-2003, después ejecutoria núm. 35-2003). </w:t>
      </w:r>
    </w:p>
    <w:p w:rsidR="0052098F" w:rsidRDefault="0052098F" w:rsidP="0052098F">
      <w:pPr>
        <w:pStyle w:val="TextoNormal"/>
      </w:pPr>
      <w:r>
        <w:t xml:space="preserve">El mismo día ingresó también en prisión tras “conformar” (sic) dos años y tres meses de pena en el Juzgado de lo Penal núm. 3 de Las Palmas de Gran Canaria por Sentencia firme de 7 de julio de 2002 (procedimiento abreviado núm. 269-2002). </w:t>
      </w:r>
    </w:p>
    <w:p w:rsidR="0052098F" w:rsidRDefault="0052098F" w:rsidP="0052098F">
      <w:pPr>
        <w:pStyle w:val="TextoNormal"/>
      </w:pPr>
      <w:r>
        <w:t xml:space="preserve">Con fecha 4 de noviembre de 2002 se solicitó del Juzgado de Instrucción núm. 4 (procedimiento abreviado núm. 273-2003) la libertad provisional del demandante de amparo, acordándose por Auto de 18 de noviembre de 2002 ratificar su situación de prisión provisional. Mediante escrito de fecha 10 de enero de 2003 se solicitó nuevamente ante la Sección Primera de la Audiencia Provincial de Las Palmas la libertad provisional del recurrente, siendo desestimada tal solicitud por Auto de 27 de enero de 2003 (rollo núm. 138-2002 procedente del procedimiento abreviado núm. 273-2002). </w:t>
      </w:r>
    </w:p>
    <w:p w:rsidR="0052098F" w:rsidRDefault="0052098F" w:rsidP="0052098F">
      <w:pPr>
        <w:pStyle w:val="TextoNormal"/>
      </w:pPr>
      <w:r>
        <w:t xml:space="preserve">El día 24 de febrero de 2003 se dictó Sentencia de conformidad en la causa procedente del Juzgado de Instrucción núm. 4 de Las Palmas de Gran Canaria condenando al recurrente en amparo a la pena de dos años y tres meses de prisión. Por Auto de 20 de marzo de 2003 se declaró la firmeza de la Sentencia y se ordenó su ejecución (procedimiento abreviado. núm. 273-2003, después ejecutoria núm. 35-2003). </w:t>
      </w:r>
    </w:p>
    <w:p w:rsidR="0052098F" w:rsidRDefault="0052098F" w:rsidP="0052098F">
      <w:pPr>
        <w:pStyle w:val="TextoNormal"/>
      </w:pPr>
      <w:r>
        <w:t xml:space="preserve">b) A pesar de que desde el día 7 de julio de 2002 hasta el día 20 de marzo de 2003 concurría en el demandante de amparo la doble condición de condenado y de preso preventivo, en la liquidación de condena de privación de libertad practicada en la ejecutoria núm. 35-2003 sólo se le abonaba el periodo comprendido entre el 6 de junio y el 7 de julio de 2002. </w:t>
      </w:r>
    </w:p>
    <w:p w:rsidR="0052098F" w:rsidRDefault="0052098F" w:rsidP="0052098F">
      <w:pPr>
        <w:pStyle w:val="TextoNormal"/>
      </w:pPr>
      <w:r>
        <w:t xml:space="preserve">c) El demandante de amparo presentó un escrito en el que solicitó que se aprobara una liquidación de condena que tuviese en cuenta la situación de prisión provisional efectiva en el procedimiento abreviado núm. 273-2002 desde el día 6 de junio de 2002 hasta el día 19 de marzo de 2003. </w:t>
      </w:r>
    </w:p>
    <w:p w:rsidR="0052098F" w:rsidRDefault="0052098F" w:rsidP="0052098F">
      <w:pPr>
        <w:pStyle w:val="TextoNormal"/>
      </w:pPr>
      <w:r>
        <w:t xml:space="preserve">d) La Sección Primera de la Audiencia Provincial de Las Palmas dictó Autos de fecha 20 y 22 de mayo de 2003 en los que aprobó la liquidación de condena de privación de libertad practicada al demandante de amparo, al considerar que era conforme al art. 58 CP. </w:t>
      </w:r>
    </w:p>
    <w:p w:rsidR="0052098F" w:rsidRDefault="0052098F" w:rsidP="0052098F">
      <w:pPr>
        <w:pStyle w:val="TextoNormal"/>
      </w:pPr>
      <w:r>
        <w:t>Los anteriores Autos fueron confirmados en súplica por Auto de 29 de agosto de 2003.</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En la fundamentación jurídica de la demanda de amparo se invoca, frente a los Autos recurridos, la vulneración del derecho a la libertad (art. 17.1 CE). </w:t>
      </w:r>
    </w:p>
    <w:p w:rsidR="0052098F" w:rsidRDefault="0052098F" w:rsidP="0052098F">
      <w:pPr>
        <w:pStyle w:val="TextoNormal"/>
      </w:pPr>
      <w:r>
        <w:t xml:space="preserve">Se argumenta al respecto que no puede aceptarse en modo alguno el razonamiento de la Audiencia Provincial en su Auto de 22 de mayo de 2003, según el cual “[d]icha pretensión ha de ser desestimada de plano ya que no se puede abonar el mismo periodo de privación </w:t>
      </w:r>
      <w:r>
        <w:lastRenderedPageBreak/>
        <w:t xml:space="preserve">de libertad en dos causas distintas. La liquidación de condena practicada es conforme al artículo 58 del CP, al abonarse en esta causa el tiempo de prisión preventiva sufrida durante su tramitación, desde el 6-6-2002 al 7-7-2002, ya que a partir de esa fecha se encontraba cumpliendo condena por otra causa”. </w:t>
      </w:r>
    </w:p>
    <w:p w:rsidR="0052098F" w:rsidRDefault="0052098F" w:rsidP="0052098F">
      <w:pPr>
        <w:pStyle w:val="TextoNormal"/>
      </w:pPr>
      <w:r>
        <w:t xml:space="preserve">Frente a dicho razonamiento se alega en la demanda que el recurrente en amparo ha estado en situación de preso preventivo en la causa desde su detención —6 de junio de 2002— hasta que se dictó el Auto declarando la firmeza de la Sentencia —20 de marzo de 2003. En este sentido, desde la objetividad y la ejecutoriedad de los mandatos contenidos en los Autos sobre la situación personal del recurrente, se formula en la demanda el siguiente interrogante: “¿Cómo puede argumentarse sin violentar el ordenamiento jurídico que dichos mandatos eran retóricos y sin efectividad, ya que según el Auto que se recurre sólo se encontraba en prisión como condenado desde el 7 de julio de 2007?”. </w:t>
      </w:r>
    </w:p>
    <w:p w:rsidR="0052098F" w:rsidRDefault="0052098F" w:rsidP="0052098F">
      <w:pPr>
        <w:pStyle w:val="TextoNormal"/>
      </w:pPr>
      <w:r>
        <w:t xml:space="preserve">Se califica también de incomprensible la afirmación de que “no se pueda abonar el mismo periodo de privación de libertad en dos causas distintas”. Al respecto se pregunta el recurrente: “¿En qué precepto de qué Ley aparece formulado ese principio, en qué Jurisprudencia de qué Tribunal se apoya esa afirmación, en qué argumento legal o jurisprudencial se autoriza a interpretar ob legem, propter legem o extra legem la normativa penal en la forma más perjudicial para el reo?”. </w:t>
      </w:r>
    </w:p>
    <w:p w:rsidR="0052098F" w:rsidRDefault="0052098F" w:rsidP="0052098F">
      <w:pPr>
        <w:pStyle w:val="TextoNormal"/>
      </w:pPr>
      <w:r>
        <w:t xml:space="preserve">En apoyo de la argumentación precedente se aduce en la demanda que hasta el día 19 de mayo de 2003 la Administración penitenciaria, pese a que según el Auto de la Audiencia Provincial estaba exclusivamente extinguiendo condena, no había propuesto la clasificación del recurrente en amparo, no teniendo, por lo tanto, la misma consideración regimental que el resto de los condenados, ya que se encontraba en situación además de preso preventivo. Según la coherencia con el razonamiento del Auto impugnado, ¿tenía el recurrente en amparo el deber jurídico de soportar que, aunque estaba condenado, no podía pedir, por ejemplo, permiso ordinario o extraordinario, ni centro de cumplimiento, ni tercer grado penitenciario, etc., sólo por el hecho de que constaba Auto en otra causa que, aunque era de prisión provisional, no tenía más efectos jurídicos que agravar las condiciones del cumplimiento de su condena, pero que no le iba a servir de abono para la ulterior condena? </w:t>
      </w:r>
    </w:p>
    <w:p w:rsidR="0052098F" w:rsidRDefault="0052098F" w:rsidP="0052098F">
      <w:pPr>
        <w:pStyle w:val="TextoNormal"/>
      </w:pPr>
      <w:r>
        <w:t xml:space="preserve">Ante la situación de encontrarse una persona en prisión en calidad de preso preventivo y condenado al mismo tiempo no hay más norma aplicable que el art. 58 CP, según el cual “[e]l tiempo de privación de libertad sufrido preventivamente se abonará en su totalidad para el cumplimiento de la pena o penas impuestas en la causa en que dicha privación haya sido acordada”. </w:t>
      </w:r>
    </w:p>
    <w:p w:rsidR="0052098F" w:rsidRDefault="0052098F" w:rsidP="0052098F">
      <w:pPr>
        <w:pStyle w:val="TextoNormal"/>
      </w:pPr>
      <w:r>
        <w:t xml:space="preserve">En apoyo de su pretensión el demandante de amparo invoca la doctrina de las SSTC 19/1999, de 22 de febrero, y 71/2000, de 13 de marzo, excluyendo la aplicación al caso del art. 75 CP, ya que el supuesto de hecho que contempla es el del penado con varias condenas, es decir, la conocida como acumulación simple. </w:t>
      </w:r>
    </w:p>
    <w:p w:rsidR="0052098F" w:rsidRDefault="0052098F" w:rsidP="0052098F">
      <w:pPr>
        <w:pStyle w:val="TextoNormal"/>
      </w:pPr>
      <w:r>
        <w:t xml:space="preserve">En definitiva, no abonar al demandante de amparo para el cumplimiento de la pena de prisión el periodo comprendido desde el 7 de julio de 2002 hasta el 19 de marzo de 2003 implica una vulneración de su derecho a la libertad y al principio de interpretación de la legalidad en el sentido más favorable a los derechos fundamentales. </w:t>
      </w:r>
    </w:p>
    <w:p w:rsidR="0052098F" w:rsidRDefault="0052098F" w:rsidP="0052098F">
      <w:pPr>
        <w:pStyle w:val="TextoNormal"/>
      </w:pPr>
      <w:r>
        <w:t>Concluye el escrito de demanda suplicando del Tribunal Constitucional que, tras los trámites oportunos, dicte Sentencia en la que otorgue el amparo solicitado y declare la nulidad de los Autos recurridos de la Sección Primera de la Audiencia Provincial de Las Palmas. Por otrosí, de conformidad con el art. 56 LOTC, se interesó la suspensión de la ejecución de dichos Autos.</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5</w:t>
      </w:r>
      <w:r>
        <w:t xml:space="preserve">. La Sección Cuarta del Tribunal Constitucional, por providencia de 13 de septiembre de 2005, de conformidad con lo dispuesto en el art. 50.3 LOTC, acordó conceder al demandante de amparo y al Ministerio Fiscal plazo común de diez días para que formulasen, con las aportaciones documentales que procedieran, las alegaciones que estimasen pertinentes en relación con la carencia manifiesta de contenido constitucional de la demanda [art. 50.1 c) LOTC]. </w:t>
      </w:r>
    </w:p>
    <w:p w:rsidR="0052098F" w:rsidRDefault="0052098F" w:rsidP="0052098F">
      <w:pPr>
        <w:pStyle w:val="TextoNormal"/>
      </w:pPr>
      <w:r>
        <w:t xml:space="preserve">La Sección, por providencia de 8 de noviembre de 2005, a petición del Ministerio Fiscal, acordó, con suspensión del plazo concedido para efectuar alegaciones a tenor del art. 50.3 LOTC, librar atenta comunicación a la Sección Primera de la Audiencia Provincial de Las Palmas y al Juzgado de Instrucción núm. 4 de las Palmas de Gran Canaria, a fin de que remitiesen testimonio íntegro de la ejecutoria núm. 35-2003, así como del rollo núm. 138-2002, respectivamente. </w:t>
      </w:r>
    </w:p>
    <w:p w:rsidR="0052098F" w:rsidRDefault="0052098F" w:rsidP="0052098F">
      <w:pPr>
        <w:pStyle w:val="TextoNormal"/>
      </w:pPr>
      <w:r>
        <w:t xml:space="preserve">Recibidas las actuaciones solicitadas, por diligencia de ordenación de la Secretaría de la Sala Segunda del Tribunal Constitucional, de 20 de febrero de 2007, se acordó, de conformidad con la providencia de 13 de septiembre de 2005, dar traslado al Ministerio Fiscal para que, en plazo de diez días, formulara las alegaciones que considerase pertinentes en relación con la carencia manifiesta de contenido constitucional de la demanda de amparo [art. 50.1 c) LOTC]. </w:t>
      </w:r>
    </w:p>
    <w:p w:rsidR="0052098F" w:rsidRDefault="0052098F" w:rsidP="0052098F">
      <w:pPr>
        <w:pStyle w:val="TextoNormal"/>
      </w:pPr>
      <w:r>
        <w:t>Evacuado el trámite de alegaciones conferido, la Sala Segunda del Tribunal Constitucional, por providencia de 16 de mayo de 2007, admitió a trámite la demanda y, en aplicación del art. 51 LOTC, acordó dirigir atenta comunicación a la Sección Primera de la Audiencia Provincial de Las Palmas, a fin de que emplazase a quienes hubieran sido parte en el procedimiento, a excepción del demandante de amparo, para que en el plazo de diez días pudieran comparecer, si lo deseasen, en este recurso de amparo.</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La Sala Segunda del Tribunal Constitucional, por providencia de 16 de mayo de 2007, acordó formar la oportuna pieza para la tramitación del incidente de suspensión y, de conformidad con lo dispuesto en el art. 56 LOTC, concedió un plazo común de tres días a la parte recurrente y al Ministerio Fiscal para que alegasen lo que estimaran pertinente sobre la suspensión solicitada. </w:t>
      </w:r>
    </w:p>
    <w:p w:rsidR="0052098F" w:rsidRDefault="0052098F" w:rsidP="0052098F">
      <w:pPr>
        <w:pStyle w:val="TextoNormal"/>
      </w:pPr>
      <w:r>
        <w:t>Evacuado el trámite de alegaciones conferido, la Sala por ATC 333/2007, de 18 de julio, tuvo por desistido al demandante de amparo de la solicitud de suspensión de los efectos de las resoluciones recurridas.</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Por diligencia de ordenación de la Secretaría de la Sala Segunda del Tribunal Constitucional, de 6 de julio de 2007, se acordó, de conformidad con lo interesado por el Ministerio Fiscal, dirigir atenta comunicación al Centro Penitenciario de Las Palmas, a fin de que, a la mayor brevedad posible, remitiese certificación en la que constaran detallados los abonos de prisión preventiva efectuados en la causa del Juzgado de lo Penal núm. 3 de Las Palmas y de la Audiencia Provincial de la misma localidad en ejecutoria 35-2003 o en alguna otra causa que hubiese cumplido el recurrente. </w:t>
      </w:r>
    </w:p>
    <w:p w:rsidR="0052098F" w:rsidRDefault="0052098F" w:rsidP="0052098F">
      <w:pPr>
        <w:pStyle w:val="TextoNormal"/>
      </w:pPr>
      <w:r>
        <w:t>Recibida la certificación solicitada, por diligencia de ordenación de la Secretaría de la Sala Segunda del Tribunal Constitucional, de 8 de enero de 2008, se acordó dar vista de las actuaciones recibidas a la parte recurrente y al Ministerio Fiscal por plazo común de veinte días, dentro del cual pudieron presentar las alegaciones que estimaron pertinentes, de conformidad con lo dispuesto en el art. 52.1 LOTC.</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8</w:t>
      </w:r>
      <w:r>
        <w:t>. La representación procesal del recurrente en amparo evacuó el trámite de alegaciones conferido mediante escrito registrado en fecha 30 de enero de 2008, en el que dio por reproducidas las efectuadas en la demanda de amparo.</w:t>
      </w:r>
    </w:p>
    <w:p w:rsidR="0052098F" w:rsidRDefault="0052098F" w:rsidP="0052098F">
      <w:pPr>
        <w:pStyle w:val="TextoNormal"/>
      </w:pPr>
    </w:p>
    <w:p w:rsidR="0052098F" w:rsidRDefault="0052098F" w:rsidP="0052098F">
      <w:pPr>
        <w:pStyle w:val="TextoNormal"/>
      </w:pPr>
      <w:r w:rsidRPr="0052098F">
        <w:rPr>
          <w:rStyle w:val="NumeroAFNegritaCaracter"/>
        </w:rPr>
        <w:t>9</w:t>
      </w:r>
      <w:r>
        <w:t xml:space="preserve">. El Ministerio Fiscal evacuó el trámite de alegaciones conferido mediante escrito registrado en fecha 21 de febrero de 2008, que en lo sustancial a continuación se resume: </w:t>
      </w:r>
    </w:p>
    <w:p w:rsidR="0052098F" w:rsidRDefault="0052098F" w:rsidP="0052098F">
      <w:pPr>
        <w:pStyle w:val="TextoNormal"/>
      </w:pPr>
      <w:r>
        <w:t xml:space="preserve">a) La cuestión que se plantea en este caso no es la del abono en una causa de la prisión provisional sufrida en otra, que trata el art. 58 CP, sino el abono en la misma causa de toda la prisión provisional sufrida, aunque parte de ella haya coincidido con la privación de libertad del mismo sujeto originada por el cumplimiento de otra condena impuesta en otro proceso. En efecto, el demandante de amparo sostiene, con base en el art. 58 CP, que en la ejecutoria núm. 35-2003 dimanante del procedimiento penal abreviado núm. 372-2002 procedente del Juzgado de Instrucción núm. 4 de Las Palmas debe abonársele toda la prisión provisional sufrida en esa causa (desde el día 6 de junio de 2002 al 20 de marzo de 2003), y no solamente hasta el día 7 de julio del 2002, en que comenzó a cumplir la condena impuesta en el procedimiento abreviado núm. 269-2003 procedente del Juzgado de lo Penal núm. 3 de Las Palmas. </w:t>
      </w:r>
    </w:p>
    <w:p w:rsidR="0052098F" w:rsidRDefault="0052098F" w:rsidP="0052098F">
      <w:pPr>
        <w:pStyle w:val="TextoNormal"/>
      </w:pPr>
      <w:r>
        <w:t xml:space="preserve">b) El Ministerio Fiscal considera que no puede prosperar la pretensión actora. En primer lugar, porque el fundamento de la prisión provisional es distinto e independiente de las condenas que se estén cumpliendo, ya que los fines que persigue la prisión provisional (evitar el riesgo de fuga, etc.) no podrían conseguirse si cada vez que coincidiera el cumplimiento de una pena privativa de libertad en un procedimiento con la prisión provisional acordada en otro ésta hubiera de dejarse sin efecto. </w:t>
      </w:r>
    </w:p>
    <w:p w:rsidR="0052098F" w:rsidRDefault="0052098F" w:rsidP="0052098F">
      <w:pPr>
        <w:pStyle w:val="TextoNormal"/>
      </w:pPr>
      <w:r>
        <w:t xml:space="preserve">Además, el propio art. 58.3 CP dispone que “sólo procederá el abono de prisión provisional sufrida en otra causa cuando dicha medida cautelar sea posterior a los hechos delictivos que motivaron la pena a la que se pretende abonar”. Este precepto es consecuencia de una reiterada interpretación realizada por el Tribunal Supremo, en el sentido de que el abono en una causa del tiempo en prisión preventiva sufrido en otra encuentra sus límites en los casos en que las causas hubieren estado en coincidente tramitación, para no generar, en quien tiene a su favor un tiempo de prisión preventiva sobrante, una especie de crédito o saldo positivo para la comisión de un futuro delito (STS 383/1998, de 23 de marzo, por todas). De lo que se trata, según el art. 58.3 CP, es de que nadie pueda acumular tiempo de prisión provisional en una causa, a modo de crédito o saldo positivo, para abonarlo después al cumplimiento de la pena impuesta en otra causa por hechos posteriores, es decir, por hechos cometidos cuando ya se conocía el saldo positivo de prisión con el que se contaba. </w:t>
      </w:r>
    </w:p>
    <w:p w:rsidR="0052098F" w:rsidRDefault="0052098F" w:rsidP="0052098F">
      <w:pPr>
        <w:pStyle w:val="TextoNormal"/>
      </w:pPr>
      <w:r>
        <w:t xml:space="preserve">c) En este caso contra el recurrente se han seguido dos causas. Una ante el Juzgado de lo Penal núm. 3 de Las Palmas de Gran Canaria, en la que fue condenado por Sentencia firme de 7 de julio de 2002 a la pena de dos años y tres meses. Otra, la que instruyó el Juzgado de Instrucción núm. 4 de Las Palmas de Gran Canaria (procedimiento abreviado 273-2002; rollo 138-2002 y ejecutoria 35-2003), en la que se decretó su prisión provisional por Auto de fecha 6 de junio de 2002, situación en la que continuó ininterrumpidamente hasta que fue condenado por Sentencia de 24 de febrero de 2003, firme en fecha 20 de marzo de 2003, a la pena de dos años y tres meses de prisión. </w:t>
      </w:r>
    </w:p>
    <w:p w:rsidR="0052098F" w:rsidRDefault="0052098F" w:rsidP="0052098F">
      <w:pPr>
        <w:pStyle w:val="TextoNormal"/>
      </w:pPr>
      <w:r>
        <w:t xml:space="preserve">Según el actor ha estado desde el 7 de julio de 2002 hasta el 20 de marzo de 2003 cumpliendo simultáneamente dos privaciones de libertad: la ejecución de la pena impuesta por el Juzgado de lo Penal núm. 3 de las Palmas de Gran Canaria y la prisión provisional acordada por el Juzgado de Instrucción núm. 4 de las Palmas de Gran Canaria. Sin embargo, </w:t>
      </w:r>
      <w:r>
        <w:lastRenderedPageBreak/>
        <w:t xml:space="preserve">afirma que sólo se le ha abonado en la liquidación de condena en esta última causa el periodo desde el 6 de junio de 2002 al 7 de julio de 2003. </w:t>
      </w:r>
    </w:p>
    <w:p w:rsidR="0052098F" w:rsidRDefault="0052098F" w:rsidP="0052098F">
      <w:pPr>
        <w:pStyle w:val="TextoNormal"/>
      </w:pPr>
      <w:r>
        <w:t xml:space="preserve">Y, efectivamente, según consta en la ejecutoria núm. 35-2003, en la liquidación practicada el 3 de junio de 2003 se abona como prisión provisional desde el 4 de junio de 2002 al 5 de junio de 2002 y desde el 6 de junio de 2002 al 7 de julio de 2002, comenzando a cumplir la pena impuesta el 16 de junio de 2004 y quedando extinguida ésta el 10 de agosto de 2006. </w:t>
      </w:r>
    </w:p>
    <w:p w:rsidR="0052098F" w:rsidRDefault="0052098F" w:rsidP="0052098F">
      <w:pPr>
        <w:pStyle w:val="TextoNormal"/>
      </w:pPr>
      <w:r>
        <w:t xml:space="preserve">Ahora bien, la realidad es que la prisión provisional no ha privado de libertad al recurrente a la vez que cumplía condena por otro procedimiento, sino que durante ese tiempo la privación de libertad ha sido única, pues, como dice la Audiencia Provincial, “las penas privativas de libertad no pueden ser cumplidas simultáneamente por el condenado”. En definitiva, la permanencia durante ese tiempo en prisión provisional ha sido a los efectos de la privación de libertad meramente formal. En consecuencia no puede afectar al derecho a la libertad del art. 17.1 CE. </w:t>
      </w:r>
    </w:p>
    <w:p w:rsidR="0052098F" w:rsidRDefault="0052098F" w:rsidP="0052098F">
      <w:pPr>
        <w:pStyle w:val="TextoNormal"/>
      </w:pPr>
      <w:r>
        <w:t xml:space="preserve">Por lo que se refiere a los efectos penitenciarios que dice que le causó la subsistencia de la prisión provisional durante este periodo (del 7 de julio de 2002 al 20 de marzo de 2003), son mera consecuencia de las distintas finalidades que cumple, por un lado, la prisión provisional y, por otro, el cumplimiento de condena. </w:t>
      </w:r>
    </w:p>
    <w:p w:rsidR="0052098F" w:rsidRDefault="0052098F" w:rsidP="0052098F">
      <w:pPr>
        <w:pStyle w:val="TextoNormal"/>
      </w:pPr>
      <w:r>
        <w:t>El Ministerio Fiscal concluye su escrito de alegaciones interesando la desestimación de la demanda de amparo.</w:t>
      </w:r>
    </w:p>
    <w:p w:rsidR="0052098F" w:rsidRDefault="0052098F" w:rsidP="0052098F">
      <w:pPr>
        <w:pStyle w:val="TextoNormal"/>
      </w:pPr>
    </w:p>
    <w:p w:rsidR="0052098F" w:rsidRDefault="0052098F" w:rsidP="0052098F">
      <w:pPr>
        <w:pStyle w:val="TextoNormal"/>
      </w:pPr>
      <w:r w:rsidRPr="0052098F">
        <w:rPr>
          <w:rStyle w:val="NumeroAFNegritaCaracter"/>
        </w:rPr>
        <w:t>10</w:t>
      </w:r>
      <w:r>
        <w:t>. Por providencia de 24 de abril de 2008, se señaló para la deliberación y votación de la presente Sentencia el día 28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La presente demanda de amparo tiene por objeto la impugnación de los Autos de la Sección Primera de la Audiencia Provincial de Las Palmas, de 20 y 22 de mayo y de 29 de agosto de 2003, por los que se aprobó y confirmó, respectivamente, la liquidación de la condena de privación de libertad practicada al recurrente en amparo en la ejecutoria núm. 35-2003 dimanante del procedimiento abreviado núm. 273-2003 procedente del Juzgado de Instrucción núm. 4 de Las Palmas de Gran Canaria.</w:t>
      </w:r>
    </w:p>
    <w:p w:rsidR="0052098F" w:rsidRDefault="0052098F" w:rsidP="0052098F">
      <w:pPr>
        <w:pStyle w:val="TextoNormal"/>
      </w:pPr>
      <w:r>
        <w:t>El demandante de amparo imputa a las resoluciones judiciales impugnadas la vulneración del derecho a la libertad (art. 17.1 CE), al no habérsele abonado en su totalidad el tiempo pasado en prisión provisional en el procedimiento abreviado núm.  273-2003 para el cumplimiento de la pena impuesta en la misma causa, de conformidad con lo dispuesto en el art. 58.1 del Código penal (CP), pues no se le ha abonado el tiempo en el que simultáneamente a la prisión provisional sufrida en dicha causa ha estado privado de libertad como penado para el cumplimiento de la condena impuesta en otra causa distinta. En apoyo de su pretensión aduce la doctrina de las SSTC 19/1999, de 22 de febrero, y 71/2000, de 31 de mayo.</w:t>
      </w:r>
    </w:p>
    <w:p w:rsidR="0052098F" w:rsidRDefault="0052098F" w:rsidP="0052098F">
      <w:pPr>
        <w:pStyle w:val="TextoNormal"/>
      </w:pPr>
      <w:r>
        <w:t>Por su parte el Ministerio Fiscal se opone al otorgamiento del amparo, al considerar, en síntesis, que no ha resultado lesionado el derecho del demandante a la libertad como consecuencia de la liquidación de condena practicada, ya que, a su juicio, la prisión provisional no le ha privado de libertad a la vez que cumplía condena por otra causa, dado que durante ese período la privación de libertad ha sido única y la permanencia en prisión provisional a los efectos de la privación de libertad ha sido meramente formal.</w:t>
      </w:r>
    </w:p>
    <w:p w:rsidR="0052098F" w:rsidRDefault="0052098F" w:rsidP="0052098F">
      <w:pPr>
        <w:pStyle w:val="TextoNormal"/>
      </w:pPr>
    </w:p>
    <w:p w:rsidR="0052098F" w:rsidRDefault="0052098F" w:rsidP="0052098F">
      <w:pPr>
        <w:pStyle w:val="TextoNormal"/>
      </w:pPr>
      <w:r w:rsidRPr="0052098F">
        <w:rPr>
          <w:rStyle w:val="NumeroAFNegritaCaracter"/>
        </w:rPr>
        <w:lastRenderedPageBreak/>
        <w:t>2</w:t>
      </w:r>
      <w:r>
        <w:t>. Así pues la cuestión suscitada por la presente demanda de amparo se contrae a determinar si ha resultado vulnerado el derecho del recurrente en amparo a la libertad (art. 17.1 CE), por no haberle sido abonado la totalidad del tiempo de privación de libertad sufrido preventivamente para el cumplimiento de la pena impuesta en una misma causa, habiendo excluido el órgano judicial del referido abono el tiempo en el que el recurrente, simultáneamente a la situación de prisión provisional en dicha causa, se encontraba privado de libertad como penado para el cumplimiento de la condena impuesta en otra causa distinta.</w:t>
      </w:r>
    </w:p>
    <w:p w:rsidR="0052098F" w:rsidRDefault="0052098F" w:rsidP="0052098F">
      <w:pPr>
        <w:pStyle w:val="TextoNormal"/>
      </w:pPr>
      <w:r>
        <w:t>El art. 17.1 CE, tras proclamar el derecho de toda persona a la libertad y a la seguridad, dispone que “[n]adie puede ser privado de su libertad, sino con la observancia de lo establecido en este artículo y en los casos y en la forma prevista en la ley”. En el análisis de la cuestión planteada hemos de partir, como hemos declarado en la STC 19/1999, de 22 de febrero, en la que hemos abordado un supuesto que presenta cierta similitud con el ahora enjuiciado, “del papel nuclear de la libertad en el sistema del Estado democrático de Derecho, con las consecuentes exigencias de reserva material de Ley respecto de las medidas de prisión que pueden limitarla (arts. 1.1, 17.1 y 53.1 CE), y del significado vulnerador de ese derecho fundamental que debe ser atribuido a las resoluciones judiciales, que no se atengan estrictamente a la regulación legal de la prisión provisional (SSTC 32/1987, FJ 1, y 3/1992, FJ 5)” (FJ 4). En otras palabras, como hemos dicho en otras ocasiones, el derecho a la libertad puede resultar conculcado, tanto cuando se actúa bajo la cobertura improcedente de la Ley, como cuando se proceda contra lo que la misma dispone (SSTC 127/1984, de 26 de diciembre, FJ 4; 28/1985, de 27 de marzo, FJ 2; 241/1994, de 20 de julio, FJ 4; 322/2005, de 12 de diciembre, FJ 3).</w:t>
      </w:r>
    </w:p>
    <w:p w:rsidR="0052098F" w:rsidRDefault="0052098F" w:rsidP="0052098F">
      <w:pPr>
        <w:pStyle w:val="TextoNormal"/>
      </w:pPr>
      <w:r>
        <w:t>Más concretamente, en relación con la ejecución de las penas privativas de libertad, este Tribunal tiene declarado que “no es excluible una lesión del art. 17.1 CE, si no se procede tal y como ordena el Código penal y la Ley de enjuiciamiento criminal”, pues el derecho reconocido en el art. 17.1 CE permite la privación de libertad sólo en los casos y en las formas previstos en la Ley. De modo que “[n]o ha de excluirse que lesione el derecho reconocido en el art. 17.1 CE la ejecución de una Sentencia penal con inobservancia de las disposiciones de la Ley de enjuiciamiento criminal y del Código penal respecto al cumplimiento … de las distintas condenas de pérdida de libertad que pudieran reducir el tiempo de permanencia en prisión del condenado, en cuanto supongan un alargamiento ilegítimo de esa permanencia y, por ende, de la pérdida de libertad” (STC 130/1996, de 9 de julio, FJ 2, que reproduce doctrina de la STC 147/1988, de 14 de julio, FJ 2).</w:t>
      </w:r>
    </w:p>
    <w:p w:rsidR="0052098F" w:rsidRDefault="0052098F" w:rsidP="0052098F">
      <w:pPr>
        <w:pStyle w:val="TextoNormal"/>
      </w:pPr>
      <w:r>
        <w:t>Conviene precisar, no obstante, a los efectos de delimitar el alcance de nuestro enjuiciamiento, que la interpretación y aplicación de la legalidad procesal y penal es una cuestión que corresponde resolver en exclusiva a los órganos judiciales en el ejercicio de la función jurisdiccional que les encomienda el art. 117.3 CE, de modo que no nos corresponde corregir o revisar desde la perspectiva de la legalidad ordinaria la liquidación de condena del recurrente aprobada por la Audiencia Provincial, pues también esta cuestión compete en exclusiva a los órganos judiciales. La función de este Tribunal ha de limitarse a una supervisión externa de la razonabilidad de la fundamentación de las resoluciones judiciales recurridas desde la perspectiva del derecho a la libertad (art. 17.1 CE; SSTC 108/1997, de 2 de junio, FJ 2; 31/1999, de 8 de marzo, FFJJ 3 y 6).</w:t>
      </w:r>
    </w:p>
    <w:p w:rsidR="0052098F" w:rsidRDefault="0052098F" w:rsidP="0052098F">
      <w:pPr>
        <w:pStyle w:val="TextoNormal"/>
      </w:pPr>
      <w:r>
        <w:t xml:space="preserve">En todo caso conviene resaltar que el enjuiciamiento de Sentencias o resoluciones, en general, de la jurisdicción ordinaria, cuando a las mismas se imputa por los recurrentes la vulneración de un derecho fundamental, es atribución incuestionable de este Tribunal, en cuyo enjuiciamiento inevitablemente debe entrar la valoración de la interpretación de leyes ordinarias y de su aplicación al caso desde la óptica obligada de la definición constitucional </w:t>
      </w:r>
      <w:r>
        <w:lastRenderedPageBreak/>
        <w:t>del derecho de que se trate. En tal sentido, dado el papel fundante de los derechos fundamentales, ex art. 10 CE, debe ser el derecho fundamental la clave lógica de la interpretación de la ley, y no la interpretación de ésta el elemento determinante del ámbito correspondiente al derecho fundamental. En otros términos, debe ser el derecho fundamental el prius lógico para la interpretación de la ley, y no la interpretación de ésta el elemento definitorio del derecho fundamental.</w:t>
      </w:r>
    </w:p>
    <w:p w:rsidR="0052098F" w:rsidRDefault="0052098F" w:rsidP="0052098F">
      <w:pPr>
        <w:pStyle w:val="TextoNormal"/>
      </w:pPr>
      <w:r>
        <w:t>Es así como este Tribunal, al ejercer la función que constitucionalmente tiene atribuida, puede, y debe, enfrentarse a la interpretación de leyes por los órganos de la jurisdicción ordinaria, en cuanto elemento incidente en la interpretación del derecho fundamental.</w:t>
      </w:r>
    </w:p>
    <w:p w:rsidR="0052098F" w:rsidRDefault="0052098F" w:rsidP="0052098F">
      <w:pPr>
        <w:pStyle w:val="TextoNormal"/>
      </w:pPr>
    </w:p>
    <w:p w:rsidR="0052098F" w:rsidRDefault="0052098F" w:rsidP="0052098F">
      <w:pPr>
        <w:pStyle w:val="TextoNormal"/>
      </w:pPr>
      <w:r w:rsidRPr="0052098F">
        <w:rPr>
          <w:rStyle w:val="NumeroAFNegritaCaracter"/>
        </w:rPr>
        <w:t>3</w:t>
      </w:r>
      <w:r>
        <w:t>. A la luz de la doctrina constitucional expuesta ha de ser examinada la queja del recurrente en amparo, atendiendo a las circunstancias concurrentes que resultan de las actuaciones:</w:t>
      </w:r>
    </w:p>
    <w:p w:rsidR="0052098F" w:rsidRDefault="0052098F" w:rsidP="0052098F">
      <w:pPr>
        <w:pStyle w:val="TextoNormal"/>
      </w:pPr>
      <w:r>
        <w:t>a) En el procedimiento abreviado núm. 273-2002 (después rollo núm. 138-2002 y ejecutoria núm. 35-2003), que se tramitó ante el Juzgado de Instrucción núm. 4 de Las Palmas de Gran Canaria, fue acordada la prisión provisional del demandante de amparo por Auto de dicho Juzgado de 6 de junio de 2002, ratificada por Auto de 18 de noviembre de 2002 y por Auto de la Sección Primera de la Audiencia Provincial de Las Palmas de 27 de enero de 2003.</w:t>
      </w:r>
    </w:p>
    <w:p w:rsidR="0052098F" w:rsidRDefault="0052098F" w:rsidP="0052098F">
      <w:pPr>
        <w:pStyle w:val="TextoNormal"/>
      </w:pPr>
      <w:r>
        <w:t>La Sección Primera de la Audiencia Provincial de Las Palmas dictó Sentencia en fecha 24 de febrero de 2003, en la que condenó al recurrente en amparo, como autor de sendos delitos de estafa y falsedad en documento mercantil, a la pena de dos años y tres meses de prisión, así como al pago de la mitad de las costas procesales. Dicha Sentencia fue declarada firme por Auto de 20 de marzo de 2003.</w:t>
      </w:r>
    </w:p>
    <w:p w:rsidR="0052098F" w:rsidRDefault="0052098F" w:rsidP="0052098F">
      <w:pPr>
        <w:pStyle w:val="TextoNormal"/>
      </w:pPr>
      <w:r>
        <w:t>Así pues en la referida causa el demandante de amparo estuvo en situación de prisión provisional desde el 6 de junio de 2002 hasta el 20 de marzo de 2003, fecha en la que se declaró firme la Sentencia condenatoria.</w:t>
      </w:r>
    </w:p>
    <w:p w:rsidR="0052098F" w:rsidRDefault="0052098F" w:rsidP="0052098F">
      <w:pPr>
        <w:pStyle w:val="TextoNormal"/>
      </w:pPr>
      <w:r>
        <w:t>b) El demandante de amparo en fecha 8 de julio de 2002 inició el cumplimiento de la condena de de dos años y tres meses impuesta en otra causa por el Juzgado de lo Penal núm. 3 de Las Palmas de Gran Canarias, según resulta de la liquidación de condena practicada en el procedimiento abreviado núm. 269-2002 incorporada a los autos.</w:t>
      </w:r>
    </w:p>
    <w:p w:rsidR="0052098F" w:rsidRDefault="0052098F" w:rsidP="0052098F">
      <w:pPr>
        <w:pStyle w:val="TextoNormal"/>
      </w:pPr>
      <w:r>
        <w:t>c) En la ejecutoria núm. 35-2003, procedente del procedimiento abreviado núm. 273-2002 del Juzgado de Instrucción núm. 4 de Las Palmas de Gran Canarias, se practicó la liquidación de condena de la pena privativa de libertad impuesta al demandante de amparo, abonándole como tiempo de prisión preventiva para el cumplimiento de la condena desde el día 6 de junio de 2002 hasta el día 7 de julio de 2002.</w:t>
      </w:r>
    </w:p>
    <w:p w:rsidR="0052098F" w:rsidRDefault="0052098F" w:rsidP="0052098F">
      <w:pPr>
        <w:pStyle w:val="TextoNormal"/>
      </w:pPr>
      <w:r>
        <w:t>d) La representación del demandante de amparo presentó un escrito en el que denunció la existencia de error en la liquidación practicada, al no habérsele abonado todo el tiempo pasado en prisión provisional en la misma causa —desde el 6 de junio de 2002 hasta 20 de marzo de 2003—, para lo que no era obstáculo, a su juicio, el que hubiese ostentando la doble condición de preso preventivo y penado desde el 8 de julio de 2002 hasta el 20 de marzo de 2003. Invocaba en apoyo de su pretensión, en síntesis, el art. 58.1 CP, en la redacción anterior a la que le dio la Ley Orgánica 15/2003, de 25 de noviembre (artículo único, 18), y la doctrina de las SSTC 19/1999, de 22 de febrero, y 71/2000, de 13 de marzo.</w:t>
      </w:r>
    </w:p>
    <w:p w:rsidR="0052098F" w:rsidRDefault="0052098F" w:rsidP="0052098F">
      <w:pPr>
        <w:pStyle w:val="TextoNormal"/>
      </w:pPr>
      <w:r>
        <w:t>e) La Sección Primera de la Audiencia Provincial de las Palmas por Auto de 20 de mayo de 2003 aprobó la liquidación de condena de privación de libertad practicada al recurrente en amparo.</w:t>
      </w:r>
    </w:p>
    <w:p w:rsidR="0052098F" w:rsidRDefault="0052098F" w:rsidP="0052098F">
      <w:pPr>
        <w:pStyle w:val="TextoNormal"/>
      </w:pPr>
      <w:r>
        <w:lastRenderedPageBreak/>
        <w:t>En posterior Auto de fecha 22 de mayo de 2003 reiteró en su pronunciamiento, desestimando las alegaciones de la representación del demandante de amparo, al considerar, en síntesis, que la pretensión de que se abonase para el cumplimiento de la pena el tiempo de prisión provisional sufrido durante la misma causa coincidente con el tiempo de prisión con la condición de penado en otra causa distinta “ha de ser desestimada de plano, ya que no se puede abonar el mismo período de privación de libertad para el cumplimiento de condena en dos causas distintas. La liquidación de condena practicada es conforme al artículo 58 del CP, al abonarse en esta causa el tiempo de prisión preventiva sufrida durante la tramitación, desde el 6-6-2002 al 7-7-2002, ya que a partir de esa fecha se encontraba cumpliendo condena por otra causa. Por lo que no ha lugar —concluye el Auto— a abonar al condenado para el cumplimiento de la presente causa el periodo de prisión preventiva comprendido entre el 7-7-2002 al 19-3-2002 al encontrarse durante ese tiempo cumpliendo condena por otra causa”.</w:t>
      </w:r>
    </w:p>
    <w:p w:rsidR="0052098F" w:rsidRDefault="0052098F" w:rsidP="0052098F">
      <w:pPr>
        <w:pStyle w:val="TextoNormal"/>
      </w:pPr>
      <w:r>
        <w:t>f) El demandante de amparo interpuso recurso de súplica contra el anterior Auto, que fue desestimado por Auto de 29 de agosto de 2003.</w:t>
      </w:r>
    </w:p>
    <w:p w:rsidR="0052098F" w:rsidRDefault="0052098F" w:rsidP="0052098F">
      <w:pPr>
        <w:pStyle w:val="TextoNormal"/>
      </w:pPr>
      <w:r>
        <w:t>La Audiencia Provincial se ratificó en su anterior razonamiento, añadiendo a continuación que “[e]fectivamente, sí lleva razón el recurrente en que el hecho de que concurriese en el mismo período la condición de penado y preso preventivo afectó a su situación penitenciaria, pero este hecho no puede justificar en modo alguno la pretensión del recurrente, y ello porque las penas privativas de libertad no pueden ser cumplidas simultáneamente por el condenado, siguiéndose el orden de su respectiva gravedad para su cumplimiento sucesivo, como establece el art. 75 del CP”.</w:t>
      </w:r>
    </w:p>
    <w:p w:rsidR="0052098F" w:rsidRDefault="0052098F" w:rsidP="0052098F">
      <w:pPr>
        <w:pStyle w:val="TextoNormal"/>
      </w:pPr>
    </w:p>
    <w:p w:rsidR="0052098F" w:rsidRDefault="0052098F" w:rsidP="0052098F">
      <w:pPr>
        <w:pStyle w:val="TextoNormal"/>
      </w:pPr>
      <w:r w:rsidRPr="0052098F">
        <w:rPr>
          <w:rStyle w:val="NumeroAFNegritaCaracter"/>
        </w:rPr>
        <w:t>4</w:t>
      </w:r>
      <w:r>
        <w:t>. Desde la perspectiva de control que le corresponde, este Tribunal no puede estimar constitucionalmente aceptable, a la luz de la doctrina constitucional expuesta, la fundamentación de los Autos recurridos, en la que la Audiencia Provincial sustenta la decisión de no abonar en su totalidad el tiempo de privación de libertad sufrido preventivamente por el demandante de amparo en el procedimiento abreviado núm. 273-2002 para el cumplimiento de la pena impuesta en la misma causa.</w:t>
      </w:r>
    </w:p>
    <w:p w:rsidR="0052098F" w:rsidRDefault="0052098F" w:rsidP="0052098F">
      <w:pPr>
        <w:pStyle w:val="TextoNormal"/>
      </w:pPr>
      <w:r>
        <w:t>No obstante, dos precisiones son necesarias antes de cualquier otra consideración. En primer lugar, que si bien no son idénticos los problemas planteados en las SSTC 19/1999, de 22 de febrero, y 71/2000, de 13 de marzo, y en el supuesto ahora enjuiciado, ya que entonces consistían en determinar si vulneraba o no el derecho a la libertad (art. 17.1 y 4 CE) no considerar como computable a los efectos de la duración máxima de la prisión provisional el tiempo que coincidente y simultáneamente con ella se había estado en situación de penado por otra causa, no por ello resulta inaplicable e inoperante la doctrina constitucional entonces elaborada para la resolución de la cuestión ahora planteada, como se sostiene en los Autos recurridos.</w:t>
      </w:r>
    </w:p>
    <w:p w:rsidR="0052098F" w:rsidRDefault="0052098F" w:rsidP="0052098F">
      <w:pPr>
        <w:pStyle w:val="TextoNormal"/>
      </w:pPr>
      <w:r>
        <w:t xml:space="preserve">En segundo lugar, por lo que respecta ya al concreto caso que nos ocupa, ha de partirse del dato fáctico que resulta de las actuaciones de que el demandante de amparo en el procedimiento abreviado núm. 273-2002, procedente del Juzgado de Instrucción núm. 4 de Las Palmas de Gran Canaria, ha estado en situación de prisión provisional desde el día 6 de junio de 2002 hasta el día 20 de marzo de 2003, fecha esta última en la que se declaró la firmeza de la Sentencia condenatoria recaída en la causa. Al margen de la corrección o no desde la perspectiva del derecho a la libertad (art. 17.1 CE) de la decisión de no abonar en este caso al recurrente como tiempo de prisión provisional a efectos del cumplimiento de la pena impuesta en la misma causa el tiempo en el que simultáneamente a esta situación estuvo privado de libertad como penado por otra causa, cuestión a la que nos referiremos a </w:t>
      </w:r>
      <w:r>
        <w:lastRenderedPageBreak/>
        <w:t>continuación, lo cierto es que, decretada inicialmente la prisión provisional en aquel procedimiento por Auto del Juzgado de Instrucción núm. 4 de Las Palmas de Gran Canaria de 6 de junio de 2002, por posterior Auto del mismo Juzgado de 18 de noviembre de 2002, ante la solicitud de libertad aducida por la defensa del recurrente en amparo, se ratificó la prisión provisional sin fianza. Y por Auto de la Sección Primera de la Audiencia Provincial de Las Palmas de 27 de enero de 2003 se desestimó una nueva solicitud de libertad provisional, manteniéndose su situación de prisión provisional.</w:t>
      </w:r>
    </w:p>
    <w:p w:rsidR="0052098F" w:rsidRDefault="0052098F" w:rsidP="0052098F">
      <w:pPr>
        <w:pStyle w:val="TextoNormal"/>
      </w:pPr>
    </w:p>
    <w:p w:rsidR="0052098F" w:rsidRDefault="0052098F" w:rsidP="0052098F">
      <w:pPr>
        <w:pStyle w:val="TextoNormal"/>
      </w:pPr>
      <w:r w:rsidRPr="0052098F">
        <w:rPr>
          <w:rStyle w:val="NumeroAFNegritaCaracter"/>
        </w:rPr>
        <w:t>5</w:t>
      </w:r>
      <w:r>
        <w:t>. Para la resolución de la queja del recurrente en amparo, con la perspectiva constitucional de la STC 19/1999, de 22 de enero, frente al planteamiento de los Autos de la Audiencia Provincial de 22 de mayo y de 29 de agosto de 2002, hemos de partir del presupuesto de que no resulta correcta la identificación del significado de la prisión provisional y de la pena de prisión.</w:t>
      </w:r>
    </w:p>
    <w:p w:rsidR="0052098F" w:rsidRDefault="0052098F" w:rsidP="0052098F">
      <w:pPr>
        <w:pStyle w:val="TextoNormal"/>
      </w:pPr>
      <w:r>
        <w:t>En efecto, dijimos entonces y hemos de reiterar ahora que: “[l]a prisión provisional es una medida cautelar de naturaleza personal, que tiene como primordial finalidad la de asegurar la disponibilidad física del imputado con miras al cumplimiento de la sentencia condenatoria, que eventualmente pueda ser dictada en su contra, impidiendo de este modo que dicho sujeto pasivo de la imputación pueda sustraerse a la acción de la justicia, [de forma que n]o es en modo alguno una especie de pena anticipada”. Abundando en esta línea añadíamos que “[l]a distinta funcionalidad de la medida cautelar (en que consiste la prisión provisional) y de la pena permite, sin ninguna violencia lógica, que un mismo hecho (la privación de libertad), cumpla materialmente una doble función, sin que, por ello, y en lo que concierne a la primera, puede negarse su realidad material, ni alterarse la normal aplicación de su límite temporal”. Y concluíamos afirmando, a los efectos que a este recurso de amparo interesan, que: “[d]el hecho de que el tiempo de privación de libertad, sufrido por la prisión provisional, se abone en su totalidad para el cumplimiento de la pena, no se deriva, a modo de una consecuencia lógica necesaria, la de que el tiempo de cumplimiento de una pena, impuesta en una causa distinta de la que se acordó la prisión provisional, y coincidente con dicha medida cautelar, prive de efectividad real a esa medida cautelar” (FJ 4; doctrina que se reitera en la STC 71/2000, de 13 de marzo, FJ 5).</w:t>
      </w:r>
    </w:p>
    <w:p w:rsidR="0052098F" w:rsidRDefault="0052098F" w:rsidP="0052098F">
      <w:pPr>
        <w:pStyle w:val="TextoNormal"/>
      </w:pPr>
    </w:p>
    <w:p w:rsidR="0052098F" w:rsidRDefault="0052098F" w:rsidP="0052098F">
      <w:pPr>
        <w:pStyle w:val="TextoNormal"/>
      </w:pPr>
      <w:r w:rsidRPr="0052098F">
        <w:rPr>
          <w:rStyle w:val="NumeroAFNegritaCaracter"/>
        </w:rPr>
        <w:t>6</w:t>
      </w:r>
      <w:r>
        <w:t>. Sentado cuando antecede, esto es, que no puede negarse la funcionalidad y la realidad material de la prisión provisional como medida cautelar de privación de libertad en una causa porque coincida simultáneamente con una privación de libertad para el cumplimiento de una pena impuesta en otra causa distinta, no puede compartirse el argumento de los Autos recurridos de que la liquidación de condena de la pena privativa de libertad se ha practicado en este caso de conformidad con el art. 58 del Código Penal, “al abonarse en esta causa el tiempo de prisión preventiva sufrida durante su tramitación, desde el 6-6-2002 al 7-7-2002, ya que a partir de esta fecha se encontraba cumpliendo condena por otra causa”.</w:t>
      </w:r>
    </w:p>
    <w:p w:rsidR="0052098F" w:rsidRDefault="0052098F" w:rsidP="0052098F">
      <w:pPr>
        <w:pStyle w:val="TextoNormal"/>
      </w:pPr>
      <w:r>
        <w:t xml:space="preserve">En efecto, una vez despejado el dato, como ya ha quedado señalado, de que el recurrente en amparo estuvo en prisión provisional en el procedimiento penal abreviado núm. 273-2002 desde el 6 de junio de 2002 hasta el 20 de marzo de 2003, ostentando simultáneamente desde el 7 de julio de 2002 hasta el 20 de marzo de 2003 la condición de preso preventivo en dicha causa y la de penado en otra causa distinta, ha de resaltarse que el art. 58.1 CP, en la redacción anterior a la que le ha dado la Ley Orgánica 15/2003, de 25 de noviembre, que era la aplicable en el caso que nos ocupa, disponía que “el tiempo de privación de libertad sufrido preventivamente se abonará en su totalidad para el cumplimiento de la pena o penas </w:t>
      </w:r>
      <w:r>
        <w:lastRenderedPageBreak/>
        <w:t>impuestas en la misma causa en que dicha privación haya sido acordada”. Así pues la previsión legal aplicable era, al igual que lo es en la vigente redacción del art. 58.1 CP, la del abono en su totalidad del tiempo de privación de libertad sufrido preventivamente en una causa para el cumplimiento de la pena o penas impuestas en la misma causa, careciendo de cobertura legal la exclusión para el referido abono del periodo de tiempo en el que simultáneamente a la situación de prisión provisional en dicha causa concurre la situación de penado por otra causa.</w:t>
      </w:r>
    </w:p>
    <w:p w:rsidR="0052098F" w:rsidRDefault="0052098F" w:rsidP="0052098F">
      <w:pPr>
        <w:pStyle w:val="TextoNormal"/>
      </w:pPr>
      <w:r>
        <w:t>En este sentido, proyectando al caso ahora enjuiciado las consideraciones que se hicieron en la STC 19/1999, de 22 de enero, hemos de reiterar que la situación de coincidencia entre la prisión provisional en una causa y la situación de penado en otra, por su frecuencia en la realidad, no es un supuesto que, lógicamente, pudiera haber pasado inadvertido al legislador, al regular el abono del tiempo de privación de libertad sufrido provisionalmente para el cumplimiento de la pena o pena impuestas en la misma causa (art. 58.1 CP), lo que “desde la obligada pauta de la interpretación en el sentido de la mayor efectividad del derecho fundamental y de la correlativa interpretación restrictiva de sus límites” permite entender que, si el legislador no incluyó ninguna previsión respecto a dicha situación en el art. 58.1 CP, y, en concreto, el no abono del tiempo en el que simultáneamente han coincidido las situaciones de prisión provisional en una causa y de penado en otra, fue sencillamente porque no quiso hacerlo. En todo caso, y al margen de problemáticas presunciones sobre la intención del legislador, el dato negativo de la no previsión de esa situación es indudable; y, a partir de él, no resulta constitucionalmente adecuada una interpretación en virtud de la cual pueda llegarse a una consecuencia sobre el abono del tiempo de prisión provisional en una causa para el cumplimiento de la pena o penas impuestas en la misma, regulado en el art. 58.1 CP, basada en un dato ausente de éste (FJ 5).</w:t>
      </w:r>
    </w:p>
    <w:p w:rsidR="0052098F" w:rsidRDefault="0052098F" w:rsidP="0052098F">
      <w:pPr>
        <w:pStyle w:val="TextoNormal"/>
      </w:pPr>
      <w:r>
        <w:t>De otra parte, similar reproche merece el argumento esgrimido en el Auto de 29 de agosto de 2002 de que no puede prosperar la pretensión del recurrente porque “las penas privativas de libertad no pueden ser cumplidas simultáneamente por el condenado, siguiéndose el orden de su respectiva gravedad para su cumplimiento sucesivo, como establece el artículo. 75 del CP”. En efecto, el debate litigioso en este caso no estriba en el orden de cumplimiento de las penas impuestas al condenado por diversas infracciones cuando no puedan ser cumplidas simultáneamente, cuestión que aborda y resuelve, como se indica en el Auto, el art. 75 CP, sino la determinación del tiempo de abono de la privación de libertad sufrida provisionalmente en una causa para el cumplimiento de la pena o penas impuestas en la misma causa, tema que regula el art. 58.1 CP, en los términos ya indicados a los efectos que a este recurso de amparo interesan.</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Finalmente tampoco puede considerarse, como se hace implícitamente en los Autos recurridos y expresamente manifiesta el Ministerio Fiscal en su escrito de alegaciones, que en la situación de coincidencia temporal de las situaciones de prisión provisional por una causa y de ejecución de pena de prisión por otra la prisión provisional no afecte realmente a la libertad, pues es preciso tener en cuenta que, de conformidad con lo dispuesto en la normativa penitenciaria (arts. 23.3, 29.2, 104, 154, 159, 161 y 192 del Reglamento penitenciario), el cumplimiento en calidad de penado se ve directa y perjudicialmente afectado por el hecho de coincidir con una situación de prisión provisional decretada, pues el penado que se encuentra con causas pendientes en situación de prisión provisional no puede acceder a ningún régimen de semilibertad, no puede obtener permisos, ni puede obtener la libertad </w:t>
      </w:r>
      <w:r>
        <w:lastRenderedPageBreak/>
        <w:t>condicional. Por ello no puede sostenerse que el preso preventivo, que cumple a la vez condena, no está “materialmente” en situación de prisión preventiva, o, en otros términos, sólo padece una “privación de libertad meramente formal” (STC 19/1999, de 22 de enero, FJ 4).</w:t>
      </w:r>
    </w:p>
    <w:p w:rsidR="0052098F" w:rsidRDefault="0052098F" w:rsidP="0052098F">
      <w:pPr>
        <w:pStyle w:val="TextoNormal"/>
      </w:pPr>
    </w:p>
    <w:p w:rsidR="0052098F" w:rsidRDefault="0052098F" w:rsidP="0052098F">
      <w:pPr>
        <w:pStyle w:val="TextoNormal"/>
      </w:pPr>
      <w:r w:rsidRPr="0052098F">
        <w:rPr>
          <w:rStyle w:val="NumeroAFNegritaCaracter"/>
        </w:rPr>
        <w:t>8</w:t>
      </w:r>
      <w:r>
        <w:t>. Las consideraciones precedentes han de conducir al otorgamiento del amparo, puesto que la decisión de no abonar al recurrente en amparo en su totalidad el tiempo de privación de libertad sufrido preventivamente en el procedimiento abreviado núm. 273-2002 para el cumplimiento de la pena de prisión impuesta en la misma causa carece de cobertura legal, lo que ha supuesto un alargamiento ilegítimo de su situación de privación de libertad, lesivo, por lo tanto, del art. 17.1 CE.</w:t>
      </w:r>
    </w:p>
    <w:p w:rsidR="0052098F" w:rsidRDefault="0052098F" w:rsidP="0052098F">
      <w:pPr>
        <w:pStyle w:val="TextoNormal"/>
      </w:pPr>
      <w:r>
        <w:t>A los efectos del art. 55 LOTC el otorgamiento del amparo ha de determinar la declaración de nulidad de las resoluciones judiciales recurridas, retrotrayéndose las actuaciones al momento inmediatamente anterior a su pronunciamiento a fin de que se dicte una nueva resolución respetuosa con el derecho fundamental vulnerado.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la demanda de amparo promovida por don Abdelhakim Issaoun y, en su virtud:</w:t>
      </w:r>
    </w:p>
    <w:p w:rsidR="0052098F" w:rsidRDefault="0052098F" w:rsidP="0052098F">
      <w:pPr>
        <w:pStyle w:val="TextoNormal"/>
      </w:pPr>
      <w:r>
        <w:t>1º Declarar vulnerado el derecho del recurrente en amparo a la libertad (art. 17.1 CE).</w:t>
      </w:r>
    </w:p>
    <w:p w:rsidR="0052098F" w:rsidRDefault="0052098F" w:rsidP="0052098F">
      <w:pPr>
        <w:pStyle w:val="TextoNormal"/>
      </w:pPr>
      <w:r>
        <w:t>2º Restablecerlo en su derecho y, a tal fin, declarar la nulidad de los Autos de la Sección Primera de la Audiencia Provincial de las Palmas de 20 y 22 de mayo y de 29 de agosto de 2003, recaídos en la ejecutoria núm. 35-2003 dimanante del procedimiento abreviado núm. 273-2003 procedente del Juzgado de Instrucción núm. 4 de Las Palmas de Gran Canaria, retrotrayendo las actuaciones al momento inmediatamente anterior al primero de los Autos citados, para que se dicte una nueva resolución respetuosa con el derecho fundamental vulnerado.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52098F">
      <w:pPr>
        <w:pStyle w:val="TextoNormal"/>
      </w:pPr>
      <w:r>
        <w:t>Dada en Madrid, a veintiocho de abril de dos mil ocho.</w:t>
      </w:r>
    </w:p>
    <w:p w:rsidR="0052098F" w:rsidRDefault="0052098F">
      <w:pPr>
        <w:spacing w:after="160" w:line="259" w:lineRule="auto"/>
        <w:rPr>
          <w:rFonts w:ascii="Times New Roman" w:eastAsia="Times New Roman" w:hAnsi="Times New Roman" w:cs="Times New Roman"/>
          <w:sz w:val="24"/>
          <w:szCs w:val="24"/>
          <w:lang w:eastAsia="es-ES"/>
        </w:rPr>
      </w:pPr>
      <w:r>
        <w:br w:type="page"/>
      </w:r>
    </w:p>
    <w:p w:rsidR="0052098F" w:rsidRDefault="0052098F" w:rsidP="0052098F">
      <w:pPr>
        <w:pStyle w:val="TtuloResolucin"/>
      </w:pPr>
      <w:bookmarkStart w:id="61" w:name="SENTENCIA_2008_58"/>
      <w:r>
        <w:lastRenderedPageBreak/>
        <w:t>SENTENCIA 58/2008, de 28 de abril de 2008</w:t>
      </w:r>
    </w:p>
    <w:bookmarkEnd w:id="61"/>
    <w:p w:rsidR="0052098F" w:rsidRDefault="0052098F" w:rsidP="0052098F">
      <w:pPr>
        <w:pStyle w:val="TtuloResolucin"/>
      </w:pPr>
      <w:r>
        <w:t>Sala Segunda</w:t>
      </w:r>
    </w:p>
    <w:p w:rsidR="0052098F" w:rsidRDefault="0052098F" w:rsidP="0052098F">
      <w:pPr>
        <w:pStyle w:val="TtuloResolucin"/>
      </w:pPr>
    </w:p>
    <w:p w:rsidR="0052098F" w:rsidRDefault="0052098F" w:rsidP="0052098F">
      <w:pPr>
        <w:pStyle w:val="TtuloBOE"/>
      </w:pPr>
      <w:r>
        <w:t>("BOE" núm. 135, de 4 de junio de 2008)</w:t>
      </w:r>
    </w:p>
    <w:p w:rsidR="0052098F" w:rsidRDefault="0052098F" w:rsidP="0052098F">
      <w:pPr>
        <w:pStyle w:val="TtuloBOE"/>
      </w:pPr>
    </w:p>
    <w:p w:rsidR="0052098F" w:rsidRDefault="0052098F" w:rsidP="0052098F">
      <w:pPr>
        <w:pStyle w:val="SntesisDescriptiva"/>
      </w:pPr>
      <w:r>
        <w:t>ECLI:ES:TC:2008:58</w:t>
      </w:r>
    </w:p>
    <w:p w:rsidR="0052098F" w:rsidRDefault="0052098F" w:rsidP="0052098F">
      <w:pPr>
        <w:pStyle w:val="SntesisDescriptiva"/>
      </w:pPr>
    </w:p>
    <w:p w:rsidR="0052098F" w:rsidRDefault="0052098F" w:rsidP="0052098F">
      <w:pPr>
        <w:pStyle w:val="SntesisDescriptiva"/>
      </w:pPr>
      <w:r>
        <w:t>Recurso de amparo 2306-2005. Promovido por doña Alicia Mercedes Fuentes Ambhul frente a las resoluciones de un Juzgado de Primera Instancia de A Coruña en expediente de jurisdicción voluntaria de adopción de su hijo menor de edad.</w:t>
      </w:r>
    </w:p>
    <w:p w:rsidR="0052098F" w:rsidRDefault="0052098F" w:rsidP="0052098F">
      <w:pPr>
        <w:pStyle w:val="SntesisDescriptiva"/>
      </w:pPr>
    </w:p>
    <w:p w:rsidR="0052098F" w:rsidRDefault="0052098F" w:rsidP="0052098F">
      <w:pPr>
        <w:pStyle w:val="SntesisAnaltica"/>
      </w:pPr>
      <w:r>
        <w:t>Vulneración del derecho a la tutela judicial efectiva: procedimiento de adopción donde no se resuelve si la intervención de la madre biológica se reduce a ser oída o si, por el contrario, es necesario su asentimiento.</w:t>
      </w:r>
    </w:p>
    <w:p w:rsidR="0052098F" w:rsidRDefault="0052098F" w:rsidP="0052098F">
      <w:pPr>
        <w:pStyle w:val="SntesisAnaltica"/>
      </w:pPr>
    </w:p>
    <w:p w:rsidR="0052098F" w:rsidRDefault="0052098F" w:rsidP="0052098F">
      <w:pPr>
        <w:pStyle w:val="Extracto"/>
      </w:pPr>
      <w:r>
        <w:t>1.</w:t>
      </w:r>
      <w:r>
        <w:tab/>
        <w:t>Al no precisar la causa por la cual se entiende que puede prescindirse del asentimiento de la madre biológica a la adopción y al no adoptar las medidas necesarias para que hiciera uso del incidente para someter a enjuiciamiento el carácter necesario o contingente de su asentimiento a la adopción, el órgano judicial colocó a la madre biológica en situación de indefensión y, en consecuencia, vulneró su derecho a la tutela judicial efectiva [FJ 4].</w:t>
      </w:r>
    </w:p>
    <w:p w:rsidR="0052098F" w:rsidRDefault="0052098F" w:rsidP="0052098F">
      <w:pPr>
        <w:pStyle w:val="Extracto"/>
      </w:pPr>
    </w:p>
    <w:p w:rsidR="0052098F" w:rsidRDefault="0052098F" w:rsidP="0052098F">
      <w:pPr>
        <w:pStyle w:val="Extracto"/>
      </w:pPr>
      <w:r>
        <w:t>2.</w:t>
      </w:r>
      <w:r>
        <w:tab/>
        <w:t>La madre biológica fue citada por dos veces para recabar su consentimiento a la adopción, manifestando su deseo que se reintegrara al menor con su familia biológica, sin que en ningún momento se advirtiese de que su asentimiento no era necesario, con expresión de qué circunstancia autorizaba a prescindir de él [FJ 4].</w:t>
      </w:r>
    </w:p>
    <w:p w:rsidR="0052098F" w:rsidRDefault="0052098F" w:rsidP="0052098F">
      <w:pPr>
        <w:pStyle w:val="Extracto"/>
      </w:pPr>
    </w:p>
    <w:p w:rsidR="0052098F" w:rsidRDefault="0052098F" w:rsidP="0052098F">
      <w:pPr>
        <w:pStyle w:val="Extracto"/>
      </w:pPr>
      <w:r>
        <w:t>3.</w:t>
      </w:r>
      <w:r>
        <w:tab/>
        <w:t>Los órganos judiciales no adoptaron las medidas necesarias para que, tal y como con reiteración solicitaba la madre biológica, pudiera hacer uso del incidente previsto en el art. 781 LEC, al no precisar que causa entendía que autorizaba a prescindir del asentimiento materno ni si concurría la causa de privación de la patria potestad, en tanto que supuesto habilitante para prescindir del asentimiento a la adopción [FJ 4].</w:t>
      </w:r>
    </w:p>
    <w:p w:rsidR="0052098F" w:rsidRDefault="0052098F" w:rsidP="0052098F">
      <w:pPr>
        <w:pStyle w:val="Extracto"/>
      </w:pPr>
    </w:p>
    <w:p w:rsidR="0052098F" w:rsidRDefault="0052098F" w:rsidP="0052098F">
      <w:pPr>
        <w:pStyle w:val="Extracto"/>
      </w:pPr>
      <w:r>
        <w:t>4.</w:t>
      </w:r>
      <w:r>
        <w:tab/>
        <w:t>Doctrina sobre procedimientos de jurisdicción voluntaria en los que se ventilan cuestiones relacionadas con el acogimiento y adopción de menores (STC 75/2005) [FJ 2].</w:t>
      </w:r>
    </w:p>
    <w:p w:rsidR="0052098F" w:rsidRDefault="0052098F" w:rsidP="0052098F">
      <w:pPr>
        <w:pStyle w:val="Extracto"/>
      </w:pPr>
    </w:p>
    <w:p w:rsidR="0052098F" w:rsidRDefault="0052098F" w:rsidP="0052098F">
      <w:pPr>
        <w:pStyle w:val="Extracto"/>
      </w:pPr>
      <w:r>
        <w:t>5.</w:t>
      </w:r>
      <w:r>
        <w:tab/>
        <w:t>No se apreció indefensión material en un supuesto análogo, entre otras circunstancias, porque no fueron los mismos órganos judiciales los que conocieron tanto de la situación de desamparo como del expediente de adopción (STC 114/1997) [FJ 4].</w:t>
      </w:r>
    </w:p>
    <w:p w:rsidR="0052098F" w:rsidRDefault="0052098F" w:rsidP="0052098F">
      <w:pPr>
        <w:pStyle w:val="Extracto"/>
      </w:pPr>
    </w:p>
    <w:p w:rsidR="0052098F" w:rsidRDefault="0052098F" w:rsidP="0052098F">
      <w:pPr>
        <w:pStyle w:val="Extracto"/>
      </w:pPr>
      <w:r>
        <w:t>6.</w:t>
      </w:r>
      <w:r>
        <w:tab/>
        <w:t>Procede retrotraer las actuaciones al momento inmediatamente anterior a su dictado para que el órgano judicial haga saber a la demandante de amparo la circunstancia por la cual basta su simple audiencia y, en su caso, tramite la oposición que la demandante de amparo pudiera deducir, concluyendo luego el proceso con pleno respeto al derecho a la tutela judicial efectiva [FJ 5].</w:t>
      </w:r>
    </w:p>
    <w:p w:rsidR="0052098F" w:rsidRDefault="0052098F" w:rsidP="0052098F">
      <w:pPr>
        <w:pStyle w:val="Extracto"/>
      </w:pPr>
    </w:p>
    <w:p w:rsidR="0052098F" w:rsidRDefault="0052098F" w:rsidP="0052098F">
      <w:pPr>
        <w:pStyle w:val="Extracto"/>
      </w:pPr>
    </w:p>
    <w:p w:rsidR="0052098F" w:rsidRDefault="0052098F" w:rsidP="0052098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52098F" w:rsidRDefault="0052098F" w:rsidP="0052098F">
      <w:pPr>
        <w:pStyle w:val="TextoNormal"/>
      </w:pPr>
    </w:p>
    <w:p w:rsidR="0052098F" w:rsidRDefault="0052098F" w:rsidP="0052098F">
      <w:pPr>
        <w:pStyle w:val="TextoNormalCentrado"/>
        <w:keepNext/>
      </w:pPr>
      <w:r>
        <w:t>EN NOMBRE DEL REY</w:t>
      </w:r>
    </w:p>
    <w:p w:rsidR="0052098F" w:rsidRDefault="0052098F" w:rsidP="0052098F">
      <w:pPr>
        <w:pStyle w:val="TextoNormalCentrado"/>
        <w:keepNext/>
      </w:pPr>
    </w:p>
    <w:p w:rsidR="0052098F" w:rsidRDefault="0052098F" w:rsidP="0052098F">
      <w:pPr>
        <w:pStyle w:val="TextoNormalCentrado"/>
        <w:keepNext/>
      </w:pPr>
    </w:p>
    <w:p w:rsidR="0052098F" w:rsidRDefault="0052098F" w:rsidP="0052098F">
      <w:pPr>
        <w:pStyle w:val="TextoNormal"/>
      </w:pPr>
      <w:r>
        <w:t>la siguiente</w:t>
      </w:r>
    </w:p>
    <w:p w:rsidR="0052098F" w:rsidRDefault="0052098F" w:rsidP="0052098F">
      <w:pPr>
        <w:pStyle w:val="TextoNormal"/>
      </w:pPr>
    </w:p>
    <w:p w:rsidR="0052098F" w:rsidRDefault="0052098F" w:rsidP="0052098F">
      <w:pPr>
        <w:pStyle w:val="TextoNormalCentrado"/>
        <w:keepNext/>
      </w:pPr>
      <w:r>
        <w:t>SENTENCIA</w:t>
      </w:r>
    </w:p>
    <w:p w:rsidR="0052098F" w:rsidRDefault="0052098F" w:rsidP="0052098F">
      <w:pPr>
        <w:pStyle w:val="TextoNormalCentrado"/>
        <w:keepNext/>
      </w:pPr>
    </w:p>
    <w:p w:rsidR="0052098F" w:rsidRDefault="0052098F" w:rsidP="0052098F">
      <w:pPr>
        <w:pStyle w:val="TextoNormal"/>
      </w:pPr>
      <w:r>
        <w:t>En el recurso de amparo núm. 2306-2005, promovido por doña Alicia Mercedes Fuentes Ambhul, representada por la Procuradora de los Tribunales doña Sofía Pereda Gil y asistida por el Letrado don Ricardo Antón Rodríguez Arias, contra el Auto del Juzgado de Primera Instancia núm. 10 de A Coruña, de fecha 28 de febrero de 2005, que desestimó un incidente de nulidad promovido frente a resoluciones judiciales que entendía le habían impedido hacer valer su posición respecto a la adopción de su hijo menor de edad. Ha intervenido la Administración de la Xunta de Galicia, representada por el Procurador don Argimiro Vázquez Guillén y asistida por el Letrado don Santiago Valencia Vila, así como el Ministerio Fiscal. Ha sido Ponente el Magistrado don Guillermo Jiménez Sánchez, quien expresa el parecer de la Sala.</w:t>
      </w:r>
    </w:p>
    <w:p w:rsidR="0052098F" w:rsidRDefault="0052098F" w:rsidP="0052098F">
      <w:pPr>
        <w:pStyle w:val="TextoNormal"/>
      </w:pPr>
    </w:p>
    <w:p w:rsidR="0052098F" w:rsidRDefault="0052098F" w:rsidP="0052098F">
      <w:pPr>
        <w:pStyle w:val="TextoNormalNegritaCentrado"/>
        <w:keepNext/>
      </w:pPr>
      <w:r>
        <w:t>I. Antecedentes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Mediante escrito presentado en el Registro General de este Tribunal el día 1 de abril de 2005 la Procuradora de los Tribunales doña Sofía Pereda Gil, en la representación indicada, dedujo demanda de amparo contra la resolución judicial de la que se deja hecho mérito en el encabezamiento de esta Sentencia.</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Los hechos relevantes para resolver el presente recurso de amparo son, sucintamente expuestos, los siguientes: </w:t>
      </w:r>
    </w:p>
    <w:p w:rsidR="0052098F" w:rsidRDefault="0052098F" w:rsidP="0052098F">
      <w:pPr>
        <w:pStyle w:val="TextoNormal"/>
      </w:pPr>
      <w:r>
        <w:t xml:space="preserve">a) A solicitud de la demandante de amparo, y con fundamento en la dificultad de atender a su hijo menor de edad, mediante Resolución de 16 de marzo de 1999, luego prorrogada mediante otra de 1 de febrero de 2000, la Consellería de Familia e Promoción do Emprego, Muller e Xuventude de la Xunta de Galicia asumió la guarda de dicho menor. </w:t>
      </w:r>
    </w:p>
    <w:p w:rsidR="0052098F" w:rsidRDefault="0052098F" w:rsidP="0052098F">
      <w:pPr>
        <w:pStyle w:val="TextoNormal"/>
      </w:pPr>
      <w:r>
        <w:t xml:space="preserve">Con justificación en el desinterés mostrado por la demandante de amparo en hacerse cargo de su hijo, las graves repercusiones que se observaron en el comportamiento del menor y las insuficientes e irregulares visitas de su madre, la Consellería dictó Resolución de 20 de junio de 2000 por la que se acordó asumir la tutela automática del menor. La asunción de esta tutela automática fue confirmada, primero, mediante Resolución de 13 de noviembre de 2001 (en la que además se acordó la suspensión de los contactos del menor con su familia biológica) y, luego, por Resolución de 15 de febrero de 2002 (en la cual se acordó también </w:t>
      </w:r>
      <w:r>
        <w:lastRenderedPageBreak/>
        <w:t xml:space="preserve">la formalización de un contrato de acogimiento familiar preadoptivo). Finalmente, en Resolución de 8 de noviembre de 2002, la Administración acordó elevar al Juzgado de Primera Instancia propuesta de adopción del menor en favor de una familia que lo había solicitado. </w:t>
      </w:r>
    </w:p>
    <w:p w:rsidR="0052098F" w:rsidRDefault="0052098F" w:rsidP="0052098F">
      <w:pPr>
        <w:pStyle w:val="TextoNormal"/>
      </w:pPr>
      <w:r>
        <w:t xml:space="preserve">Estas tres resoluciones administrativas fueron impugnadas por la demandante ante la jurisdicción civil, siendo desestimadas acumuladamente dichas impugnaciones por el Juez de Primera Instancia núm. 3 de A Coruña y, con posterioridad, en grado de apelación, por Sentencia de 30 de marzo de 2004 dictada por la Sección Quinta de la Audiencia Provincial de aquella ciudad. </w:t>
      </w:r>
    </w:p>
    <w:p w:rsidR="0052098F" w:rsidRDefault="0052098F" w:rsidP="0052098F">
      <w:pPr>
        <w:pStyle w:val="TextoNormal"/>
      </w:pPr>
      <w:r>
        <w:t xml:space="preserve">b) Iniciado el expediente de adopción a instancias de la Administración pública indicada, el Juzgado de Primera Instancia núm. 10 de A Coruña ante el que se tramitaba el expediente de jurisdicción voluntaria de adopción, acordó citar a la madre biológica del menor “al objeto de recabar su consentimiento a la adopción”. La comparecencia ordenada se celebró el 30 de octubre de 2002, manifestando en ella la demandante de amparo, entre otras cosas, “que no está conforme con la adopción [de su hijo]”. </w:t>
      </w:r>
    </w:p>
    <w:p w:rsidR="0052098F" w:rsidRDefault="0052098F" w:rsidP="0052098F">
      <w:pPr>
        <w:pStyle w:val="TextoNormal"/>
      </w:pPr>
      <w:r>
        <w:t xml:space="preserve">El día 7 de noviembre siguiente la demandante de amparo presentó escrito, firmado también por el Letrado director de este recurso de amparo, en el cual insistía en que no estaba conforme con la adopción de su hijo y, como ya anticipara en la comparecencia del día 30 de octubre anterior, ponía en conocimiento del Juez que las resoluciones administrativas de las que se deja hecha mención en el apartado anterior se encontraban recurridas y pendientes de resolución. A la vista de lo manifestado en este escrito el Juez acordó suspender el curso del expediente hasta que recayese resolución firme en la impugnación de los acuerdos de la entidad pública, lo que tuvo lugar mediante la referida Sentencia de la Sección Quinta de la Audiencia Provincial de 30 de marzo de 2004, que alcanzó firmeza el 29 de octubre de 2004, según acredita la oportuna certificación emitida por el Secretario del indicado órgano judicial. </w:t>
      </w:r>
    </w:p>
    <w:p w:rsidR="0052098F" w:rsidRDefault="0052098F" w:rsidP="0052098F">
      <w:pPr>
        <w:pStyle w:val="TextoNormal"/>
      </w:pPr>
      <w:r>
        <w:t xml:space="preserve">Por su parte el padre del menor mostró su conformidad a la adopción de su hijo en comparecencia celebrada el día 6 de noviembre de 2002. </w:t>
      </w:r>
    </w:p>
    <w:p w:rsidR="0052098F" w:rsidRDefault="0052098F" w:rsidP="0052098F">
      <w:pPr>
        <w:pStyle w:val="TextoNormal"/>
      </w:pPr>
      <w:r>
        <w:t xml:space="preserve">c) Reanudado el curso de las actuaciones judiciales, el Juez acordó, mediante providencia de 18 de noviembre de 2004, citar a los padres biológicos del menor “a fin de recabar su consentimiento a la adopción”. A consecuencia de esta citación la demandante de amparo, valiéndose de Procurador y Abogado, presentó escrito el 24 de noviembre de 2004 mostrándose parte en las actuaciones y anticipando que, sin perjuicio de manifestarlo personalmente en la comparecencia para la que había sido citada, se oponía a la adopción en su calidad de madre del menor que no había sido privada de la patria potestad ni estaba incursa en causa para ello, siendo su deseo que se acordara la reintegración del menor con su madre biológica. </w:t>
      </w:r>
    </w:p>
    <w:p w:rsidR="0052098F" w:rsidRDefault="0052098F" w:rsidP="0052098F">
      <w:pPr>
        <w:pStyle w:val="TextoNormal"/>
      </w:pPr>
      <w:r>
        <w:t xml:space="preserve">El indicado escrito fue proveído por el Juez el 25 de noviembre de 2004, teniendo “por parte al Procurador don José María Moreda Allegue, en nombre y representación de doña Alicia Mercedes Fuentes Ambhul, y a don Ricardo Antón Rodríguez Arias como Letrado”. </w:t>
      </w:r>
    </w:p>
    <w:p w:rsidR="0052098F" w:rsidRDefault="0052098F" w:rsidP="0052098F">
      <w:pPr>
        <w:pStyle w:val="TextoNormal"/>
      </w:pPr>
      <w:r>
        <w:t xml:space="preserve">d) Al día siguiente, 26 de noviembre de 2004, el Juez dictó nueva providencia, dejando sin efecto la comparecencia señalada para ese mismo día así como la providencia de 25 de noviembre de 2004, ya que lo acordado en ella implicaría que doña Alicia tuviese acceso a datos identificativos de los adoptantes. </w:t>
      </w:r>
    </w:p>
    <w:p w:rsidR="0052098F" w:rsidRDefault="0052098F" w:rsidP="0052098F">
      <w:pPr>
        <w:pStyle w:val="TextoNormal"/>
      </w:pPr>
      <w:r>
        <w:t xml:space="preserve">A raíz de las providencias de 25 y 26 de noviembre la demandante de amparo presentó en el Juzgado dos escritos: </w:t>
      </w:r>
    </w:p>
    <w:p w:rsidR="0052098F" w:rsidRDefault="0052098F" w:rsidP="0052098F">
      <w:pPr>
        <w:pStyle w:val="TextoNormal"/>
      </w:pPr>
      <w:r>
        <w:t xml:space="preserve">En el primero de ellos, presentado el 29 de noviembre de 2004 en respuesta a la providencia de 25 de noviembre, la demandante de amparo aducía que, a tenor de lo dispuesto por el art. 177.2 del Código civil, dado que ella no se encontraba privada de la patria potestad </w:t>
      </w:r>
      <w:r>
        <w:lastRenderedPageBreak/>
        <w:t xml:space="preserve">sobre su hijo ni se encontraba incursa en causa para ello, la prestación por su parte del consentimiento a la adopción era requisito inexcusable para que ésta pudiera ser acordada. Añadía que, habiendo sido citada para comparecer en el Juzgado a los efectos de prestar su asentimiento a la adopción y no habiéndola consentido, procedía el archivo del expediente. Finalmente, y con carácter subsidiario, aducía que, en el supuesto de considerarse que había un error en la citación y que la comparecencia tenía por objeto simplemente oírla en relación con la adopción de su hijo, debía seguirse el incidente previsto en el art. 781.1 LEC, según el cual: </w:t>
      </w:r>
    </w:p>
    <w:p w:rsidR="0052098F" w:rsidRDefault="0052098F" w:rsidP="0052098F">
      <w:pPr>
        <w:pStyle w:val="TextoNormal"/>
      </w:pPr>
      <w:r>
        <w:t xml:space="preserve">“Los padres que pretendan que se reconozca la necesidad de su asentimiento para la adopción podrán comparecer ante el tribunal que esté conociendo del correspondiente expediente y manifestarlo así. El tribunal, con suspensión del expediente, señalará el plazo que estime necesario para la presentación de la demanda, que no podrá ser superior a veinte días. Presentada la demanda, se tramitará con arreglo a lo previsto en el art. 753 de esta Ley”. </w:t>
      </w:r>
    </w:p>
    <w:p w:rsidR="0052098F" w:rsidRDefault="0052098F" w:rsidP="0052098F">
      <w:pPr>
        <w:pStyle w:val="TextoNormal"/>
      </w:pPr>
      <w:r>
        <w:t xml:space="preserve">Por medio del escrito presentado el 1 de diciembre de 2004 la demandante formuló recurso de reforma frente a la providencia de 26 de noviembre a que hemos hecho referencia. En él insistía en la procedencia de su citación a los efectos de prestar su asentimiento a la adopción de su hijo (que era, además, lo que expresamente se hacía en la citación) y no simplemente para ser oída, supuesto en el que el art. 1.831 LEC de 1881 exige que la citación exprese los motivos por los que basta la simple audiencia de los padres biológicos. De la necesidad de que ella consintiese la adopción para que ésta pudiese ser autorizada por el Juez se deducía su condición de parte, condición que, inicialmente admitida por el Juez, había sido dejada sin efecto mediante la providencia que se impugnaba en reposición. Para el caso de que se entendiera que bastaba con oír a la demandante por su condición de madre biológica, sin ser preciso su asentimiento, reiteraba que se oponía a tal interpretación de la legalidad y que, en consecuencia, su oposición debía tramitarse conforme al ya citado art. 781 LEC. Por lo demás razonaba que la necesidad de proteger la identidad de los adoptantes del conocimiento de la familia de origen (expresamente ordenada por el art. 1.826.2 LEC de 1881) puede alcanzarse sin privar a la demandante de amparo de su condición de parte. Finalmente aducía que proceder de oficio a dejar sin efecto su admisión como parte en el procedimiento de adopción suponía desconocer la firmeza de la providencia de 25 de noviembre con vulneración del principio de invariabilidad de las resoluciones judiciales (art. 24.1 CE). </w:t>
      </w:r>
    </w:p>
    <w:p w:rsidR="0052098F" w:rsidRDefault="0052098F" w:rsidP="0052098F">
      <w:pPr>
        <w:pStyle w:val="TextoNormal"/>
      </w:pPr>
      <w:r>
        <w:t xml:space="preserve">e) Mediante Auto de 11 de enero de 2005 el Juez desestimó el recurso de reposición con el siguiente fundamento: </w:t>
      </w:r>
    </w:p>
    <w:p w:rsidR="0052098F" w:rsidRDefault="0052098F" w:rsidP="0052098F">
      <w:pPr>
        <w:pStyle w:val="TextoNormal"/>
      </w:pPr>
      <w:r>
        <w:t xml:space="preserve">“Primero.- El recurso interpuesto por la representación de doña Alicia Mercedes Fuentes Ambhul no puede prosperar, pues, frente a las alegaciones formuladas es de resaltar: </w:t>
      </w:r>
    </w:p>
    <w:p w:rsidR="0052098F" w:rsidRDefault="0052098F" w:rsidP="0052098F">
      <w:pPr>
        <w:pStyle w:val="TextoNormal"/>
      </w:pPr>
      <w:r>
        <w:t xml:space="preserve">A) La Sección Quinta de la Audiencia Provincia de A Coruña, por sentencia de fecha 30 de marzo de 2004, recaída en el procedimiento tramitado en este Juzgado con el núm. 641/01, acordó, confirmando la resolución de primera instancia, desestimar las demandas interpuestas por la actora recurrente contra las resoluciones de la Consellería de Familia de fechas 13 de noviembre de 2001, 15 de febrero de 2002 y 8 de noviembre de 2002, por las que el mentado organismo acuerda asumir la tutela automática del menor [S.L.F.], suspender los contactos con la familia biológica y elevar propuesta de adopción. </w:t>
      </w:r>
    </w:p>
    <w:p w:rsidR="0052098F" w:rsidRDefault="0052098F" w:rsidP="0052098F">
      <w:pPr>
        <w:pStyle w:val="TextoNormal"/>
      </w:pPr>
      <w:r>
        <w:t xml:space="preserve">B) Por lo expuesto, en el presente procedimiento no es dable volver a analizar la oposición de doña Alicia Mercedes Fuentes Ambhul a la adopción de su hijo, y sí, únicamente, valorar si el matrimonio propuesto como adoptante reúne las debidas garantías para cumplir con la delicada misión de prestar a [S.] la atención y cuidados debidos. </w:t>
      </w:r>
    </w:p>
    <w:p w:rsidR="0052098F" w:rsidRDefault="0052098F" w:rsidP="0052098F">
      <w:pPr>
        <w:pStyle w:val="TextoNormal"/>
      </w:pPr>
      <w:r>
        <w:lastRenderedPageBreak/>
        <w:t xml:space="preserve">C) Es criterio de este Tribunal, que en el presente procedimiento no intervengan los padres biológicos, pues el conocer la filiación y demás circunstancias de los posibles adoptantes puede dar lugar a situaciones conflictivas, perjudiciales para la formación”. </w:t>
      </w:r>
    </w:p>
    <w:p w:rsidR="0052098F" w:rsidRDefault="0052098F" w:rsidP="0052098F">
      <w:pPr>
        <w:pStyle w:val="TextoNormal"/>
      </w:pPr>
      <w:r>
        <w:t xml:space="preserve">f) Seguidamente la demandante de amparo, mediante escrito presentado en el Juzgado el 19 de enero de 2005, instó la nulidad de la providencia de 26 de noviembre y del Auto de 11 de enero, pues suponían negarle el acceso al proceso en el que hacer valer su posición respecto a la adopción de su hijo menor de edad. Oponía igualmente que, en contra de lo afirmado en el Auto desestimatorio del recurso de reposición, la oposición de la madre no se había analizado en ningún momento, pues las impugnaciones de las resoluciones administrativas seguidas ante el Juzgado de Primera Instancia núm. 3 de A Coruña, a las que se hizo mención con anterioridad, se referían al acogimiento preadoptivo, pero en ningún caso a la adopción. Sin embargo en el procedimiento de adopción corresponde analizar, no sólo si en los candidatos a la adopción concurren los requisitos y aptitudes necesarias, sino también si la intervención de la madre biológica se reduce a ser oída o si, por el contrario, es necesario su asentimiento. En el caso de que se entable discusión sobre esta circunstancia lo procedente es abrir el incidente previsto en el art. 781.2 LEC, conforme ya se había interesado sin recibir respuesta por parte del Juez, lo que ha producido la consiguiente indefensión. </w:t>
      </w:r>
    </w:p>
    <w:p w:rsidR="0052098F" w:rsidRDefault="0052098F" w:rsidP="0052098F">
      <w:pPr>
        <w:pStyle w:val="TextoNormal"/>
      </w:pPr>
      <w:r>
        <w:t xml:space="preserve">g) Por Auto de 28 de febrero de 2005 se desestimó el incidente de nulidad razonando que: </w:t>
      </w:r>
    </w:p>
    <w:p w:rsidR="0052098F" w:rsidRDefault="0052098F" w:rsidP="0052098F">
      <w:pPr>
        <w:pStyle w:val="TextoNormal"/>
      </w:pPr>
      <w:r>
        <w:t xml:space="preserve">“Primero.- Siendo principio indiscutible en materia de regulación probatoria que quien en juicio pretenda hacer valer un derecho debe probar los hechos justificativos de su pretensión, procede —vistos los términos en que está planteada la litis— no acceder a la nulidad de actuaciones instada por la representación de doña Alicia Mercedes Fuentes Ambhul, pues si bien es cierto que las normas pertenecen a la esfera del orden público y son de ineludible observancia, también es evidente que en el caso enjuiciado no se ha vulnerado lo dispuesto en el art. 177 del Código Civil y 781 de la L.E.Civil, pues la promovente del presente incidente ya fue oída sobre la adopción en el procedimiento tramitado por este Juzgado con el núm. 766/02 y que la Sección Quinta de la Audiencia Provincial de A Coruña, desestima las demandas interpuestas por la Sra. Fuentes Ambhul contra las resoluciones de la Consellería de Familia de fechas 13 de noviembre de 2001, 15 de febrero de 2002 y 8 de noviembre de 2002, por las que el citado organismo acuerda asumir la tutela automática del menor … suspender los contactos con la familia biológica y elevar la propuesta de adopción”. </w:t>
      </w:r>
    </w:p>
    <w:p w:rsidR="0052098F" w:rsidRDefault="0052098F" w:rsidP="0052098F">
      <w:pPr>
        <w:pStyle w:val="TextoNormal"/>
      </w:pPr>
      <w:r>
        <w:t>h) Con posterioridad a la interposición del presente recurso de amparo, el 6 de abril de 2005, el Juez dictó Auto en el cual constituyó la adopción del menor por los padres de acogida preadoptiva, al entender cumplidos los requisitos legales y estimarse ello beneficioso para el menor. El indicado Auto devino firme, habiéndose practicado la correspondiente inscripción de la adopción en el Registro Civil.</w:t>
      </w:r>
    </w:p>
    <w:p w:rsidR="0052098F" w:rsidRDefault="0052098F" w:rsidP="0052098F">
      <w:pPr>
        <w:pStyle w:val="TextoNormal"/>
      </w:pPr>
    </w:p>
    <w:p w:rsidR="0052098F" w:rsidRDefault="0052098F" w:rsidP="0052098F">
      <w:pPr>
        <w:pStyle w:val="TextoNormal"/>
      </w:pPr>
      <w:r w:rsidRPr="0052098F">
        <w:rPr>
          <w:rStyle w:val="NumeroAFNegritaCaracter"/>
        </w:rPr>
        <w:t>3</w:t>
      </w:r>
      <w:r>
        <w:t>. La demanda de amparo, tras recoger el curso procesal que condujo al dictado de las resoluciones impugnadas, aduce vulneración del derecho a la tutela judicial efectiva (art. 24.1 CE). Afirma que el régimen jurídico de la adopción es claro, en el sentido de que, si los padres biológicos no han sido privados de la patria potestad ni se encuentran incursos en causa de privación, su consentimiento resulta imprescindible para autorizar la adopción de un menor. Por otra parte, cuando la citación a los padres biológicos no tenga por finalidad recabar su asentimiento a la adopción de su hijo, sino simplemente oírles, la citación deberá expresar el motivo por el cual sólo es precisa su audiencia pero no su asentimiento. Final</w:t>
      </w:r>
      <w:r>
        <w:lastRenderedPageBreak/>
        <w:t xml:space="preserve">mente, en caso de que surja controversia sobre si los progenitores han de consentir la adopción o sólo han de ser oídos al respecto, la cuestión habrá de resolverse en un proceso contradictorio seguido conforme a lo establecido en el art. 781.2 LEC. </w:t>
      </w:r>
    </w:p>
    <w:p w:rsidR="0052098F" w:rsidRDefault="0052098F" w:rsidP="0052098F">
      <w:pPr>
        <w:pStyle w:val="TextoNormal"/>
      </w:pPr>
      <w:r>
        <w:t xml:space="preserve">Pues bien, mantiene, pese a que la demandante de amparo no está privada de la patria potestad y fue citada expresamente para asentir la adopción (a la que se opuso), el Juez decidió desdecirse de la literalidad de la citación cursada y entender que sólo era preciso oír a la demandante de amparo en relación con la adopción de su hijo menor de edad. Ahora bien, siendo así las cosas, no cabe negar que la demandante tiene derecho a oponerse a ello a través del incidente regulado en el art. 781 LEC, facultad que sin embargo se le ha negado sistemáticamente. En efecto, una y otra vez sostuvo la demandante que era preciso su asentimiento a la adopción, pero, aun asumiendo un eventual error en la citación recibida que permitiera entender que el órgano judicial la citó sólo para ser oída, se solicitó la apertura del juicio contradictorio que sobre esta cuestión ordena el art. 781.2 LEC, solicitud sobre la cual el órgano judicial siempre guardó silencio, aludiendo en cambio a que la oposición de la demandante a la adopción había sido ya resuelta con anterioridad en otro proceso judicial previo, cuando en realidad tal proceso versó sobre la legalidad del acogimiento preadoptivo acordado por la Administración. </w:t>
      </w:r>
    </w:p>
    <w:p w:rsidR="0052098F" w:rsidRDefault="0052098F" w:rsidP="0052098F">
      <w:pPr>
        <w:pStyle w:val="TextoNormal"/>
      </w:pPr>
      <w:r>
        <w:t>Concluye afirmando que, como consecuencia de lo anterior, la recurrente en amparo ha sido marginada de un proceso judicial en el que tiene interés evidente, y además merced a una decisión que deja sin efecto la adoptada previamente en sentido contrario, sin causa que justifique el sacrificio de la seguridad jurídica representado por la invariabilidad de las resoluciones judiciales firmes.</w:t>
      </w:r>
    </w:p>
    <w:p w:rsidR="0052098F" w:rsidRDefault="0052098F" w:rsidP="0052098F">
      <w:pPr>
        <w:pStyle w:val="TextoNormal"/>
      </w:pPr>
    </w:p>
    <w:p w:rsidR="0052098F" w:rsidRDefault="0052098F" w:rsidP="0052098F">
      <w:pPr>
        <w:pStyle w:val="TextoNormal"/>
      </w:pPr>
      <w:r w:rsidRPr="0052098F">
        <w:rPr>
          <w:rStyle w:val="NumeroAFNegritaCaracter"/>
        </w:rPr>
        <w:t>4</w:t>
      </w:r>
      <w:r>
        <w:t>. Mediante providencia de 24 de julio de 2007 la Sala Segunda de este Tribunal acordó admitir a trámite el presente recurso y, de conformidad con lo dispuesto en el art. 51 de la Ley Orgánica de este Tribunal, dirigir atenta comunicación al Juzgado de Primera Instancia núm. 10 de A Coruña para que, en término de diez días, remitiese certificación o copia adverada de las actuaciones judiciales de las que este recurso de amparo trae causa, debiéndose emplazar a quienes hubieran sido parte en el proceso judicial previo, salvo a la demandante de amparo, para que en el término de diez días pudieran comparecer en este recurso si lo estimaran conveniente.</w:t>
      </w:r>
    </w:p>
    <w:p w:rsidR="0052098F" w:rsidRDefault="0052098F" w:rsidP="0052098F">
      <w:pPr>
        <w:pStyle w:val="TextoNormal"/>
      </w:pPr>
    </w:p>
    <w:p w:rsidR="0052098F" w:rsidRDefault="0052098F" w:rsidP="0052098F">
      <w:pPr>
        <w:pStyle w:val="TextoNormal"/>
      </w:pPr>
      <w:r w:rsidRPr="0052098F">
        <w:rPr>
          <w:rStyle w:val="NumeroAFNegritaCaracter"/>
        </w:rPr>
        <w:t>5</w:t>
      </w:r>
      <w:r>
        <w:t>. Por providencia de 17 de enero de 2008 se acordó tener por personado al Procurador don Argimiro Vázquez Guillén en representación de la Xunta de Galicia, así como, de conformidad con lo dispuesto en el art. 52 LOTC, dar traslado de las actuaciones al Ministerio Fiscal y a las demás partes personadas por término de veinte días, dentro de los cuales podrían formular las alegaciones que estimasen oportunas.</w:t>
      </w:r>
    </w:p>
    <w:p w:rsidR="0052098F" w:rsidRDefault="0052098F" w:rsidP="0052098F">
      <w:pPr>
        <w:pStyle w:val="TextoNormal"/>
      </w:pPr>
    </w:p>
    <w:p w:rsidR="0052098F" w:rsidRDefault="0052098F" w:rsidP="0052098F">
      <w:pPr>
        <w:pStyle w:val="TextoNormal"/>
      </w:pPr>
      <w:r w:rsidRPr="0052098F">
        <w:rPr>
          <w:rStyle w:val="NumeroAFNegritaCaracter"/>
        </w:rPr>
        <w:t>6</w:t>
      </w:r>
      <w:r>
        <w:t xml:space="preserve">. En escrito presentado en el Registro General de este Tribunal el día 12 de febrero de 2008 la representación procesal de la Xunta de Galicia formuló alegaciones, adhiriéndose a la argumentación contenida en las resoluciones judiciales impugnadas. </w:t>
      </w:r>
    </w:p>
    <w:p w:rsidR="0052098F" w:rsidRDefault="0052098F" w:rsidP="0052098F">
      <w:pPr>
        <w:pStyle w:val="TextoNormal"/>
      </w:pPr>
      <w:r>
        <w:t>Por su parte la demandante de amparo, a través de su representación procesal, formuló alegaciones el 22 de febrero de 2008, ratificándose en la argumentación vertida en su escrito de demanda.</w:t>
      </w:r>
    </w:p>
    <w:p w:rsidR="0052098F" w:rsidRDefault="0052098F" w:rsidP="0052098F">
      <w:pPr>
        <w:pStyle w:val="TextoNormal"/>
      </w:pPr>
    </w:p>
    <w:p w:rsidR="0052098F" w:rsidRDefault="0052098F" w:rsidP="0052098F">
      <w:pPr>
        <w:pStyle w:val="TextoNormal"/>
      </w:pPr>
      <w:r w:rsidRPr="0052098F">
        <w:rPr>
          <w:rStyle w:val="NumeroAFNegritaCaracter"/>
        </w:rPr>
        <w:t>7</w:t>
      </w:r>
      <w:r>
        <w:t xml:space="preserve">. Mediante escrito presentado el 27 de febrero de 2008 el Ministerio público formuló alegaciones, interesando el otorgamiento del amparo solicitado por considerar vulnerado el </w:t>
      </w:r>
      <w:r>
        <w:lastRenderedPageBreak/>
        <w:t xml:space="preserve">derecho de la demandante a la tutela judicial efectiva, así como la anulación de las resoluciones impugnadas ante este Tribunal y la retroacción de las actuaciones judiciales al momento anterior al dictado de la providencia de 26 de noviembre de 2004 a fin de que se pronunciara nueva resolución en la que se diera respuesta al escrito de la parte de 29 de noviembre de 2004 de modo respetuoso con su derecho a la tutela judicial efectiva. </w:t>
      </w:r>
    </w:p>
    <w:p w:rsidR="0052098F" w:rsidRDefault="0052098F" w:rsidP="0052098F">
      <w:pPr>
        <w:pStyle w:val="TextoNormal"/>
      </w:pPr>
      <w:r>
        <w:t xml:space="preserve">Tras una detallada exposición de los antecedentes procesales que condujeron al dictado de las resoluciones judiciales impugnadas y de los motivos esgrimidos por la demandante de amparo, el Fiscal expone la doctrina constitucional relativa al derecho de acceso al proceso como manifestación primigenia del derecho a la tutela judicial efectiva y al especial rigor con el que se exige su respeto cuanto se trata de procesos en los cuales están implicados derechos e intereses relativos a la protección de los menores. Seguidamente destaca la semejanza del supuesto abordado en el presente recurso y el resuelto mediante la STC 124/2004, de 20 de mayo, pues, si conforme a dicha resolución los acogedores preadoptivos poseen un interés legítimo a personarse y ser oídos en un procedimiento de impugnación judicial del acogimiento preadoptivo, con mayor razón habrá de sostenerse que los padres biológicos que no hayan sido privados de la patria potestad mediante sentencia firme ostentan, también, un interés legítimo para personarse en un procedimiento de constitución judicial de la adopción de su hijo menor de edad, máxime si tal personación cuenta con la cobertura legal de los arts. 1825, 1829 y 1832 LEC. </w:t>
      </w:r>
    </w:p>
    <w:p w:rsidR="0052098F" w:rsidRDefault="0052098F" w:rsidP="0052098F">
      <w:pPr>
        <w:pStyle w:val="TextoNormal"/>
      </w:pPr>
      <w:r>
        <w:t xml:space="preserve">Admitiendo el Ministerio público que la demandante de amparo, en su condición de madre biológica del menor adoptado, era titular de un interés legítimo que le permitía, al amparo del art. 24.1 CE, comparecer en el procedimiento de constitución judicial de la adopción, razona que ninguno de los motivos aducidos por el órgano judicial puede justificar en términos constitucionalmente admisibles la restricción del derecho de la demandante a intervenir en el indicado proceso. Por lo que se refiere a la necesidad de salvaguardar la identidad de los padres adoptivos, el órgano judicial disponía de recursos suficientes para hacer compatible la intervención de la demandante de amparo y la preservación del secreto relativo a la filiación adoptiva proyectada, resultando significativo que el propio legislador faculte al Juez para que adopte las medidas necesarias a efectos de la consecución de tal fin. Y tampoco puede justificarse la denegación de la intervención de la demandante de amparo en función de la existencia de un previo proceso de impugnación de las resoluciones administrativas de protección de menores dictadas por la Xunta de Galicia, pues el objeto de este proceso (la declaración de desamparo, la formalización de acogimiento preadoptivo con la adopción cautelar de prohibición de contactos con la familia biológica y la declaración de adoptabilidad del menor y de idoneidad de la familia acogedora) era sustancialmente distinto al de constitución de la adopción, centrado en la idoneidad de la familia adoptante pero teniendo también por objeto “recabar los consentimientos y asentimientos necesarios para su válida constitución”. </w:t>
      </w:r>
    </w:p>
    <w:p w:rsidR="0052098F" w:rsidRDefault="0052098F" w:rsidP="0052098F">
      <w:pPr>
        <w:pStyle w:val="TextoNormal"/>
      </w:pPr>
      <w:r>
        <w:t xml:space="preserve">Por lo demás el art. 781 LEC establece un procedimiento específico que permite a los padres biológicos oponerse a la decisión judicial de darles simple audiencia en vez de recabar su asentimiento a la adopción, procedimiento que debe ser seguido por los trámites del juicio verbal y en el que habría de resolverse si concurre o no en el caso causa de privación de la patria potestad que justifique otorgar simple audiencia de los padres biológicos en vez de recabar su asentimiento a la adopción. Pues bien, la demandante de amparo solicitó reiteradamente que fuese abierto este especial proceso para el supuesto de que su comparecencia hubiera sido acordada para ser simplemente oída aunque por error la citación hubiese expresado que la comparecencia tendría por objeto recabar su asentimiento a la adopción, si </w:t>
      </w:r>
      <w:r>
        <w:lastRenderedPageBreak/>
        <w:t>bien no obtuvo respuesta judicial alguna a tal solicitud, ni al resolverse el recurso de reposición, ni al desestimarse el incidente de nulidad promovido por la demandante, que de este modo sufrió una marginación procesal lesiva de su derecho a la tutela judicial efectiva.</w:t>
      </w:r>
    </w:p>
    <w:p w:rsidR="0052098F" w:rsidRDefault="0052098F" w:rsidP="0052098F">
      <w:pPr>
        <w:pStyle w:val="TextoNormal"/>
      </w:pPr>
    </w:p>
    <w:p w:rsidR="0052098F" w:rsidRDefault="0052098F" w:rsidP="0052098F">
      <w:pPr>
        <w:pStyle w:val="TextoNormal"/>
      </w:pPr>
      <w:r w:rsidRPr="0052098F">
        <w:rPr>
          <w:rStyle w:val="NumeroAFNegritaCaracter"/>
        </w:rPr>
        <w:t>8</w:t>
      </w:r>
      <w:r>
        <w:t>. Por providencia de 24 de abril de 2008 se señaló para votación y fallo el día 28 del mismo mes y año.</w:t>
      </w:r>
    </w:p>
    <w:p w:rsidR="0052098F" w:rsidRDefault="0052098F" w:rsidP="0052098F">
      <w:pPr>
        <w:pStyle w:val="TextoNormal"/>
      </w:pPr>
    </w:p>
    <w:p w:rsidR="0052098F" w:rsidRDefault="0052098F" w:rsidP="0052098F">
      <w:pPr>
        <w:pStyle w:val="TextoNormalNegritaCentrado"/>
        <w:keepNext/>
      </w:pPr>
      <w:r>
        <w:t>II. Fundamentos jurídicos</w:t>
      </w:r>
    </w:p>
    <w:p w:rsidR="0052098F" w:rsidRDefault="0052098F" w:rsidP="0052098F">
      <w:pPr>
        <w:pStyle w:val="TextoNormalNegritaCentrado"/>
        <w:keepNext/>
      </w:pPr>
    </w:p>
    <w:p w:rsidR="0052098F" w:rsidRDefault="0052098F" w:rsidP="0052098F">
      <w:pPr>
        <w:pStyle w:val="TextoNormal"/>
      </w:pPr>
      <w:r w:rsidRPr="0052098F">
        <w:rPr>
          <w:rStyle w:val="NumeroAFNegritaCaracter"/>
        </w:rPr>
        <w:t>1</w:t>
      </w:r>
      <w:r>
        <w:t>. El acto del poder público frente al que se demanda amparo por considerar que ha vulnerado el derecho a la tutela judicial efectiva (art. 24.1 CE) de la demandante es el Auto de 28 de febrero de 2005, dictado por el Juez de Primera Instancia núm. 10 de A Coruña. Dicho Auto desestimó el incidente de nulidad deducido contra la providencia de 26 de noviembre de 2004 y contra el Auto de 11 de enero de 2005 por medio de los cuales se dejó sin efecto la decisión de tener a la demandante de amparo por personada y parte en el expediente de adopción de su hijo menor, así como se rechazó la solicitud de que, para el caso de que el órgano judicial considerase que bastaba con la audiencia de la demandante, por su condición de madre biológica, sin ser necesario su asentimiento a la adopción, se iniciara el trámite de oposición a esta decisión a través del cauce previsto en el art. 781 de la vigente Ley de enjuiciamiento civil (LEC).</w:t>
      </w:r>
    </w:p>
    <w:p w:rsidR="0052098F" w:rsidRDefault="0052098F" w:rsidP="0052098F">
      <w:pPr>
        <w:pStyle w:val="TextoNormal"/>
      </w:pPr>
      <w:r>
        <w:t>De acuerdo con reiterada jurisprudencia de este Tribunal (por todas STC 139/2007, de 4 de junio), “cuando se impugna en amparo una resolución judicial confirmatoria de otras, que han sido lógica y cronológicamente presupuesto de aquélla, han de entenderse también por recurridas las precedentes resoluciones confirmadas”.  Consecuentemente, más allá de la referencia formal a una concreta resolución judicial como específicamente impugnada, nuestro análisis ha de centrarse en si el derecho de la demandante de amparo a la tutela judicial efectiva (art. 24.1 CE) se vio lesionado o no por alguna de estas dos decisiones: a) la de negarle la condición de parte en el procedimiento de jurisdicción voluntaria tramitado sobre la adopción de su hijo menor de edad; b) la de no acordar la apertura del incidente previsto en el art. 781 LEC para decidir acerca de si era o no necesario el asentimiento de la demandante a la adopción de su hijo menor o si, por el contrario, bastaba con su mera audiencia al respecto. No obstante hay que advertir que, como con posterioridad podremos observar, aun cuando conceptualmente pueden distinguirse ambas cuestiones, su íntima relación va a determinar una dependencia mutua entre ellas a efectos de su análisis.</w:t>
      </w:r>
    </w:p>
    <w:p w:rsidR="0052098F" w:rsidRDefault="0052098F" w:rsidP="0052098F">
      <w:pPr>
        <w:pStyle w:val="TextoNormal"/>
      </w:pPr>
    </w:p>
    <w:p w:rsidR="0052098F" w:rsidRDefault="0052098F" w:rsidP="0052098F">
      <w:pPr>
        <w:pStyle w:val="TextoNormal"/>
      </w:pPr>
      <w:r w:rsidRPr="0052098F">
        <w:rPr>
          <w:rStyle w:val="NumeroAFNegritaCaracter"/>
        </w:rPr>
        <w:t>2</w:t>
      </w:r>
      <w:r>
        <w:t xml:space="preserve">. Para abordar la cuestión suscitada bueno será recordar la doctrina elaborada por este Tribunal sobre el derecho a la tutela judicial efectiva en supuestos en los que, como en el presente, se encuentran en juego intereses de tanta relevancia como los de los menores de cuyo acogimiento, guarda o adopción se trata, así como los de quienes pretenden su adopción y los de los padres biológicos cuya relación de filiación va a quedar extinguida. Así, en la STC 75/2005, de 4 de abril, FJ 3, hemos afirmado “en relación con el desarrollo de procedimientos de oposición a la declaración de desamparo, de acogimiento y de adopción, que ‘en este tipo de procesos civiles se encuentran en juego derechos e intereses legítimos de extraordinaria importancia [tanto] los del menor, como los de sus padres biológicos y los de las restantes personas implicadas en la situación, [que] son intereses y derechos de la mayor importancia en el orden personal y familiar, que obligan a rodear de las mayores garantías los actos judiciales que les atañen’ (STC 114/1997, de 16 de junio, FJ 6; en el </w:t>
      </w:r>
      <w:r>
        <w:lastRenderedPageBreak/>
        <w:t>mismo sentido STC 298/1993, de 18 de octubre, FJ 3). Es lógico, pues, que ‘dada la extraordinaria importancia que revisten estos intereses y derechos en juego en este tipo de procesos, se ofrezca realmente en ellos una amplia ocasión de alegaciones a quienes ostentan intereses legítimos en la decisión a tomar, así como para aportar documentos y todo tipo de justificaciones atendiendo a un menor rigor formal y a la exclusión de la preclusividad [pues] lo trascendental en ellos no es tanto su modo como su resultado’ (STC 187/1996, de 25 de noviembre, FJ 2). En este sentido no puede dejar de traerse a colación la Convención de las Naciones Unidas sobre los derechos del niño de 20 de noviembre de 1989, ratificada por España el día 30 de noviembre de 1990, que prevé que en cualquier procedimiento entablado con ocasión de la separación del niño de sus padres ‘se ofrecerá a todas las partes interesadas la posibilidad de participar en él y de dar a conocer sus opiniones’ (art. 9.2)”; y, en este sentido, destaca nuestra doctrina que “los procedimientos de oposición a la declaración de desamparo, de acogimiento y de adopción, como este Tribunal Constitucional ha tenido ocasión de declarar en relación con el procedimiento de separación matrimonial, dado su carácter instrumental al servicio del Derecho de familia (STC 4/2001, de 15 de enero, FJ 4), no se configuran como un simple conflicto entre pretensiones privadas que ha de ser decidido jurisdiccionalmente como si de un conflicto más de Derecho privado se tratara,  sino que en relación con tales procedimientos se amplían ex lege las facultades del Juez en garantía de los intereses que han de ser tutelados, entre los que ocupa una posición prevalente, como ya se ha señalado, el interés superior del menor (cfr. art. 1826 LEC)”.</w:t>
      </w:r>
    </w:p>
    <w:p w:rsidR="0052098F" w:rsidRDefault="0052098F" w:rsidP="0052098F">
      <w:pPr>
        <w:pStyle w:val="TextoNormal"/>
      </w:pPr>
      <w:r>
        <w:t>Con todo no puede perderse de vista que la decisión a adoptar, precisamente por la flexibilidad con la que el legislador regula este tipo de procesos, ha de atender especialmente a las circunstancias concretas del caso y a la relación que los distintos procedimientos (declaración de desamparo, tutela automática de la entidad pública de protección de menores, constitución de los diversos tipos de acogimiento, adopción, así como las correspondientes impugnaciones judiciales de éstos) guardan entre sí por referirse a un mismo menor y, con frecuencia, a sus progenitores biológicos y a los adoptantes o posibles adoptantes.</w:t>
      </w:r>
    </w:p>
    <w:p w:rsidR="0052098F" w:rsidRDefault="0052098F" w:rsidP="0052098F">
      <w:pPr>
        <w:pStyle w:val="TextoNormal"/>
      </w:pPr>
    </w:p>
    <w:p w:rsidR="0052098F" w:rsidRDefault="0052098F" w:rsidP="0052098F">
      <w:pPr>
        <w:pStyle w:val="TextoNormal"/>
      </w:pPr>
      <w:r w:rsidRPr="0052098F">
        <w:rPr>
          <w:rStyle w:val="NumeroAFNegritaCaracter"/>
        </w:rPr>
        <w:t>3</w:t>
      </w:r>
      <w:r>
        <w:t>. De acuerdo con la anterior doctrina, estudiaremos seguidamente si la intervención que se permitió tener a la demandante de amparo en el expediente de adopción vulneró o no su derecho a la tutela judicial efectiva. Ahora bien, desde la perspectiva constitucional que nos es propia, la cuestión suscitada no se refiere al estricto cumplimiento de la legalidad procesal (más en concreto si se respetó o no la previsión legal de resolver la controversia sobre la necesidad de recabar el asentimiento de los padres biológicos a través del incidente específicamente previsto en el art. 781 LEC), sino que ha de centrarse en el análisis de si en este concreto supuesto la demandante de amparo dispuso o no de la ocasión de someter a la decisión de los Tribunales de justicia la cuestión de si su asentimiento a la adopción era o no condición necesaria para autorizar la adopción.</w:t>
      </w:r>
    </w:p>
    <w:p w:rsidR="0052098F" w:rsidRDefault="0052098F" w:rsidP="0052098F">
      <w:pPr>
        <w:pStyle w:val="TextoNormal"/>
      </w:pPr>
      <w:r>
        <w:t xml:space="preserve">Para efectuar este análisis hemos de partir de que, admitido que ni el menor se hallaba emancipado ni la demandante se encontraba privada de la patria potestad, sino que tan sólo el ejercicio de ésta por su parte se encontraba suspendido —ex art. 172.1, in fine, del Código civil (CC)— como consecuencia de la asunción de la tutela atribuida a la entidad pública de protección de menores, el único supuesto de entre los mencionados en el art. 177.1.2 CC que justificaría prescindir del asentimiento a la adopción por parte de la demandante de amparo sería el de encontrarse la madre incursa “en causa legal para tal privación”. Ahora bien, tal situación “sólo podrá apreciarse en procedimiento judicial contradictorio, el cual podrá tramitarse como dispone el art. 1827 de la Ley de Enjuiciamiento Civil [de 1881]” (segundo inciso del art. 177.1.2 CC), remisión esta última que, al referirse a un precepto </w:t>
      </w:r>
      <w:r>
        <w:lastRenderedPageBreak/>
        <w:t>derogado por la Ley 1/2000, de 7 de enero, de enjuiciamiento civil, ha de entenderse referida al art. 781 de esta última Ley. Dicho precepto disponía, en el momento de dictarse las resoluciones impugnadas en amparo, que: “1. Los padres que pretendan que se reconozca la necesidad de su asentimiento para la adopción podrán comparecer ante el tribunal que esté conociendo del correspondiente expediente y manifestarlo así. El tribunal, con suspensión del expediente, señalará el plazo que prudencialmente estime necesario para la presentación de la demanda, que no podrá ser inferior a veinte días ni exceder de cuarenta. Presentada la demanda, se tramitará con arreglo a lo previsto en el art. 753 de esta Ley. 2. Si no se presentara la demanda en el plazo fijado por el tribunal se dictará auto dando por finalizado el trámite. Dictada esta resolución, no se admitirá ninguna reclamación posterior de los mismos sujetos sobre necesidad de asentimiento para la adopción de que se trate”.</w:t>
      </w:r>
    </w:p>
    <w:p w:rsidR="0052098F" w:rsidRDefault="0052098F" w:rsidP="0052098F">
      <w:pPr>
        <w:pStyle w:val="TextoNormal"/>
      </w:pPr>
      <w:r>
        <w:t>Del análisis de las actuaciones judiciales resulta que la demandante de amparo, que por dos veces fue citada para “recabar su consentimiento [sic] a la adopción”, adujo reiteradamente que no asentía a la adopción y que, para el caso de que el órgano judicial entendiera que no resultaba necesario su asentimiento sino que bastaba con su mera audiencia, se oponía a tal decisión y solicitaba la tramitación del incidente establecido en el antes transcrito art. 781 LEC. A tal solicitud dio respuesta el órgano judicial, mediante el Auto de 11 de enero de 2005, considerando que la oposición de la demandante a la adopción de su hijo había sido resuelta por la Sentencia de 30 de marzo de 2004 dictada por la Sección Quinta de la Audiencia Provincia de A Coruña, confirmatoria de la de primera instancia (erróneamente afirma que del mismo Juez, cuando en realidad fue dictada por el de Primera Instancia núm. 3), desestimatoria a su vez de las demandas interpuestas por la demandante contra las resoluciones de la Consellería de Familia por las que el mentado organismo acuerda asumir la tutela automática del menor, suspender los contactos con la familia biológica y elevar propuesta de adopción. De ahí que el órgano judicial afirmase que en el procedimiento de adopción “no es dable volver a analizar la oposición de doña Alicia Mercedes Fuentes Ambhul a la adopción de su hijo, y sí, únicamente, valorar si el matrimonio propuesto como adoptante reúne las debidas garantías para cumplir con la delicada misión de prestar a [S.] la atención y cuidados debidos”. Con posterioridad el Juez de Primera Instancia insistiría en el mismo criterio, al desestimar mediante el también impugnado Auto de 28 de febrero de 2005 el incidente de nulidad promovido por la demandante de amparo mediante Auto, razonando a tal efecto que “en el caso enjuiciado no se ha vulnerado lo dispuesto en el art. 177 del Código Civil y 781 de la L.E.Civil, pues la promovente del presente incidente ya fue oída sobre la adopción en el procedimiento tramitado por este Juzgado con el núm. 766/02 y que la Sección Quinta de la Audiencia Provincial de A Coruña, desestima las demandas interpuestas por la Sra. Fuentes Ambhul contra las resoluciones de la Consellería de Familia de fechas 13 de noviembre de 2001, 15 de febrero de 2002 y 8 de noviembre de 2002, por las que el citado organismo acuerda asumir la tutela automática del menor … suspender los contactos con la familia biológica y elevar la propuesta de adopción.”</w:t>
      </w:r>
    </w:p>
    <w:p w:rsidR="0052098F" w:rsidRDefault="0052098F" w:rsidP="0052098F">
      <w:pPr>
        <w:pStyle w:val="TextoNormal"/>
      </w:pPr>
    </w:p>
    <w:p w:rsidR="0052098F" w:rsidRDefault="0052098F" w:rsidP="0052098F">
      <w:pPr>
        <w:pStyle w:val="TextoNormal"/>
      </w:pPr>
      <w:r w:rsidRPr="0052098F">
        <w:rPr>
          <w:rStyle w:val="NumeroAFNegritaCaracter"/>
        </w:rPr>
        <w:t>4</w:t>
      </w:r>
      <w:r>
        <w:t xml:space="preserve">. Según se desprende de las actuaciones judiciales el Juez de Primera Instancia citó a la demandante de amparo para “recabar su consentimiento a la adopción” por dos veces (aunque la segunda fue dejada sin efecto), manifestando la demandante tanto en comparecencia personal como por escrito que, no encontrándose privada de la patria potestad ni incursa en causa para ello, su asentimiento era necesario para la adopción de su hijo menor y que no lo autorizaba, siendo su deseo que se reintegrara al menor con su familia biológica. Pese que el art. 1831, párrafo 2, LEC de 1881 expresamente dispone que “en la citación a los padres se precisará la circunstancia por la cual basta su simple audiencia”, en ningún momento se </w:t>
      </w:r>
      <w:r>
        <w:lastRenderedPageBreak/>
        <w:t>advirtió a la demandante de amparo de que su asentimiento no era necesario, con expresión de qué circunstancia autorizaba a prescindir de él, lo que le impidió contradecirla. Pero es que, además, la diligente actuación de la demandante de amparo le llevó a poner de manifiesto al órgano judicial que, si se trataba de un error en la citación y, en consecuencia, se consideraba que estaba incursa en causa de privación de la patria potestad, también negaba que esta circunstancia concurriese y solicitaba que se tramitara el incidente regulado en el art. 781 LEC para decidir sobre tal cuestión. Aun así el Juez nunca llegó a precisar qué causa entendía que autorizaba a prescindir del asentimiento materno, sino que en los Autos de 11 de enero y 28 de febrero de 2005 se limitó a afirmar que la oposición de la demandante a la adopción ya había sido sustanciada al resolver (erróneamente se afirma que por el mismo Juzgado) los recursos deducidos contra las resoluciones administrativas sobre asunción de tutela automática, acogimiento preadoptivo y solicitud de adopción. Sin embargo lo cierto es que en tales procesos, por más que se debatiera sobre si la demandante había proporcionado al menor las atenciones de todo orden inherentes a la patria potestad, y si, en consecuencia, resultaba conveniente para el menor la adopción proyectada a la vista de su integración en la familia en la cual se encontraba acogido, no se decidió si los hechos descritos integraban o no causa de privación de la patria potestad, todo lo cual impide considerar que existió decisión judicial acerca de la concurrencia de la causa de privación de la patria potestad en un procedimiento judicial contradictorio, único modo en el que el art. 177.1.2 CC permite su apreciación, como ya ha quedado expuesto. Y es que la especial trascendencia de los intereses en juego no permite que la controversia judicial sobre la concurrencia  de causa de privación de la patria potestad, en tanto que supuesto habilitante para prescindir del asentimiento a la adopción, sea meramente intuida o presumida. En suma, al no precisar la causa por la cual entendía que podía prescindirse del asentimiento de la madre biológica a la adopción y no adoptar las medidas necesarias para que, tal y como con reiteración solicitaba la demandante de amparo, pudiera hacer uso del incidente previsto en el art. 871 LEC para someter a enjuiciamiento el carácter necesario o contingente de su asentimento a la adopción (con la consecuente imposibilidad de impugnar la resolución constitutiva de la adopción por tal motivo —art. 781.2, in fine LEC), el órgano judicial colocó a la demandante de amparo en situación de indefensión y, en consecuencia, vulneró su derecho a la tutela judicial efectiva.</w:t>
      </w:r>
    </w:p>
    <w:p w:rsidR="0052098F" w:rsidRDefault="0052098F" w:rsidP="0052098F">
      <w:pPr>
        <w:pStyle w:val="TextoNormal"/>
      </w:pPr>
      <w:r>
        <w:t xml:space="preserve">No resulta ocioso insistir en que lo decisivo para nuestro enjuiciamiento es que, atendidas las circunstancias concretas del caso, se aprecie la existencia o no de indefensión material, no siendo suficiente para ello la constatación del mero incumplimiento de las reglas procesales que disciplinan un concreto proceso. Fueron precisamente las circunstancias del caso concreto las que condujeron a rechazar la alegación de indefensión que se adujo en el caso resuelto por la STC 114/1997, de 16 de junio, con el cual guarda alguna semejanza el supuesto ahora analizado. En efecto, pese a que en aquel caso la apreciación de la existencia de causa de privación de la patria potestad (y consecuentemente la prescindibilidad del asentimiento materno a la adopción) tuvieran lugar en el proceso previo de impugnación de la resolución administrativa sobre acogimiento del menor [antecedente de hecho 3, apartados e), f) y g), párrafo 3, y fundamento jurídico 5] , este Tribunal (que por lo demás terminó otorgando el amparo por otras razones) descartó que se hubiera producido indefensión material a la demandante de amparo, madre biológica del adoptando, valorando las circunstancias concretas del caso al tomar en consideración que: 1) en el procedimiento de adopción la madre biológica había sido citada expresamente sólo para ser oída, al considerar que estaba incursa en causa de privación de la patria potestad; 2) había tenido pleno conocimiento de los hechos determinantes de tal apreciación al haber tomado pleno conocimiento de las </w:t>
      </w:r>
      <w:r>
        <w:lastRenderedPageBreak/>
        <w:t>resoluciones administrativas en las que se acordó el acogimiento de su hijo menor, manifestando su oposición a la adopción tanto en el expediente administrativo como en la subsiguiente impugnación judicial de la resolución administrativa; 3) en el caso enjuiciado concurría, con especial relieve, el hecho de que fueron los mismos órganos judiciales los que en instancia y apelación conocieron tanto de la impugnación de la resolución administrativa que acordó el acogimiento del menor como del expediente de adopción de éste; y 4) el órgano judicial motivó adecuadamente en aquel conocimiento previo la apreciación de que concurría en la madre biológica causa de privación de la patria potestad y que, en consecuencia, no era preciso su asentimiento a la adopción, sino que era suficiente con que fuese oída en relación a ello (fundamentos jurídicos 5 y 6). La flexibilidad con la que la ley procesal ordena los procedimientos de jurisdicción voluntaria (entre los que, prescindiendo de la adecuación de tal caracterización, se encuentran los encaminados a constituir la adopción), así como la imposibilidad de concebirlos de modo completamente aislado cuando guardan relación entre sí, completan la clave de la decisión adoptada en aquella resolución.</w:t>
      </w:r>
    </w:p>
    <w:p w:rsidR="0052098F" w:rsidRDefault="0052098F" w:rsidP="0052098F">
      <w:pPr>
        <w:pStyle w:val="TextoNormal"/>
      </w:pPr>
      <w:r>
        <w:t>La estimación de la demanda de amparo por la vulneración del derecho a la tutela judicial efectiva determinada por la situación de indefensión en que resultó situada la demandante de amparo hace innecesaria cualquier otra consideración relativa a la quiebra del derecho a la invariabilidad de las resoluciones judiciales firmes que, como vertiente diferenciada del derecho a la tutela judicial efectiva, se denuncia con carácter secundario o accesorio.</w:t>
      </w:r>
    </w:p>
    <w:p w:rsidR="0052098F" w:rsidRDefault="0052098F" w:rsidP="0052098F">
      <w:pPr>
        <w:pStyle w:val="TextoNormal"/>
      </w:pPr>
    </w:p>
    <w:p w:rsidR="0052098F" w:rsidRDefault="0052098F" w:rsidP="0052098F">
      <w:pPr>
        <w:pStyle w:val="TextoNormal"/>
      </w:pPr>
      <w:r w:rsidRPr="0052098F">
        <w:rPr>
          <w:rStyle w:val="NumeroAFNegritaCaracter"/>
        </w:rPr>
        <w:t>5</w:t>
      </w:r>
      <w:r>
        <w:t>. Resta tan sólo precisar el alcance del amparo que se otorga, cuestión de la máxima importancia dados los muy relevantes intereses en presencia, singularmente los del menor adoptado (art. 39 CE), pero también los de los demás afectados por la relación de filiación ya constituida, lo que nos llevó a denegar la suspensión de las resoluciones impugnadas en amparo por medio del ATC 461/2007, de 17 de diciembre.</w:t>
      </w:r>
    </w:p>
    <w:p w:rsidR="0052098F" w:rsidRDefault="0052098F" w:rsidP="0052098F">
      <w:pPr>
        <w:pStyle w:val="TextoNormal"/>
      </w:pPr>
      <w:r>
        <w:t>El restablecimiento de la demandante en la integridad de su derecho exige, con mantenimiento de la situación fáctica actual del menor concernido, la anulación de los Autos de 11 de enero y 28 de febrero de 2005, así como la de las resoluciones subsiguientes, con retroacción de actuaciones al momento inmediatamente anterior a su dictado para que el órgano judicial haga saber a la demandante de amparo la circunstancia por la cual basta su simple audiencia y, en su caso, tramite la oposición que la demandante de amparo pudiera deducir, concluyendo luego el proceso con pleno respeto al derecho fundamental vulnerado.</w:t>
      </w:r>
    </w:p>
    <w:p w:rsidR="0052098F" w:rsidRDefault="0052098F" w:rsidP="0052098F">
      <w:pPr>
        <w:pStyle w:val="TextoNormal"/>
      </w:pPr>
    </w:p>
    <w:p w:rsidR="0052098F" w:rsidRDefault="0052098F" w:rsidP="0052098F">
      <w:pPr>
        <w:pStyle w:val="TextoNormalCentrado"/>
        <w:keepNext/>
      </w:pPr>
      <w:r>
        <w:t>FALLO</w:t>
      </w:r>
    </w:p>
    <w:p w:rsidR="0052098F" w:rsidRDefault="0052098F" w:rsidP="0052098F">
      <w:pPr>
        <w:pStyle w:val="TextoNormalCentrado"/>
        <w:keepNext/>
      </w:pPr>
    </w:p>
    <w:p w:rsidR="0052098F" w:rsidRDefault="0052098F" w:rsidP="0052098F">
      <w:pPr>
        <w:pStyle w:val="TextoNormal"/>
      </w:pPr>
      <w:r>
        <w:t>En atención a todo lo expuesto, el Tribunal Constitucional, POR LA AUTORIDAD QUE LE CONFIERE LA CONSTITUCION DE LA NACION ESPAÑOLA,</w:t>
      </w:r>
    </w:p>
    <w:p w:rsidR="0052098F" w:rsidRDefault="0052098F" w:rsidP="0052098F">
      <w:pPr>
        <w:pStyle w:val="TextoNormal"/>
      </w:pPr>
    </w:p>
    <w:p w:rsidR="0052098F" w:rsidRDefault="0052098F" w:rsidP="0052098F">
      <w:pPr>
        <w:pStyle w:val="TextoNormalCentrado"/>
        <w:keepNext/>
      </w:pPr>
      <w:r>
        <w:t>Ha decidido</w:t>
      </w:r>
    </w:p>
    <w:p w:rsidR="0052098F" w:rsidRDefault="0052098F" w:rsidP="0052098F">
      <w:pPr>
        <w:pStyle w:val="TextoNormalCentrado"/>
        <w:keepNext/>
      </w:pPr>
    </w:p>
    <w:p w:rsidR="0052098F" w:rsidRDefault="0052098F" w:rsidP="0052098F">
      <w:pPr>
        <w:pStyle w:val="TextoNormal"/>
      </w:pPr>
      <w:r>
        <w:t>Estimar la demanda de amparo presentada por doña Alicia Mercedes Fuentes Ambhul y, en consecuencia:</w:t>
      </w:r>
    </w:p>
    <w:p w:rsidR="0052098F" w:rsidRDefault="0052098F" w:rsidP="0052098F">
      <w:pPr>
        <w:pStyle w:val="TextoNormal"/>
      </w:pPr>
      <w:r>
        <w:t>1º Declarar vulnerado el derecho a la tutela judicial efectiva (art. 24.1 CE) de la demandante de amparo.</w:t>
      </w:r>
    </w:p>
    <w:p w:rsidR="0052098F" w:rsidRDefault="0052098F" w:rsidP="0052098F">
      <w:pPr>
        <w:pStyle w:val="TextoNormal"/>
      </w:pPr>
      <w:r>
        <w:t xml:space="preserve">2º Restablecerla en la integridad de su derecho y, a tal fin, con mantenimiento de la situación fáctica del menor concernido, anular los Autos de 11 de enero y 28 de febrero de 2005, así como las resoluciones posteriores pronunciadas por el Juez de Primera Instancia </w:t>
      </w:r>
      <w:r>
        <w:lastRenderedPageBreak/>
        <w:t>núm. 10 de A Coruña en el procedimiento de adopción 766-2002, con retroacción de actuaciones al momento inmediatamente anterior a su dictado con el alcance expuesto en el último fundamento jurídico de esta Sentencia, para que el órgano judicial concluya el proceso con pleno respeto al derecho fundamental vulnerado.</w:t>
      </w:r>
    </w:p>
    <w:p w:rsidR="0052098F" w:rsidRDefault="0052098F" w:rsidP="0052098F">
      <w:pPr>
        <w:pStyle w:val="TextoNormal"/>
      </w:pPr>
    </w:p>
    <w:p w:rsidR="0052098F" w:rsidRDefault="0052098F" w:rsidP="0052098F">
      <w:pPr>
        <w:pStyle w:val="TextoNormal"/>
      </w:pPr>
      <w:r>
        <w:t>Publíquese esta Sentencia en el “Boletín Oficial del Estado”.</w:t>
      </w:r>
    </w:p>
    <w:p w:rsidR="0052098F" w:rsidRDefault="0052098F" w:rsidP="00CF03FA">
      <w:pPr>
        <w:pStyle w:val="TextoNormal"/>
      </w:pPr>
      <w:r>
        <w:t>Dada en Madrid, a veintiocho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52098F">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ParrafoNormal"/>
      </w:pPr>
    </w:p>
    <w:p w:rsidR="00CF03FA" w:rsidRDefault="00CF03FA" w:rsidP="00CF03FA">
      <w:pPr>
        <w:pStyle w:val="CabeceraApartado"/>
      </w:pPr>
      <w:r>
        <w:t>AUTOS</w:t>
      </w:r>
    </w:p>
    <w:p w:rsidR="00CF03FA" w:rsidRDefault="00CF03FA">
      <w:pPr>
        <w:spacing w:after="160" w:line="259" w:lineRule="auto"/>
        <w:rPr>
          <w:rFonts w:ascii="Times New Roman" w:eastAsia="Times New Roman" w:hAnsi="Times New Roman" w:cs="Times New Roman"/>
          <w:sz w:val="48"/>
          <w:szCs w:val="24"/>
          <w:lang w:eastAsia="es-ES"/>
        </w:rPr>
      </w:pPr>
      <w:r>
        <w:br w:type="page"/>
      </w:r>
    </w:p>
    <w:p w:rsidR="00CF03FA" w:rsidRDefault="00CF03FA" w:rsidP="00CF03FA">
      <w:pPr>
        <w:pStyle w:val="TtuloResolucin"/>
      </w:pPr>
      <w:bookmarkStart w:id="62" w:name="AUTO_2008_1"/>
      <w:r>
        <w:lastRenderedPageBreak/>
        <w:t>AUTO 1/2008, de 9 de enero de 2008</w:t>
      </w:r>
    </w:p>
    <w:bookmarkEnd w:id="62"/>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ECLI:ES:TC:2008:1A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y don Manuel Aragón Reyes.</w:t>
      </w:r>
    </w:p>
    <w:p w:rsidR="00CF03FA" w:rsidRDefault="00CF03FA" w:rsidP="00CF03FA">
      <w:pPr>
        <w:pStyle w:val="SntesisDescriptiva"/>
      </w:pPr>
    </w:p>
    <w:p w:rsidR="00CF03FA" w:rsidRDefault="00CF03FA" w:rsidP="00CF03FA">
      <w:pPr>
        <w:pStyle w:val="SntesisDescriptiva"/>
      </w:pPr>
      <w:r>
        <w:t>Acuerda el desistimiento en el recurso de amparo 5640-2005, promovido por Colegio Provincial de Abogados de A Coruña.</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63" w:name="AUTO_2008_2"/>
      <w:r>
        <w:lastRenderedPageBreak/>
        <w:t>AUTO 2/2008, de 9 de enero de 2008</w:t>
      </w:r>
    </w:p>
    <w:bookmarkEnd w:id="63"/>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ECLI:ES:TC:2008:2A</w:t>
      </w:r>
    </w:p>
    <w:p w:rsidR="00CF03FA" w:rsidRDefault="00CF03FA" w:rsidP="00CF03FA">
      <w:pPr>
        <w:pStyle w:val="SntesisDescriptiva"/>
      </w:pPr>
    </w:p>
    <w:p w:rsidR="00CF03FA" w:rsidRDefault="00CF03FA" w:rsidP="00CF03FA">
      <w:pPr>
        <w:pStyle w:val="SntesisDescriptiva"/>
      </w:pPr>
      <w:r>
        <w:t>Excms. Srs. don Guillermo Jiménez Sánchez y don Pascual Sala Sánchez.</w:t>
      </w:r>
    </w:p>
    <w:p w:rsidR="00CF03FA" w:rsidRDefault="00CF03FA" w:rsidP="00CF03FA">
      <w:pPr>
        <w:pStyle w:val="SntesisDescriptiva"/>
      </w:pPr>
    </w:p>
    <w:p w:rsidR="00CF03FA" w:rsidRDefault="00CF03FA" w:rsidP="00CF03FA">
      <w:pPr>
        <w:pStyle w:val="SntesisDescriptiva"/>
      </w:pPr>
      <w:r>
        <w:t>Desestima el recurso de súplica sobre inadmisión del recurso de amparo 7240-2005, promovido por Pronovias, S.A., en litigio por despido.</w:t>
      </w:r>
    </w:p>
    <w:p w:rsidR="00CF03FA" w:rsidRDefault="00CF03FA" w:rsidP="00CF03FA">
      <w:pPr>
        <w:pStyle w:val="SntesisDescriptiva"/>
      </w:pPr>
    </w:p>
    <w:p w:rsidR="00CF03FA" w:rsidRDefault="00CF03FA" w:rsidP="00CF03FA">
      <w:pPr>
        <w:pStyle w:val="SntesisAnaltica"/>
      </w:pPr>
      <w:r>
        <w:t>Despido: carga de la prueba. Recurso de súplica contra providencias de inadmisión del Tribunal Constitucional: desestimación.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presentado en el Registro General de este Tribunal con fecha de 17 de octubre de 2005 el Procurador de los Tribunales don Enrique Sorribes Torra, en nombre y representación de Pronovias, S.A., interpuso recurso de amparo contra el Auto de la Sala de lo Social del Tribunal Supremo, de 29 de junio de 2005, que inadmite el recurso de casación para la unificación de doctrina núm. 1840-2004, interpuesto contra la Sentencia de la Sala de lo Social del Tribunal Superior de Justicia de Madrid, de 18 de noviembre de 2003, que estima el recurso de suplicación interpuesto contra la Sentencia del Juzgado de lo Social núm. 32 de Madrid, de 15 de enero de 2003, en autos sobre despido núm. 713-2002, alegando vulneración del derecho a la tutela judicial efectiva (art.24.1 CE) y del derecho a la utilización de los medios de prueba (art. 24.2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que han dado lugar a la demanda de amparo, sucintamente expuestos, son los siguientes: </w:t>
      </w:r>
    </w:p>
    <w:p w:rsidR="00CF03FA" w:rsidRDefault="00CF03FA" w:rsidP="00CF03FA">
      <w:pPr>
        <w:pStyle w:val="TextoNormal"/>
      </w:pPr>
      <w:r>
        <w:t xml:space="preserve">a) Con fecha de 1 de julio de 2002 la empresa Pronovias, S.A., procedió a comunicar a doña María del Carmen Sampé Carrasco su despido disciplinario por transgresión de la buena fe contractual por competencia desleal, dados los reiterados contactos que había mantenido con otra empresa de la competencia (Grupo Exponovias), que venía captando personal de ella. </w:t>
      </w:r>
    </w:p>
    <w:p w:rsidR="00CF03FA" w:rsidRDefault="00CF03FA" w:rsidP="00CF03FA">
      <w:pPr>
        <w:pStyle w:val="TextoNormal"/>
      </w:pPr>
      <w:r>
        <w:t xml:space="preserve">b) Frente a la decisión extintiva de la empresa la trabajadora formuló demanda por despido, la cual dio lugar a los autos núm. 713-2002 seguidos ante el Juzgado de lo Social núm. 32 de Madrid, fijándose como fecha de celebración del juicio el día 17 de octubre de 2002. </w:t>
      </w:r>
    </w:p>
    <w:p w:rsidR="00CF03FA" w:rsidRDefault="00CF03FA" w:rsidP="00CF03FA">
      <w:pPr>
        <w:pStyle w:val="TextoNormal"/>
      </w:pPr>
      <w:r>
        <w:t xml:space="preserve">c) Con fecha de 5 de septiembre de 2002 Pronovias, S.A., presentó un escrito ante el Juzgado de lo Social en el que, al amparo del art. 90.2 LPL y con el objeto de probar la transgresión de la buena fe contractual imputada a la actora, solicitó que se llevaran a cabo las diligencias siguientes: 1º) Que se oficiase a Telefónica de España y Telefónica Móviles, S.A., para que informasen si los tres números que se indicaban pertenecían a Exponovias, S.L., o Grupo Exponovias, a doña Rosa María Clará Pallarés y a don Francisco Carmona Carrasquer. 2º) Que se requiriese a las citadas entidades para que informaran del desglose </w:t>
      </w:r>
      <w:r>
        <w:lastRenderedPageBreak/>
        <w:t xml:space="preserve">de todas aquellas conversaciones telefónicas mantenidas, durante el periodo noviembre 2001 a junio 2002, entre los tres números reseñados y dos números de teléfono (el número de teléfono móvil que la empresa Pronovias, S.A., había entregado a doña María Carmen Sampé para el desarrollo de sus laborales profesionales y el número de teléfono del domicilio particular de la mencionada trabajadora, del que aparecía como titular su marido, don Moisés González Castro). 3º) Y, finalmente, que se solicitara al INSS que aportase las “vidas laborales” de trece trabajadores que habían prestado servicios para la empresa recurrente en amparo, con el objeto de acreditar la actuación del Grupo Exponovias dirigida a la captación de personal del Grupo Pronovias. </w:t>
      </w:r>
    </w:p>
    <w:p w:rsidR="00CF03FA" w:rsidRDefault="00CF03FA" w:rsidP="00CF03FA">
      <w:pPr>
        <w:pStyle w:val="TextoNormal"/>
      </w:pPr>
      <w:r>
        <w:t xml:space="preserve">d) Por medio de Auto del Juzgado de lo Social núm. 32 de Madrid, de 28 de septiembre de 2002, se declara la pertinencia de la prueba documental solicitada en primer lugar. Respecto de la solicitada en segundo lugar se señala que no había lugar a acordarla en la forma pedida. Y se rechaza la pedida en último lugar por no ser parte en el procedimiento las personas indicadas. </w:t>
      </w:r>
    </w:p>
    <w:p w:rsidR="00CF03FA" w:rsidRDefault="00CF03FA" w:rsidP="00CF03FA">
      <w:pPr>
        <w:pStyle w:val="TextoNormal"/>
      </w:pPr>
      <w:r>
        <w:t xml:space="preserve">e) Con fecha de 17 de octubre de 2002 la empresa Pronovias, S.A., presentó contra el referido Auto recurso de reposición, que fue desestimado por Auto de 21 de noviembre de 2002. En él se precisa que la empresa demandada solicitaba que se oficiara a Telefónica de España, S.A., y a Telefónica Móviles, S.A., para que informasen de todas las llamadas habidas entre el teléfono móvil de la actora, el de su marido y el de dos personas y una empresa que no eran parte en el procedimiento de despido, y que tal prueba se había denegado haciendo constar que no era correcta la forma pedida, por cuanto se solicitaba genéricamente por un determinado período cuando en la carta de despido se especificaban únicamente unos determinados días de ese período y no se aludía al teléfono del Sr. Moisés (marido de la actora), ni se especificaba en la carta de despido en qué fecha hubo llamada del Sr. Carmona. Se prosigue diciendo, con relación a uno de los números cuyo control de llamadas se solicitaba, que se trataba de un teléfono móvil de propiedad de esa parte, por lo que la prueba sobre las llamadas efectuadas y recibidas en ese número podía ser aportada por ella. Por lo que a la petición relativa a la vidas laborales se refiere, se señala que se trataba de terceros ajenos al pleito. </w:t>
      </w:r>
    </w:p>
    <w:p w:rsidR="00CF03FA" w:rsidRDefault="00CF03FA" w:rsidP="00CF03FA">
      <w:pPr>
        <w:pStyle w:val="TextoNormal"/>
      </w:pPr>
      <w:r>
        <w:t xml:space="preserve">f) La demanda de despido fue desestimada por Sentencia del Juzgado de lo Social núm. 32 de Madrid, de 15 de enero de 2003, al considerar que había existido por parte de la actora una transgresión de la buena fe contractual y abuso de confianza al considerar acreditado que había mantenido contactos con la empresa de la competencia. </w:t>
      </w:r>
    </w:p>
    <w:p w:rsidR="00CF03FA" w:rsidRDefault="00CF03FA" w:rsidP="00CF03FA">
      <w:pPr>
        <w:pStyle w:val="TextoNormal"/>
      </w:pPr>
      <w:r>
        <w:t xml:space="preserve">g) Frente a la anterior resolución judicial se formuló recurso de suplicación por la parte actora, que fue impugnado por la empresa ahora recurrente en amparo. El recurso fue estimado por Sentencia de la Sala de lo Social del Tribunal Superior de Justicia de Madrid, de 18 de noviembre de 2003, al estimar que los hechos imputados en la carta de despido no eran encuadrables en un supuesto de transgresión de la buena fe contractual ni tenían entidad suficiente para justificar la sanción de despido. Y en este sentido se señala que no se podía decir que la sospechosa actuación de la actora respondiese a un móvil de competencia desleal, y a este respecto se añade que eran múltiples los motivos que podían provocar la reunión de la actora con un antiguo compañero de trabajo, y que correspondía al empresario probar, sin lugar a duda alguna, la actuación concreta de competencia desleal. Y en el presente caso no existía prueba directa de esa conducta como real y actualizada. </w:t>
      </w:r>
    </w:p>
    <w:p w:rsidR="00CF03FA" w:rsidRDefault="00CF03FA" w:rsidP="00CF03FA">
      <w:pPr>
        <w:pStyle w:val="TextoNormal"/>
      </w:pPr>
      <w:r>
        <w:t xml:space="preserve">h) Contra la anterior Sentencia la empresa Pronovias, S.A., formuló recurso de casación para la unificación de doctrina con la pretensión de que el despido fuese declarado procedente. El recurso fue inadmitido por Auto de la Sala de lo Social del Tribunal Supremo, de </w:t>
      </w:r>
      <w:r>
        <w:lastRenderedPageBreak/>
        <w:t>29 de junio de 2005, por falta de exposición en el escrito de preparación del recurso del núcleo de la contradicción y por falta de contradicción.</w:t>
      </w:r>
    </w:p>
    <w:p w:rsidR="00CF03FA" w:rsidRDefault="00CF03FA" w:rsidP="00CF03FA">
      <w:pPr>
        <w:pStyle w:val="TextoNormal"/>
      </w:pPr>
    </w:p>
    <w:p w:rsidR="00CF03FA" w:rsidRDefault="00CF03FA" w:rsidP="00CF03FA">
      <w:pPr>
        <w:pStyle w:val="TextoNormal"/>
      </w:pPr>
      <w:r w:rsidRPr="00CF03FA">
        <w:rPr>
          <w:rStyle w:val="NumeroAFNegritaCaracter"/>
        </w:rPr>
        <w:t>3</w:t>
      </w:r>
      <w:r>
        <w:t>. En su demanda de amparo la empresa recurrente solicita que se declare que las resoluciones judiciales recurridas vulneran el derecho a la tutela judicial efectiva (art. 24.1 CE) y el derecho a la utilización de los medios de prueba (art. 24.2 CE), por no haber acordado el Juzgado de lo Social la práctica de parte de la prueba solicitada por esa parte en su escrito de 5 de septiembre de 2002 (la solicitada en segundo lugar, y numerada como 2.2), que, a su juicio, resultaba de capital importancia, por cuanto la Sentencia del Tribunal Superior de Justicia posteriormente revocaría la de instancia al entender que no existían suficientes acreditaciones de la irregular conducta de la actora. Aduce, en este sentido, que se trataba de una prueba pertinente, dada su total vinculación con el tema que se juzgaba, y que con ella se trataba de acreditar la trangresión de la buena fe contractual de la trabajadora despedida mediante la prueba de sus reiterados contactos con un grupo empresarial de la competencia y con personal directivo que prestaba en él sus servicios. Señala que las resoluciones judiciales impugnadas no han motivado suficientemente la inadmisión de la prueba solicitada, ya que carecen de base legal, y que la inadmisión de la prueba ha causado a esa parte una indefensión material, pues podría haber aportado más elementos de valoración de la conducta llevada a cabo por la actora. Finalmente se solicita en el recurso de amparo que se oficie a Telefónica de España, S.A., y a Telefónica Móviles, S.A., para que conserven en sus archivos la relación de llamadas telefónicas que se detallan en los apartados 2.1 y 2.2. del escrito que presentó ante el Juzgado de lo Social núm. 35 de Madrid, con fecha de 5 de septiembre de 2002, con el objeto de que no se destruya mientras se tramita el recurso de amparo.</w:t>
      </w:r>
    </w:p>
    <w:p w:rsidR="00CF03FA" w:rsidRDefault="00CF03FA" w:rsidP="00CF03FA">
      <w:pPr>
        <w:pStyle w:val="TextoNormal"/>
      </w:pPr>
    </w:p>
    <w:p w:rsidR="00CF03FA" w:rsidRDefault="00CF03FA" w:rsidP="00CF03FA">
      <w:pPr>
        <w:pStyle w:val="TextoNormal"/>
      </w:pPr>
      <w:r w:rsidRPr="00CF03FA">
        <w:rPr>
          <w:rStyle w:val="NumeroAFNegritaCaracter"/>
        </w:rPr>
        <w:t>4</w:t>
      </w:r>
      <w:r>
        <w:t>. La Sección Tercera, por providencia de fecha 12 de marzo de 2007, acordó la inadmisión del recurso de amparo, conforme al art. 50.1 a) en relación con el art. 44.2 LOTC, al no haber interpuesto el recurrente recurso contra el Auto del Juzgado que decidió sobre la inadmisión de las pruebas propuestas así como por no haber denunciado la indefensión a través del escrito de impugnación del recurso de suplicación.</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Por escrito de fecha de 27 de marzo de 2007 el Ministerio Fiscal interpone contra la anterior providencia de inadmisión recurso de súplica, solicitando que se deje sin efecto y que se resuelva la admisión a trámite, ya que, de una parte, el hipotético recurso de amparo frente al Auto de denegación de la prueba estaría condenado al fracaso, al tratarse de una resolución interlocutoria, y de otra parte, entiende de aplicación al caso la doctrina del FJ 4 de la STC 292/2006. En el caso enjuiciado en la mencionada Sentencia el actor reclamó de su empresa el abono de una comisión, instando a tal fin la práctica de la prueba de exhibición de libros de la empresa demandada, para así demostrar que se había realizado el negocio u operación de la que dependía el cobro de su comisión. El Juzgado inadmitió la prueba propuesta y estimó la demanda a través de la prueba de presunciones, considerando que era a la empresa a la que correspondía acreditar la ausencia del buen fin de la operación. Dado que la Sentencia de instancia fue favorable al actor no la recurrió en suplicación, siendo únicamente cuestionada por la empresa demandada. Y, resolviendo el mencionado recurso en los términos planteados por el recurrente, la Sala revisó el criterio del Juzgado, estimando no debidamente probados los hechos por considerar que la carga de la prueba pesaba sobre </w:t>
      </w:r>
      <w:r>
        <w:lastRenderedPageBreak/>
        <w:t>el demandante, y convirtiendo, de este modo, en constitucionalmente relevante la falta de práctica de la prueba propuesta.</w:t>
      </w:r>
    </w:p>
    <w:p w:rsidR="00CF03FA" w:rsidRDefault="00CF03FA" w:rsidP="00CF03FA">
      <w:pPr>
        <w:pStyle w:val="TextoNormal"/>
      </w:pPr>
    </w:p>
    <w:p w:rsidR="00CF03FA" w:rsidRDefault="00CF03FA" w:rsidP="00CF03FA">
      <w:pPr>
        <w:pStyle w:val="TextoNormal"/>
      </w:pPr>
      <w:r w:rsidRPr="00CF03FA">
        <w:rPr>
          <w:rStyle w:val="NumeroAFNegritaCaracter"/>
        </w:rPr>
        <w:t>6</w:t>
      </w:r>
      <w:r>
        <w:t>. Por diligencia de ordenación de 30 de marzo de 2007 se tiene por recibido el recurso de súplica del Ministerio Fiscal formulando contra la providencia de fecha de 12 de marzo de 2007, y, en virtud de lo establecido en el art. 93.2 LOTC, se da traslado del mismo a la recurrente en amparo para que, en el plazo de tres días, formule las alegaciones que estime procedentes en relación con él.</w:t>
      </w:r>
    </w:p>
    <w:p w:rsidR="00CF03FA" w:rsidRDefault="00CF03FA" w:rsidP="00CF03FA">
      <w:pPr>
        <w:pStyle w:val="TextoNormal"/>
      </w:pPr>
    </w:p>
    <w:p w:rsidR="00CF03FA" w:rsidRDefault="00CF03FA" w:rsidP="00CF03FA">
      <w:pPr>
        <w:pStyle w:val="TextoNormal"/>
      </w:pPr>
      <w:r w:rsidRPr="00CF03FA">
        <w:rPr>
          <w:rStyle w:val="NumeroAFNegritaCaracter"/>
        </w:rPr>
        <w:t>7</w:t>
      </w:r>
      <w:r>
        <w:t>. Por escrito de fecha 24 de abril de 2007 la recurrente en amparo evacúa el traslado conferido y se adhiere al escrito del Ministerio Fiscal, interesando que se deje sin efecto la providencia de inadmisión de 12 de marzo de 2007.</w:t>
      </w:r>
    </w:p>
    <w:p w:rsidR="00CF03FA" w:rsidRDefault="00CF03FA" w:rsidP="00CF03FA">
      <w:pPr>
        <w:pStyle w:val="TextoNormal"/>
      </w:pPr>
    </w:p>
    <w:p w:rsidR="00CF03FA" w:rsidRDefault="00CF03FA" w:rsidP="00CF03FA">
      <w:pPr>
        <w:pStyle w:val="TextoNormal"/>
      </w:pPr>
      <w:r w:rsidRPr="00CF03FA">
        <w:rPr>
          <w:rStyle w:val="NumeroAFNegritaCaracter"/>
        </w:rPr>
        <w:t>8</w:t>
      </w:r>
      <w:r>
        <w:t>. Por Auto de 8 de octubre de 2007, de la Sala Segunda, se estimó el recurso de súplica por el primero de los motivos esgrimidos por el Fiscal (al no ser exigible la interposición del recurso de amparo contra el Auto denegatorio de la prueba, al tratarse de una resolución interlocutoria que no había puesto fin al proceso laboral en curso), no resultando preciso, en consecuencia, examinar el segundo de los motivos expuestos.</w:t>
      </w:r>
    </w:p>
    <w:p w:rsidR="00CF03FA" w:rsidRDefault="00CF03FA" w:rsidP="00CF03FA">
      <w:pPr>
        <w:pStyle w:val="TextoNormal"/>
      </w:pPr>
    </w:p>
    <w:p w:rsidR="00CF03FA" w:rsidRDefault="00CF03FA" w:rsidP="00CF03FA">
      <w:pPr>
        <w:pStyle w:val="TextoNormal"/>
      </w:pPr>
      <w:r w:rsidRPr="00CF03FA">
        <w:rPr>
          <w:rStyle w:val="NumeroAFNegritaCaracter"/>
        </w:rPr>
        <w:t>9</w:t>
      </w:r>
      <w:r>
        <w:t>. Por providencia de la Sala Segunda de 11 de octubre de 2007 se acordó la inadmisión del recurso de amparo, conforme al art. 50.1 c LOTC, al carecer la pretensión manifiestamente de contenido que justifique una decisión sobre el fondo por parte de este Tribunal.</w:t>
      </w:r>
    </w:p>
    <w:p w:rsidR="00CF03FA" w:rsidRDefault="00CF03FA" w:rsidP="00CF03FA">
      <w:pPr>
        <w:pStyle w:val="TextoNormal"/>
      </w:pPr>
    </w:p>
    <w:p w:rsidR="00CF03FA" w:rsidRDefault="00CF03FA" w:rsidP="00CF03FA">
      <w:pPr>
        <w:pStyle w:val="TextoNormal"/>
      </w:pPr>
      <w:r w:rsidRPr="00CF03FA">
        <w:rPr>
          <w:rStyle w:val="NumeroAFNegritaCaracter"/>
        </w:rPr>
        <w:t>10</w:t>
      </w:r>
      <w:r>
        <w:t>. Por escrito de 7 de noviembre de 2007, el Fiscal formula recurso de súplica contra esa providencia de inadmisión, en base a los mismos fundamentos que se hicieron valer con respecto al segundo extremos referido en su inicial recurso de súplica, que los da por reproducidos en aras de la economía procesal. En consecuencia, interesa que se deje sin efecto la providencia recurrida resolviéndose la admisión a trámite de la demanda.</w:t>
      </w:r>
    </w:p>
    <w:p w:rsidR="00CF03FA" w:rsidRDefault="00CF03FA" w:rsidP="00CF03FA">
      <w:pPr>
        <w:pStyle w:val="TextoNormal"/>
      </w:pPr>
    </w:p>
    <w:p w:rsidR="00CF03FA" w:rsidRDefault="00CF03FA" w:rsidP="00CF03FA">
      <w:pPr>
        <w:pStyle w:val="TextoNormal"/>
      </w:pPr>
      <w:r w:rsidRPr="00CF03FA">
        <w:rPr>
          <w:rStyle w:val="NumeroAFNegritaCaracter"/>
        </w:rPr>
        <w:t>11</w:t>
      </w:r>
      <w:r>
        <w:t>. Por diligencia de ordenación de 19 de noviembre de 2007 se acuerda unir a las actuaciones el escrito presentado por el Ministerio Fiscal y, a tenor de lo establecido en el art. 93.2 LOTC, conceder un plazo cómun de tres días a fin de que las partes aleguen lo que estimen pertinente.</w:t>
      </w:r>
    </w:p>
    <w:p w:rsidR="00CF03FA" w:rsidRDefault="00CF03FA" w:rsidP="00CF03FA">
      <w:pPr>
        <w:pStyle w:val="TextoNormal"/>
      </w:pPr>
    </w:p>
    <w:p w:rsidR="00CF03FA" w:rsidRDefault="00CF03FA" w:rsidP="00CF03FA">
      <w:pPr>
        <w:pStyle w:val="TextoNormal"/>
      </w:pPr>
      <w:r w:rsidRPr="00CF03FA">
        <w:rPr>
          <w:rStyle w:val="NumeroAFNegritaCaracter"/>
        </w:rPr>
        <w:t>12</w:t>
      </w:r>
      <w:r>
        <w:t>. Con fecha de 4 de diciembre de 2007 la recurrente en amparo evacúa el traslado conferido y se adhiere al escrito del Ministerio Fiscal, interesando que se deje sin efecto la providencia de inadmisión.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Ministerio Fiscal interpone recurso de súplica contra la providencia de 11 de octubre de 2007, que inadmite a trámite, conforme al art. 50.1 c) LOTC, el recurso de amparo núm. 7240-2005, interesando su admisión en aplicación de la doctrina mantenida en la STC 292/2006, de 10 de octubre.</w:t>
      </w:r>
    </w:p>
    <w:p w:rsidR="00CF03FA" w:rsidRDefault="00CF03FA" w:rsidP="00CF03FA">
      <w:pPr>
        <w:pStyle w:val="TextoNormal"/>
      </w:pPr>
      <w:r>
        <w:lastRenderedPageBreak/>
        <w:t>Como ha quedado expuesto en los antecedentes la empresa recurrente en amparo sostiene que se ha vulnerado en él el derecho a la tutela judicial efectiva (art. 24.1 CE) y el derecho a la utilización de los medios de prueba (art. 24.2 CE) al no haberse admitido en la instancia parte de la prueba que propuso en el proceso de despido en el que actuaba como parte demandada, a saber, el desglose de las llamadas telefónicas habidas durante un determinado periodo temporal (de noviembre de 2001 a junio de 2002) entre el teléfono móvil de la actora, el de su marido y los de dos personas físicas y dos empresas, a través de la cual pretendía demostrar que la trabajadora despedida había realizado actos de competencia desleal. El órgano judicial declaró no haber lugar a la prueba propuesta, que afectaba a personas y empresas ajenas al procedimiento, por considerar que no era correcta la forma en que se pedía, ya que se solicitaba genéricamente por un periodo no coincidente con los días especificados en la carta de despido (esto es, mucho más amplio) y con relación a teléfonos de personas no mencionadas en la misiva. Además uno de los números respecto de los que se interesaba el desglose de llamadas pertenecía a la parte demandada, al tratarse del móvil que, por motivos de trabajo, había proporcionado a la actora, de tal modo que, siendo su titular, la empresa podía aportar ella misma la información interesada. En la demanda de amparo la empresa recurrente denuncia la vulneración del art. 24.1 y 2 CE alegando que la prueba en cuestión resultaba pertinente y que fue inadmitida por el Juzgado sin la suficiente motivación y sin base legal.</w:t>
      </w:r>
    </w:p>
    <w:p w:rsidR="00CF03FA" w:rsidRDefault="00CF03FA" w:rsidP="00CF03FA">
      <w:pPr>
        <w:pStyle w:val="TextoNormal"/>
      </w:pPr>
    </w:p>
    <w:p w:rsidR="00CF03FA" w:rsidRDefault="00CF03FA" w:rsidP="00CF03FA">
      <w:pPr>
        <w:pStyle w:val="TextoNormal"/>
      </w:pPr>
      <w:r w:rsidRPr="00CF03FA">
        <w:rPr>
          <w:rStyle w:val="NumeroAFNegritaCaracter"/>
        </w:rPr>
        <w:t>2</w:t>
      </w:r>
      <w:r>
        <w:t>. Tales quejas resultan inadmisibles por carencia de contenido, conforme hemos declarado en la providencia que se impugna por el Fiscal. Conforme reiterada doctrina de este Tribunal la decisión sobre la existencia, la pertinencia y la valoración de las pruebas es una cuestión de legalidad ordinaria, por lo que nada debe decir este Tribunal acerca de la conclusión alcanzada por los Tribunales en el ejercicio de sus funciones siempre que esté razonada dicha conclusión y se trate de resoluciones fundadas en Derecho y no arbitrarias (por todas, SSTC 141/2001, de 18 de junio, FJ 4; 244/2005, de 10 de octubre, FJ 5, y 136/2007, de 4 de junio, FJ 2). Ninguna de estas circunstancias concurre en el presente caso, ya que el Juzgado expone, de forma suficientemente razonada y de modo razonable, los motivos por los que no admite parte de la prueba propuesta por la empresa demandada, al considerar que por el modo de proponerse no podían contribuir a esclarecer los hechos discutidos, no guardaba relación con el objeto del proceso y resultaba innecesaria, porque la parte que la interesaba podía aportarla por sí misma. En definitiva, el Juzgado acordó la impertinencia o inutilidad de parte de la actividad probatoria solicitada en aplicación razonada y razonable de lo dispuesto en el art. 283 de la Ley de enjuiciamiento civil (LEC).</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Por otro lado tampoco resulta admisible la demanda de amparo en aplicación de la doctrina mantenida en la STC 292/2006, de 10 de octubre, resolución en la que el Fiscal basa su recurso de súplica. En aquél caso el objeto del litigio lo constituyó la reclamación por parte del trabajador de unos pretendidos adeudos salariales que se derivaban fundamentalmente de las comisiones obtenidas como consecuencia de una operación de venta de maquinaria realizada por la empresa demandada, en cuyos resultados tenía derecho a participar el trabajador en un determinado porcentaje de acuerdo con lo pactado. No habiendo recibido la comisión pactada la reclamó judicialmente, oponiéndose la empresa sobre la base de que la operación en cuestión no había llegado a buen fin. En la instancia se denegó la solicitud de prueba anticipada formulada por la actora, consistente en que la demandada exhibiese los libros de contabilidad a fin de constatar la realización de la operación que generaba la comisión. La demanda fue estimada en la instancia, pero fue desestimada en suplicación, </w:t>
      </w:r>
      <w:r>
        <w:lastRenderedPageBreak/>
        <w:t>por entender la Sala que no había quedado acreditado el buen fin de la operación comercial de la que traía causa la comisión reclamada en la instancia. En aquél caso, por lo tanto, el recurrente vio desestimada en suplicación su reclamación salarial por no haber acreditado el cobro por la empresa demandada de la comisión que habría dado origen a la misma, siendo así que la prueba propuesta por el demandante para acreditar dicho cobro fue denegada, de manera inmotivada, por el Juzgado de lo Social, resultando patente la indefensión ocasionada por una resolución judicial que desestimó la pretensión del actor con el argumento de no haber quedado probado lo que precisamente se pretendía acreditar con la prueba no practicada. Las circunstancias concurrentes en el caso de autos son, sin embargo, sustancialmente diversas, tanto por el contenido de la prueba solicitada, su relación con el objeto del proceso y, sobre todo, por la motivación utilizada por el órgano judicial para declarar su impertinencia o inutilidad, motivación de la que, como ha quedado dicho, carecía en términos constitucionalmente adecuados la resolución adoptada en el caso enjuiciado en la STC 292/2006.</w:t>
      </w:r>
    </w:p>
    <w:p w:rsidR="00CF03FA" w:rsidRDefault="00CF03FA" w:rsidP="00CF03FA">
      <w:pPr>
        <w:pStyle w:val="TextoNormal"/>
      </w:pPr>
      <w:r>
        <w:t>Finalmente, lo mantenido por este Tribunal en el fundamento jurídico 4 de la comentada Sentencia, que contempla la problemática que surge en aquellos casos en los que la indefensión se causa por un órgano judicial distinto al que denegó la práctica de la prueba solicitada, en absoluto empece la decisión de inadmisión impugnada por el Fiscal, pues ésta se ha adoptado por motivos de fondo y no de forma. En cualquier caso es evidente que el comportamiento procesal de los recurrentes en ambos casos tampoco admite parangón, ya que en el supuesto enjuiciado en la STC 292/2006 el recurrente denunció la indefensión que le había provocado la denegación de la prueba en sede de suplicación a través del escrito de impugnación, circunstancia que no ha concurrido en el caso de autos.</w:t>
      </w:r>
    </w:p>
    <w:p w:rsidR="00CF03FA" w:rsidRDefault="00CF03FA" w:rsidP="00CF03FA">
      <w:pPr>
        <w:pStyle w:val="TextoNormal"/>
      </w:pPr>
    </w:p>
    <w:p w:rsidR="00CF03FA" w:rsidRDefault="00CF03FA" w:rsidP="00CF03FA">
      <w:pPr>
        <w:pStyle w:val="TextoNormal"/>
      </w:pPr>
      <w:r>
        <w:t>Por todo lo cual,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Desestimar el recurso de súplica interpuesto por el Ministerio Fiscal y, en consecuencia, confirmar en su integridad la providencia de 11 de octubre de 2007.</w:t>
      </w:r>
    </w:p>
    <w:p w:rsidR="00CF03FA" w:rsidRDefault="00CF03FA" w:rsidP="00CF03FA">
      <w:pPr>
        <w:pStyle w:val="TextoNormal"/>
      </w:pPr>
    </w:p>
    <w:p w:rsidR="00CF03FA" w:rsidRDefault="00CF03FA" w:rsidP="00CF03FA">
      <w:pPr>
        <w:pStyle w:val="TextoNormal"/>
      </w:pPr>
      <w:r>
        <w:t>Madrid, a nueve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64" w:name="AUTO_2008_3"/>
      <w:r>
        <w:lastRenderedPageBreak/>
        <w:t>AUTO 3/2008, de 9 de enero de 2008</w:t>
      </w:r>
    </w:p>
    <w:bookmarkEnd w:id="64"/>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ECLI:ES:TC:2008:3A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y don Manuel Aragón Reyes.</w:t>
      </w:r>
    </w:p>
    <w:p w:rsidR="00CF03FA" w:rsidRDefault="00CF03FA" w:rsidP="00CF03FA">
      <w:pPr>
        <w:pStyle w:val="SntesisDescriptiva"/>
      </w:pPr>
    </w:p>
    <w:p w:rsidR="00CF03FA" w:rsidRDefault="00CF03FA" w:rsidP="00CF03FA">
      <w:pPr>
        <w:pStyle w:val="SntesisDescriptiva"/>
      </w:pPr>
      <w:r>
        <w:t>Acuerda el desistimiento en el recurso de amparo 1729-2006, promovido por Holcim Hormigones, S.A.</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65" w:name="AUTO_2008_4"/>
      <w:r>
        <w:lastRenderedPageBreak/>
        <w:t>AUTO 4/2008, de 9 de enero de 2008</w:t>
      </w:r>
    </w:p>
    <w:bookmarkEnd w:id="65"/>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ECLI:ES:TC:2008:4A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y don Manuel Aragón Reyes.</w:t>
      </w:r>
    </w:p>
    <w:p w:rsidR="00CF03FA" w:rsidRDefault="00CF03FA" w:rsidP="00CF03FA">
      <w:pPr>
        <w:pStyle w:val="SntesisDescriptiva"/>
      </w:pPr>
    </w:p>
    <w:p w:rsidR="00CF03FA" w:rsidRDefault="00CF03FA" w:rsidP="00CF03FA">
      <w:pPr>
        <w:pStyle w:val="SntesisDescriptiva"/>
      </w:pPr>
      <w:r>
        <w:t>Inadmite a trámite el recurso de amparo 2989-2007, promovido por don Iñaki de Juana Chaos en causa por delitos de amenazas y enaltecimiento del terrorismo.</w:t>
      </w:r>
    </w:p>
    <w:p w:rsidR="00CF03FA" w:rsidRDefault="00CF03FA" w:rsidP="00CF03FA">
      <w:pPr>
        <w:pStyle w:val="SntesisDescriptiva"/>
      </w:pPr>
    </w:p>
    <w:p w:rsidR="00CF03FA" w:rsidRDefault="00CF03FA" w:rsidP="00CF03FA">
      <w:pPr>
        <w:pStyle w:val="SntesisAnaltica"/>
      </w:pPr>
      <w:r>
        <w:t>Delitos: amenazas; enaltecimiento del terrorismo. Inadmisión de recurso de amparo: carencia de contenido que justifique una decisión sobre el fondo del asunto. Libertad de expresión: alcance; límites.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día 2 de abril de 2007, la Procuradora de los Tribunales doña Mercedes Ruiz-Gopegui González interpone recurso de amparo en nombre de don Iñaki de Juana Chaos contra la Sentencia de la Sala de lo Penal del Tribunal Supremo 149/2007, de 26 de febrero, condenatoria por delitos de amenazas y de enaltecimiento del terrorismo.</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relevantes para el examen de la pretensión de amparo son, sucintamente relatados, los siguientes: </w:t>
      </w:r>
    </w:p>
    <w:p w:rsidR="00CF03FA" w:rsidRDefault="00CF03FA" w:rsidP="00CF03FA">
      <w:pPr>
        <w:pStyle w:val="TextoNormal"/>
      </w:pPr>
      <w:r>
        <w:t xml:space="preserve">a) El fallo de la Sentencia de la Sección Primera de la Sala de lo Penal de la Audiencia Nacional 60/2006, de 8 de noviembre, condenó al ahora recurrente de amparo a las penas de doce años y siete meses de prisión y de veinte años de inhabilitación absoluta por la autoría de un delito de amenazas terroristas. La condena incluía una indemnización de un total de 72.000 euros a las personas amenazadas. El relato de hechos probados contiene la transcripción de dos cartas del acusado publicadas en el diario Gara bajo los títulos “El Escudo” y “Gallizo”. </w:t>
      </w:r>
    </w:p>
    <w:p w:rsidR="00CF03FA" w:rsidRDefault="00CF03FA" w:rsidP="00CF03FA">
      <w:pPr>
        <w:pStyle w:val="TextoNormal"/>
      </w:pPr>
      <w:r>
        <w:t>b) La Sentencia de la Sala de lo Penal del Tribunal Supremo 149/2007, de 26 de febrero, acoge parcialmente el recurso de casación del condenado, anula la Sentencia impugnada y dicta otra en la que condena al acusado a tres años de prisión por la comisión de un delito de amenazas no condicionales a grupos de personas en concurso ideal con otro de enaltecimiento del terrorismo, y le absuelve de los delitos de integración en organización terrorista y de amenazas terroristas.</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lo que atañe a la presente demanda de amparo deben reseñarse los siguientes aspectos de la fundamentación de la Sentencia: </w:t>
      </w:r>
    </w:p>
    <w:p w:rsidR="00CF03FA" w:rsidRDefault="00CF03FA" w:rsidP="00CF03FA">
      <w:pPr>
        <w:pStyle w:val="TextoNormal"/>
      </w:pPr>
      <w:r>
        <w:t xml:space="preserve">a) La Sentencia justifica su rechazo del motivo atinente a la vulneración del derecho a ser informado de la acusación (art. 24.2 CE) en que el objeto de acusación no podía ser más </w:t>
      </w:r>
      <w:r>
        <w:lastRenderedPageBreak/>
        <w:t xml:space="preserve">claro: “son los dos referidos artículos periodísticos cuya autoría corresponde al acusado” (FJ 2). </w:t>
      </w:r>
    </w:p>
    <w:p w:rsidR="00CF03FA" w:rsidRDefault="00CF03FA" w:rsidP="00CF03FA">
      <w:pPr>
        <w:pStyle w:val="TextoNormal"/>
      </w:pPr>
      <w:r>
        <w:t xml:space="preserve">b) Aprecia que las amenazas tipificadas en el art. 170.1 CP se encuentran en el párrafo final del escrito titulado “El Escudo”: “Hace años le escuché a un muy apreciado compañero chillar con fuerza ‘Sacad vuestras manos sucias de Euskal Herria’. ¡Sí, sacadlas, porque otro camino sólo implica más sufrimiento! O el futuro terminará demostrando, sin duda que os quedasteis sin ellas”. Tras reseñar que la última frase fue añadida por el procesado “personalmente”, entiende que las palabras transcritas contienen “unas amenazas de males graves constitutivos de delito expresados con la metáfora de quedarse sin manos”, dirigidas a los “colectivos expresados párrafos antes … cuando dice: ‘jueces prevaricadores, políticos corruptos, profesionales de la tortura, carceleros sin escrúpulos’”. Se trata, “por su propio contenido y contundencia, realmente estremecedora,” de “unos términos que hay que calificar de amenaza grave e idónea para atemorizar a esos colectivos, en la parte que tienen relación con el País Vasco o con los órganos penales de la Audiencia Nacional o con las prisiones donde se hallan o se han hallado reclusos los presos por su participación o colaboración con ETA” (FJ 4). </w:t>
      </w:r>
    </w:p>
    <w:p w:rsidR="00CF03FA" w:rsidRDefault="00CF03FA" w:rsidP="00CF03FA">
      <w:pPr>
        <w:pStyle w:val="TextoNormal"/>
      </w:pPr>
      <w:r>
        <w:t xml:space="preserve">c) El contenido del escrito “habla repetidamente en tono de alabanza de los de más (sic) de 700 presos compañeros y compañeras con miles de años de cárcel cumplidos y por cumplir, de quienes se pone de manifiesto su buen comportamiento por resistirse a la resocialización que con ellos se pretende en el interior de las prisiones. Se pregunta el autor del primero de los dos escritos por qué el éxito de tal actitud de resistencia. Y se contesta diciendo que es porque tienen el escudo de la razón. Es decir, se está expresando que tienen razón estos presos al haber cometido sus crímenes, lo que constituye una justificación respecto de aquellas conductas por las que fueron condenados quienes han estado o están en prisión por los delitos de ETA. Se habla de que estos presos se hallan secuestrados por un sistema autoritario. Se está en definitiva diciendo que por esos hechos se encuentran injustamente privados de libertad. Entendemos que esto constituye, por un lado, un ensalzar a los presos etarras y, por otro, una justificación de los crímenes por los cuales estos presos han sido condenados: precisamente las dos conductas que constituyen, una u otra, el núcleo de esta clase de delito del artículo 578” (FJ 5). </w:t>
      </w:r>
    </w:p>
    <w:p w:rsidR="00CF03FA" w:rsidRDefault="00CF03FA" w:rsidP="00CF03FA">
      <w:pPr>
        <w:pStyle w:val="TextoNormal"/>
      </w:pPr>
      <w:r>
        <w:t>d) Las amenazas reseñadas y la loa del terrorismo y sus autores suponen una extralimitación en el ejercicio de la libertad de expresión en el ámbito de la crítica política (FJ 10).</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La demanda pretende la anulación de la Sentencia condenatoria recurrida. La razón en la que se sustenta esta petición es la vulneración de los derechos del recurrente a las libertades de expresión e información [arts. 20.1 a) y d) CE], a la legalidad penal (art. 25.1 CE) y a ser informado de la acusación (art. 24.2 CE). </w:t>
      </w:r>
    </w:p>
    <w:p w:rsidR="00CF03FA" w:rsidRDefault="00CF03FA" w:rsidP="00CF03FA">
      <w:pPr>
        <w:pStyle w:val="TextoNormal"/>
      </w:pPr>
      <w:r>
        <w:t xml:space="preserve">a) En la primera de las tres quejas de amparo se invoca como vulnerado el derecho a las libertades de expresión e información. La argumentación al respecto parte de que las mismas “tienen una jerarquía propia” y “están revestidas de una garantía especial y esencial en un Estado democrático”, y de que por ello suponen un interés preponderante sobre el honor —“particularmente cuando se trata como en este caso de la formación de la opinión de los ciudadanos sobre cuestiones directamente relacionadas con la política, el Estado o la sociedad”— e incluyen “la crítica de la conducta de otro, aun cuando sea desabrida y pueda molestar a la persona a la que se dirige”. En el presente supuesto el Tribunal Supremo admite que los escritos enjuiciados constituyen una crítica política legítima salvo en dos de los contenidos del titulado “El Escudo”, que serían amenazantes y enaltecedores del terrorismo. </w:t>
      </w:r>
    </w:p>
    <w:p w:rsidR="00CF03FA" w:rsidRDefault="00CF03FA" w:rsidP="00CF03FA">
      <w:pPr>
        <w:pStyle w:val="TextoNormal"/>
      </w:pPr>
      <w:r>
        <w:lastRenderedPageBreak/>
        <w:t xml:space="preserve">El contenido amenazante se reduce, según la propia Sentencia que se impugna, a la frase final del texto. Tal frase, sin embargo, es “pura y simplemente una metáfora carente en absoluto de contenido amenazante … que analizada en el conjunto en el que se inscribe no sobrepasa en absoluto los límites de la crítica política y de los derechos de libertad e información amparados por el art. 20.1, apartados a) y d)”. Tal contexto es el de la política penitenciaria, analizada por una persona que considera que debía de estar excarcelado hace tiempo. Como afirma el voto particular a la Sentencia del Magistrado Giménez García no se da en aquella frase “la concisión, seriedad y concreción exigibles para el delito de amenazas a colectivos genéricamente determinados”, ni de ella se deriva una “amenaza que consista en que quedarán sin manos físicamente”. El mismo voto “cita varias sentencias absolutorias por asuntos prácticamente idénticos al que nos ocupa”. </w:t>
      </w:r>
    </w:p>
    <w:p w:rsidR="00CF03FA" w:rsidRDefault="00CF03FA" w:rsidP="00CF03FA">
      <w:pPr>
        <w:pStyle w:val="TextoNormal"/>
      </w:pPr>
      <w:r>
        <w:t xml:space="preserve">En este voto y en el del Magistrado Andrés Ibáñez se niega además que haya en el escrito un contenido de enaltecimiento del terrorismo que rebase los límites de la libertad de expresión. Según el primero de ellos, se trata más bien de “una censura por los retrasos en la excarcelación del recurrente” y “por extensión … una crítica … de la política penitenciaria en relación a los presos de ETA”. El acusado debió por ello ser absuelto, “en sintonía con tres resoluciones dictadas por los jueces durante la instrucción de la causa, que en su día acordaron el sobreseimiento”. </w:t>
      </w:r>
    </w:p>
    <w:p w:rsidR="00CF03FA" w:rsidRDefault="00CF03FA" w:rsidP="00CF03FA">
      <w:pPr>
        <w:pStyle w:val="TextoNormal"/>
      </w:pPr>
      <w:r>
        <w:t xml:space="preserve">b) Para sustentar la queja por vulneración del derecho a la legalidad penal, se limita el recurrente a transcribir algunos fragmentos del voto particular del Magistrado Andrés Ibáñez: “la indeterminación del destinatario impide prácticamente identificar un sujeto pasivo; la acción denotada es intemporal y permanece en el terreno de la metáfora, por más que ésta sea burda y no particularmente imaginativa; y lo mismo las manos sobre las que pesaría la amenaza de amputación: las puramente simbólicas de una multitud indeterminada de sujetos institucionales. Demasiadas inconcreciones para que pueda operar sobre ellas el ius puniendi, en los términos de taxatividad y rigor que reclama el principio de legalidad penal del Estado constitucional de derecho”. El acusado tampoco “es un apologista” en sentido técnico-jurídico, sino un terrorista convicto, que exterioriza la disparatada convicción que le llevó a delinquir; y que, además, en este caso, “no reivindica ni celebra acciones delictivas concretas de las de los arts. 571 a 577 CP, sino que expresa con cierta vaguedad un planteamiento ideológico, que no pierde tal carácter por el hecho de ser aberrante”. </w:t>
      </w:r>
    </w:p>
    <w:p w:rsidR="00CF03FA" w:rsidRDefault="00CF03FA" w:rsidP="00CF03FA">
      <w:pPr>
        <w:pStyle w:val="TextoNormal"/>
      </w:pPr>
      <w:r>
        <w:t>c) La última de las quejas de la demanda se refiere al derecho a ser informado de la acusación: “se estaba acusando de un delito de amenazas terroristas sin que supiéramos siquiera quiénes eran los presuntos amenazados”. Del escrito de acusación del Ministerio Fiscal “no puede saberse a ciencia cierta en qué consisten las amenazas objeto de acusación y mucho menos quiénes son los supuestos amenazados… No puede formularse la acusación en términos de copiar literalmente dos artículos periodísticos y manifestar que los mismos tienen un contenido constitutivo de delito si no se nos dice explícitamente qué frases de esos artículos son constitutivas de delito, cuál es el bien jurídico protegido, por qué son constitutivas de delito las frases y quiénes son los sujetos pasivos de los supuestos delitos existentes en los artículos”. Además, la Audiencia Nacional condenaba por amenazas a determinadas personas vertidas en un artículo diferente al que finalmente se consideró como delictivo: “se está condenando ahora por unos hechos diferentes de los que fueron objeto de acusación”.</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Por diligencia de ordenación de su Secretaría de Justicia de 17 de abril de 2007, la Sección Primera de este Tribunal concede a la representación del recurrente un plazo de </w:t>
      </w:r>
      <w:r>
        <w:lastRenderedPageBreak/>
        <w:t xml:space="preserve">diez días para que aporte determinada información y documentación necesaria para la tramitación de la demanda. </w:t>
      </w:r>
    </w:p>
    <w:p w:rsidR="00CF03FA" w:rsidRDefault="00CF03FA" w:rsidP="00CF03FA">
      <w:pPr>
        <w:pStyle w:val="TextoNormal"/>
      </w:pPr>
      <w:r>
        <w:t>Mediante nueva diligencia de ordenación de 4 de junio de 2007 se tiene por recibido el escrito de la representación del recurrente de 29 de mayo, de solicitud de suspensión de la ejecución de la pena impuesta al mismo, y se difiere la decisión al respecto a un momento posterior al de la admisión de la demanda.</w:t>
      </w:r>
    </w:p>
    <w:p w:rsidR="00CF03FA" w:rsidRDefault="00CF03FA" w:rsidP="00CF03FA">
      <w:pPr>
        <w:pStyle w:val="TextoNormal"/>
      </w:pPr>
    </w:p>
    <w:p w:rsidR="00CF03FA" w:rsidRDefault="00CF03FA" w:rsidP="00CF03FA">
      <w:pPr>
        <w:pStyle w:val="TextoNormal"/>
      </w:pPr>
      <w:r w:rsidRPr="00CF03FA">
        <w:rPr>
          <w:rStyle w:val="NumeroAFNegritaCaracter"/>
        </w:rPr>
        <w:t>6</w:t>
      </w:r>
      <w:r>
        <w:t>. Mediante providencia de 26 de julio de 2007 y conforme a lo previsto en el art. 50.3 LOTC en su redacción anterior a la aprobada por Ley Orgánica 6/2007, la Sección Primera de este Tribunal acuerda conceder un plazo común de diez días al Ministerio Fiscal y al demandante de amparo para que aleguen lo que estimen pertinente en relación con la posible carencia manifiesta de contenido constitucional de la demanda, causa de inadmisión contemplada en el art. 50.1 c) LOTC en su mencionada redacción anterior.</w:t>
      </w:r>
    </w:p>
    <w:p w:rsidR="00CF03FA" w:rsidRDefault="00CF03FA" w:rsidP="00CF03FA">
      <w:pPr>
        <w:pStyle w:val="TextoNormal"/>
      </w:pPr>
    </w:p>
    <w:p w:rsidR="00CF03FA" w:rsidRDefault="00CF03FA" w:rsidP="00CF03FA">
      <w:pPr>
        <w:pStyle w:val="TextoNormal"/>
      </w:pPr>
      <w:r w:rsidRPr="00CF03FA">
        <w:rPr>
          <w:rStyle w:val="NumeroAFNegritaCaracter"/>
        </w:rPr>
        <w:t>7</w:t>
      </w:r>
      <w:r>
        <w:t xml:space="preserve">. Sólo presenta alegaciones el Ministerio Fiscal, que concluye su escrito de 11 de septiembre de 2007 interesando la inadmisión a trámite de la demanda. Considera para ello, en relación con la primera de las quejas de la demanda, que el artículo enjuiciado sobrepasa los límites de la libertad de expresión: “lo que se anuncia con las expresiones que el Tribunal Supremo identifica como la base del delito de amenazas a grupo de personas, resultan ser gravísimas intimaciones frente a bienes jurídicos de enorme entidad como la vida y la integridad física, que por ello no pueden entenderse en modo alguno como instrumentales para la formación de la opinión pública”. Tampoco procede a su juicio la admisión de la segunda queja, atinente a la falta de tipicidad de la conducta por la que fue condenado el recurrente y que se sustenta en las opiniones de un voto particular a la Sentencia recurrida que, “aun siendo muy estimables en el plano de la dogmática, no pueden tomarse como reveladoras de un pretendido apartamiento de la postura mayoritaria de criterios o modelos de interpretación aceptados por la comunidad jurídica, ya que sólo constituyen pareceres minoritarios en el seno de una Sala de Justicia formada para la resolución del recurso por un total de trece miembros”. </w:t>
      </w:r>
    </w:p>
    <w:p w:rsidR="00CF03FA" w:rsidRDefault="00CF03FA" w:rsidP="00CF03FA">
      <w:pPr>
        <w:pStyle w:val="TextoNormal"/>
      </w:pPr>
      <w:r>
        <w:t>El mismo destino de inadmisión merece para el Fiscal la última queja, referente al derecho a ser informado de la acusación: “no se ha originado la indefensión alegada por el demandante de amparo, por cuanto éste ha tenido conocimiento desde un principio de los hechos imputados, y en concreto de cuáles eran las expresiones que se consideraban delictivas en su escrito”. De hecho, “el actor propuso para el juicio y se practicó a su instancia una curiosa prueba pericial consistente en el dictamen de dos profesores de la Facultad de Ciencias de la Información del País Vasco, en el que se analizaba el sentido de los artículos …, llegándose a analizar expresamente en tal pericia las expresiones que finalmente el Tribunal Supremo estima como la base esencial del comportamiento delictivo por el que se condena … Es evidente, pues, que si se discute el alcance o sentido de aquellas concretas expresiones, es que se ha conocido plenamente la acusación en ellas basada y ha podido enfrentarlas el inculpado oportunamente mediante el empleo de esa prueba pericial de la que se ha hecho cita”.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el presente Auto, tras el trámite específico de alegaciones que permite el art. 50.3 LOTC en su redacción anterior a la Ley Orgánica 6/2007, de 24 de mayo —aplicable </w:t>
      </w:r>
      <w:r>
        <w:lastRenderedPageBreak/>
        <w:t>según la disposición transitoria tercera de ésta—, sólo atendido por el Ministerio Fiscal, ratificamos nuestra percepción inicial (providencia de 26 de julio de 2007) de que la presente demanda de amparo carece manifiestamente de contenido que justifique una decisión sobre el fondo de la misma [art. 50.1 c) LOTC en su redacción anterior a la Ley Orgánica 6/2007] y que debe por ello ser inadmitida (art. 50.3 LOTC en su redacción anterior a la Ley Orgánica 6/2007).</w:t>
      </w:r>
    </w:p>
    <w:p w:rsidR="00CF03FA" w:rsidRDefault="00CF03FA" w:rsidP="00CF03FA">
      <w:pPr>
        <w:pStyle w:val="TextoNormal"/>
      </w:pPr>
      <w:r>
        <w:t>Las quejas constitucionales que plantea la demanda son tres. Las dos primeras son de carácter sustantivo, relativas a que vulnera los derechos a la legalidad penal (art. 25.1 CE) y a las libertades de expresión [art. 20.1 a) CE] e información [art.  20.1 d) CE] la condena del recurrente como autor de un delito de amenazas y otro de enaltecimiento del terrorismo por el contenido de un escrito titulado “El Escudo” publicado en el diario Gara. La tercera queja denuncia la indefensión padecida por lo que el demandante reputa como insuficiente conocimiento de la acusación que contra él se vertía (art. 24.2 CE).</w:t>
      </w:r>
    </w:p>
    <w:p w:rsidR="00CF03FA" w:rsidRDefault="00CF03FA" w:rsidP="00CF03FA">
      <w:pPr>
        <w:pStyle w:val="TextoNormal"/>
      </w:pPr>
      <w:r>
        <w:t>El Ministerio Fiscal interesa la inadmisión de la demanda al apreciar que el contenido amenazante del escrito hace que éste rebase los límites del ejercicio legítimo de la libertad de expresión; que ningún argumento se aporta acerca del carácter ilógico o extravagante de la interpretación de los tipos penales aplicados; y que el debate del proceso penal, y singularmente la propuesta y la práctica de las pruebas solicitadas por la defensa, evidencian que ésta conoció las expresiones que se enjuiciaban como delictivas y la razones por las que la acusación las consideraba como tales.</w:t>
      </w:r>
    </w:p>
    <w:p w:rsidR="00CF03FA" w:rsidRDefault="00CF03FA" w:rsidP="00CF03FA">
      <w:pPr>
        <w:pStyle w:val="TextoNormal"/>
      </w:pPr>
    </w:p>
    <w:p w:rsidR="00CF03FA" w:rsidRDefault="00CF03FA" w:rsidP="00CF03FA">
      <w:pPr>
        <w:pStyle w:val="TextoNormal"/>
      </w:pPr>
      <w:r w:rsidRPr="00CF03FA">
        <w:rPr>
          <w:rStyle w:val="NumeroAFNegritaCaracter"/>
        </w:rPr>
        <w:t>2</w:t>
      </w:r>
      <w:r>
        <w:t>. Siguiendo el orden usual de análisis de las quejas en nuestra jurisdicción, informado por los efectos que tendrían sobre las demás la hipotética estimación de cada una de ellas, hemos de examinar en primer lugar la que atribuye a la Sentencia impugnada un defecto de procedimiento que sería lesivo de la garantía esencial del acusado de ser informado de la acusación (art. 24.2 CE) y que consistiría en la inconcreción en los escritos acusatorios de las frases que se reputaban delictivas.</w:t>
      </w:r>
    </w:p>
    <w:p w:rsidR="00CF03FA" w:rsidRDefault="00CF03FA" w:rsidP="00CF03FA">
      <w:pPr>
        <w:pStyle w:val="TextoNormal"/>
      </w:pPr>
      <w:r>
        <w:t>Las expresiones que finalmente se consideraron amenazantes, o justificadoras de delitos de terrorismo o enaltecedoras de sus autores, figuraban en el escrito de acusación, y así lo admite la propia demanda, como que su supuesta inconcreción en el marco del entero escrito no ha generado indefensión alguna en el recurrente. En primer lugar, porque eran determinables las frases a las que se podía reputar aquel carácter delictivo; en segundo lugar y sobre todo, porque así fueron determinadas en el debate procesal, hasta el punto de que, como subraya el Ministerio Fiscal, fueron objeto de prueba pericial a instancias de la propia defensa. No cabe afirmar, pues, que la condena se haya producido “por hechos o perspectivas jurídicas que de facto no hayan sido o no hayan podido ser plenamente debatidas” (STC 225/1997, de 15 de diciembre, FJ 5).</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La impugnación material de la condena penal la realiza la demanda desde dos perspectivas diferentes: la del derecho a la legalidad penal y la de las libertades de expresión e información. Esta diferencia de enfoques constitucionales no responde a una relación de consunción, de modo que uno sólo de ellos abarque todo el contenido del otro, sino que es consecuente a la diversidad de valores constitucionales que cada uno de ellos incorpora. Por una parte, a la perspectiva de la legalidad penal le importa que la calificación del escrito enjuiciado como un hecho típico de amenazas a grupos de personas y otro de enaltecimiento del terrorismo sea el fruto de una interpretación y aplicación previsibles, en cuanto razonables, de las normas penales correspondientes (arts. 170.1 y 578 del Código penal: CP), de </w:t>
      </w:r>
      <w:r>
        <w:lastRenderedPageBreak/>
        <w:t>modo que quede salvaguardada tanto la seguridad jurídica de los ciudadanos como el monopolio legislativo en la definición de los delitos (por todas, STC 137/1997, de 21 de julio, FFJJ 6 y 7).</w:t>
      </w:r>
    </w:p>
    <w:p w:rsidR="00CF03FA" w:rsidRDefault="00CF03FA" w:rsidP="00CF03FA">
      <w:pPr>
        <w:pStyle w:val="TextoNormal"/>
      </w:pPr>
      <w:r>
        <w:t>La libertad de expresión (que es la que está en juego en el presente caso, como luego se dirá), por su parte, atiende a que no resulten ni sancionadas ni disuadidas las conductas de los ciudadanos de expresión de sus juicios de valor, singularmente cuando se refieran a asuntos públicos y contribuyan con ello a la formación de una opinión pública libre, que es uno de los pilares de una sociedad libre y democrática (por todas, SSTC 136/1999, de 20 de julio, FJ 15; 235/2007, de 7 de noviembre, FJ 4).</w:t>
      </w:r>
    </w:p>
    <w:p w:rsidR="00CF03FA" w:rsidRDefault="00CF03FA" w:rsidP="00CF03FA">
      <w:pPr>
        <w:pStyle w:val="TextoNormal"/>
      </w:pPr>
      <w:r>
        <w:t>La perspectiva del derecho a la legalidad penal, en primer lugar,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En el examen de razonabilidad de esta subsunción el primero de los criterios es, como pone de relieve la STC 137/1997, de 21 de julio, FJ 7, el del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el propio legislador puede potenciar esa labilidad para facilitar la adaptación de la norma a la realidad (ya en la STC 62/1982; recientemente, STC 53/1994). Debe perseguirse, en consecuencia, algún criterio añadido que, a la vista de los valores de seguridad y de legitimidad en juego, pero también de la libertad y la competencia del Juez en la aplicación de la legalidad (SSTC 89/1983, 75/1984, 111/1993), distinga entre las decisiones que forman parte del campo de decisión legítima de éste y las que suponen una ruptura de su sujeción a la ley”. Y así, continúa la misma Sentencia, dichos criterios estarán conformados por “las pautas axiológicas que informan nuestro texto constitucional (SSTC 159/1986, 59/1990, 111/1993)”, y por los “modelos de argumentación aceptados por la propia comunidad jurídica”, de suerte que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 también, entre otras, SSTC 189/1998, de 28 de septiembre, FJ 7; 13/2003,  de 28 de enero, FJ 3; 138/2004, de 13 de septiembre, FJ 3; 242/2005, de 10 de octubre, FJ 4; 9/2006, de 16 de enero, FJ 4).</w:t>
      </w:r>
    </w:p>
    <w:p w:rsidR="00CF03FA" w:rsidRDefault="00CF03FA" w:rsidP="00CF03FA">
      <w:pPr>
        <w:pStyle w:val="TextoNormal"/>
      </w:pPr>
    </w:p>
    <w:p w:rsidR="00CF03FA" w:rsidRDefault="00CF03FA" w:rsidP="00CF03FA">
      <w:pPr>
        <w:pStyle w:val="TextoNormal"/>
      </w:pPr>
      <w:r w:rsidRPr="00CF03FA">
        <w:rPr>
          <w:rStyle w:val="NumeroAFNegritaCaracter"/>
        </w:rPr>
        <w:t>4</w:t>
      </w:r>
      <w:r>
        <w:t>. La aplicación de la doctrina jurisprudencial anterior a la queja correspondiente de la demanda conduce a su rechazo tanto por lo que se refiere a la impugnación de la calificación de los hechos probados como delito de amenazas (art. 170.1 CP) como a la atinente a la subsunción de los mismos en el enaltecimiento del terrorismo (art. 578).</w:t>
      </w:r>
    </w:p>
    <w:p w:rsidR="00CF03FA" w:rsidRDefault="00CF03FA" w:rsidP="00CF03FA">
      <w:pPr>
        <w:pStyle w:val="TextoNormal"/>
      </w:pPr>
      <w:r>
        <w:t xml:space="preserve">a) Debe insistirse en que nuestra tarea de amparo del derecho a la legalidad penal no consiste en una valoración de la interpretación de la norma penal en términos de calidad legal o constitucional. Tampoco compete a este Tribunal el análisis de la mayor o menor </w:t>
      </w:r>
      <w:r>
        <w:lastRenderedPageBreak/>
        <w:t>razonabilidad de la interpretación alternativa que sostenga el recurrente. Nuestra labor se constriñe a adverar que la interpretación y aplicación cuestionadas eran interpretaciones posibles de la norma y que no han resultado por ello sorpresivas para su destinatario. Y a tal efecto constatamos ahora que no contraría la semántica del enunciado legal ni supone la utilización de criterios de interpretación inaceptables el entendimiento del texto que se enjuiciaba como “amenazas de un mal que constituyere delito … dirigidas a atemorizar a los habitantes de una población, grupo étnico, cultural o religioso, o colectivo social o profesional, o cualquier otro grupo de personas, y tuvieran la gravedad necesaria para conseguirlo” (art.  170.1 CP).  Para llegar a esta conclusión, que no es ahora calificativa de los hechos enjuiciados, sino de la posibilidad de que hayan sido entendidos como amenazantes hacia un grupo de personas, debe atenderse a la motivación judicial correspondiente y reparar en que, siquiera metafóricamente, el escrito contenía la expresión futura de un mal grave (quedarse sin manos), y en un contexto de crítica severa de la actuación de determinados colectivos. A su sentido no puede ser ajeno el hecho de que fuera enunciada por una persona que había sido ya condenada por la comisión de múltiples delitos graves precisamente contra personas pertenecientes a dichos colectivos y sedicentemente motivados por actuaciones de las víctimas como las que se critican en el escrito.</w:t>
      </w:r>
    </w:p>
    <w:p w:rsidR="00CF03FA" w:rsidRDefault="00CF03FA" w:rsidP="00CF03FA">
      <w:pPr>
        <w:pStyle w:val="TextoNormal"/>
      </w:pPr>
      <w:r>
        <w:t>b) No a no otra conclusión cabe llegar respecto a la queja de falta de tipicidad de la condena por “enaltecimiento o … justificación por cualquier medio de expresión pública o difusión” de los delitos de terrorismo “o de quienes hayan participado en su ejecución” (art. 578 CP). Si, sin una precisión del sentido propio de los conceptos en su inserción en el tipo penal, que no nos compete, el de justificación está externamente delimitado por la valoración positiva del delito, y el de ensalzamiento por la alabanza de sus autores, no traspasa el significado posible de los mismos la consideración de que el escrito enjuiciado justificaba los delitos de terrorismo cometidos por los miembros de ETA en prisión y enaltecía a éstos cuando les atribuía “el escudo de la razón” y una situación en cuanto presos “secuestrados por un sistema autoritario”. Considera al respecto la Sentencia recurrida que “se está expresando que tienen razón estos presos al haber cometido sus crímenes, lo que constituye una justificación respecto de aquellas conductas por las que fueron condenados quienes han estado o están en prisión por los delitos de ETA. Se habla de que estos presos se hallan secuestrados por un sistema autoritario. Se está en definitiva diciendo que por esos hechos se encuentran injustamente privados de libertad. Entendemos que esto constituye, por un lado, un ensalzar a los presos etarras y, por otro, una justificación de los crímenes por los cuales estos presos han sido condenados: precisamente las dos conductas que constituyen, una u otra, el núcleo de esta clase de delito del artículo 578” (FJ 5).</w:t>
      </w:r>
    </w:p>
    <w:p w:rsidR="00CF03FA" w:rsidRDefault="00CF03FA" w:rsidP="00CF03FA">
      <w:pPr>
        <w:pStyle w:val="TextoNormal"/>
      </w:pPr>
      <w:r>
        <w:t>Resulta pues evidente que esta interpretación no rebasa el tenor literal de la disposición interpretada, sin que tampoco la demanda aporte razón concreta alguna por la que haya de entenderse que la misma ha utilizado métodos de interpretación no aceptados por la comunidad jurídica. Queda aún la cuestión de si tanto esta comprensión del delito de enaltecimiento o justificación de los delitos de terrorismo o de sus autores o partícipes, como la del delito de amenazas a grupos de personas se sustenta en una base axiológica inconstitucional, y, en concreto, si es lesiva del derecho a la libertad de expresión. Esta cuestión es la que ahora procedemos a abordar en su ámbito propio, que es la queja por infracción del art. 20.1 a) CE.</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Aunque en la demanda se invocan como vulnerados los derechos a la expresión y a la información, el contenido de la queja respondería en su caso sólo al ámbito del primero de ellos, pues el escrito que fundamenta la condena no suministra información o, al menos, la </w:t>
      </w:r>
      <w:r>
        <w:lastRenderedPageBreak/>
        <w:t>condena no lo fue por la transmisión de información, sino por los juicios de valor de su autor en torno a personas, hechos o acontecimientos (por todas, STC 9/2007, de 15 de enero, FJ 4). Nuestra doctrina en torno al derecho que se dice afectado, que es el de la libertad de expresión, la resumíamos en la reciente Sentencia de Pleno 235/2007, de 7 de noviembre, volviendo a subrayar que el mismo no es sólo expresión de una libertad individual básica sino que se configura también como elemento conformador de nuestro sistema político democrático. “Así,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159/1986, de 16 de diciembre, FJ 6). Consecuencia directa del contenido institucional de la libre difusión de ideas y opiniones es que, según hemos reiterado, la libertad de expresión comprende la libertad de crítica, ‘aun cuando la misma sea desabrida y pueda molestar, inquietar o disgustar a quien se dirige, pues así lo requieren el pluralismo, la tolerancia y el espíritu de apertura, sin lo cuales no existe sociedad democrática’ (por todas, STC 174/2006, de 5 de junio, FJ 4). Por ello mismo hemos afirmado rotundamente que ‘es evidente que al resguardo de la libertad de opinión cabe cualquiera, por equivocada o peligrosa que pueda parecer al lector, incluso las que ataquen al propio sistema democrático. La Constitución —se ha dicho— protege también a quienes la niegan’ (STC 176/1995, de 11 de diciembre, FJ 2) … De ese modo, el ámbito constitucionalmente protegido de la libertad de expresión no puede verse restringido por el hecho  de que se utilice para la difusión de ideas u opiniones contrarias a la esencia misma de la Constitución … a no ser que con ellas se lesionen efectivamente derechos o bienes de relevancia constitucional” (FJ 4). En concreto, en relación con la ponderación entre la libertad de expresión y otros derechos o bienes constitucionales que puede limitar dicha libertad, advierten las SSTC 171/1990, de 12 de noviembre (FJ 6), y 136/1999, de 20 de julio (FJ 15), que “el valor especial que la Constitución otorga a las libertades de expresión e información ‘no puede configurarse como absoluto, puesto que, si viene reconocido como garantía de la opinión pública, solamente puede legitimar las intromisiones en otros derechos fundamentales que guarden congruencia con esa finalidad es decir, que resulten relevantes para la formación de la opinión pública sobre asuntos de interés general, careciendo de tal efecto legitimador, cuando las libertades de expresión e información se ejerciten de manera desmesurada y exorbitante del fin en atención al cual la Constitución le concede su protección preferente’”.</w:t>
      </w:r>
    </w:p>
    <w:p w:rsidR="00CF03FA" w:rsidRDefault="00CF03FA" w:rsidP="00CF03FA">
      <w:pPr>
        <w:pStyle w:val="TextoNormal"/>
      </w:pPr>
      <w:r>
        <w:t>Ciertamente, y así lo señala la Sentencia del Tribunal Supremo impugnada, en el escrito enjuiciado se transmitían una serie de ideas y opiniones de su autor en relación a la organización de los asuntos públicos. La cuestión no es así si las expresiones objeto de condena se insertaban en un discurso político, por desabrido o inconstitucional que fuera, sino si rebasaban el amplísimo ámbito permitido para el mismo por contrariar la base axiológica de tal discurso, que es la libre participación de todos en la discusión de lo público, o por su lesión efectiva de otros derechos o bienes constitucionales.</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En relación con la primera alegación de la queja, relativa a que la condena por el delito de amenazas restringe el legítimo ejercicio de la libertad de expresión, procede recordar, </w:t>
      </w:r>
      <w:r>
        <w:lastRenderedPageBreak/>
        <w:t>con la STC 136/1999, de 20 de julio, que no quedan amparados por la misma los “mensajes que, aun sin hallarse incursos en alguno de los tipos penales de amenazas o coacciones, puedan considerarse intimidatorios, porque anuden, explícita o implícitamente, pero de modo creíble, la producción de algún mal grave o la realización o no realización de determinada conducta por parte del destinatario” (FJ 16). Esta exclusión es válida también para el discurso sobre los asuntos públicos porque, por un lado, tales mensajes restringen la autonomía ajena, y por otro, pero de un modo imbricado con el primero, porque no lo hacen en el fomento de la libre discusión y participación pública, sino intentando la exclusión de algunos ciudadanos de tan esencial foro democrático.</w:t>
      </w:r>
    </w:p>
    <w:p w:rsidR="00CF03FA" w:rsidRDefault="00CF03FA" w:rsidP="00CF03FA">
      <w:pPr>
        <w:pStyle w:val="TextoNormal"/>
      </w:pPr>
      <w:r>
        <w:t>En aplicación de este canon nos corresponde ahora determinar si las expresiones discutidas pueden ser consideradas amenazantes desde la perspectiva que impone la libertad de expresión. Y hemos de responder afirmativamente a esta cuestión por las razones ya apuntadas en el análisis realizado desde el ángulo del derecho de la legalidad penal y que se referían a la expresión utilizada, al contexto discursivo en el que se inserta y a los rasgos de la persona que emite el mensaje que tienen que ver con el sentido que cabe atribuir objetivamente a sus afirmaciones. Como en el caso resuelto por la STC 136/1999, se trata “de una amenaza difusa, pero de cuya virtualidad ningún ciudadano medio podía dudar y que afectaba a bienes tan importantes como la vida y la integridad física. … Puede concluirse, pues, que los mensajes analizados … contenían elementos o aspectos intimidatorios que, al no hallarse directamente protegidos por las libertades de participación política, de expresión y de información, podían en principio, en tanto que conductas intimidatorias, ser objeto de sanción penal de darse en ellos los elementos que conforman alguno de los delitos tipificados por la Ley” (FJ 19).</w:t>
      </w:r>
    </w:p>
    <w:p w:rsidR="00CF03FA" w:rsidRDefault="00CF03FA" w:rsidP="00CF03FA">
      <w:pPr>
        <w:pStyle w:val="TextoNormal"/>
      </w:pPr>
    </w:p>
    <w:p w:rsidR="00CF03FA" w:rsidRDefault="00CF03FA" w:rsidP="00CF03FA">
      <w:pPr>
        <w:pStyle w:val="TextoNormal"/>
      </w:pPr>
      <w:r w:rsidRPr="00CF03FA">
        <w:rPr>
          <w:rStyle w:val="NumeroAFNegritaCaracter"/>
        </w:rPr>
        <w:t>7</w:t>
      </w:r>
      <w:r>
        <w:t>. Tampoco la condena por el delito de enaltecimiento o justificación de delitos de terrorismo o de sus autores (art. 578 CP) supone una vulneración del derecho a la libertad de expresión, pues, como se afirma en la STC 235/2007, de 7 de noviembre, en relación con los delitos de genocidio, “la especial peligrosidad de delitos tan odiosos y que ponen en riesgo la esencia misma de nuestra sociedad” —cosa que debe afirmarse ahora también de los delitos de terrorismo— “permite excepcionalmente que el legislador penal sin quebranto constitucional castigue la justificación pública de ese delito, siempre que tal justificación opere como incitación indirecta a su comisión” (FJ 9).</w:t>
      </w:r>
    </w:p>
    <w:p w:rsidR="00CF03FA" w:rsidRDefault="00CF03FA" w:rsidP="00CF03FA">
      <w:pPr>
        <w:pStyle w:val="TextoNormal"/>
      </w:pPr>
      <w:r>
        <w:t>Esta provocación indirecta a la violencia es constatable en el escrito que originó la condena de su autor. Como ya ha quedado expresado por referencia a la motivación de la Sentencia recurrida, en el mismo se concitan tanto una consideración positiva de la conducta de los presos de ETA en cuanto a los execrables hechos que les llevaron a tal situación penitenciaria, al afirmar que están secuestrados por un sistema autoritario y que no se resocializan porque tienen razón, como la ya analizada expresión que amenaza de un modo creíble con una conducta violenta a determinados colectivos que están relacionados con el encarcelamiento de aquellos presos. La justificación de quienes actuaron con extraordinaria violencia en relación precisamente con esta actuación violenta y la adición a la misma de una expresión amenazante permiten afirmar que el escrito contiene la provocación a la violencia, siquiera indirecta, pero referida a la comisión de gravísimos delitos, que impide su cobertura en el ejercicio legítimo de la libertad de expresión.</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lastRenderedPageBreak/>
        <w:t>ACUERDA</w:t>
      </w:r>
    </w:p>
    <w:p w:rsidR="00CF03FA" w:rsidRDefault="00CF03FA" w:rsidP="00CF03FA">
      <w:pPr>
        <w:pStyle w:val="TextoNormalCentrado"/>
      </w:pPr>
    </w:p>
    <w:p w:rsidR="00CF03FA" w:rsidRDefault="00CF03FA" w:rsidP="00CF03FA">
      <w:pPr>
        <w:pStyle w:val="TextoNormal"/>
      </w:pPr>
      <w:r>
        <w:t>La inadmisión de la demanda de amparo conforme al art. 50.1 c) LOTC, en su redacción anterior a la Ley Orgánica 6/2007, de 24 de mayo, y el archivo de las actuaciones.</w:t>
      </w:r>
    </w:p>
    <w:p w:rsidR="00CF03FA" w:rsidRDefault="00CF03FA" w:rsidP="00CF03FA">
      <w:pPr>
        <w:pStyle w:val="TextoNormal"/>
      </w:pPr>
    </w:p>
    <w:p w:rsidR="00CF03FA" w:rsidRDefault="00CF03FA" w:rsidP="00CF03FA">
      <w:pPr>
        <w:pStyle w:val="TextoNormal"/>
      </w:pPr>
      <w:r>
        <w:t>Madrid, a nueve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66" w:name="AUTO_2008_5"/>
      <w:r>
        <w:lastRenderedPageBreak/>
        <w:t>AUTO 5/2008, de 9 de enero de 2008</w:t>
      </w:r>
    </w:p>
    <w:bookmarkEnd w:id="66"/>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ECLI:ES:TC:2008:5A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y don Manuel Aragón Reyes.</w:t>
      </w:r>
    </w:p>
    <w:p w:rsidR="00CF03FA" w:rsidRDefault="00CF03FA" w:rsidP="00CF03FA">
      <w:pPr>
        <w:pStyle w:val="SntesisDescriptiva"/>
      </w:pPr>
    </w:p>
    <w:p w:rsidR="00CF03FA" w:rsidRDefault="00CF03FA" w:rsidP="00CF03FA">
      <w:pPr>
        <w:pStyle w:val="SntesisDescriptiva"/>
      </w:pPr>
      <w:r>
        <w:t>Acuerda el desistimiento en el recurso de amparo 4310-2007.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67" w:name="AUTO_2008_6"/>
      <w:r>
        <w:lastRenderedPageBreak/>
        <w:t>AUTO 6/2008, de 9 de enero de 2008</w:t>
      </w:r>
    </w:p>
    <w:bookmarkEnd w:id="67"/>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ECLI:ES:TC:2008:6A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y don Manuel Aragón Reyes.</w:t>
      </w:r>
    </w:p>
    <w:p w:rsidR="00CF03FA" w:rsidRDefault="00CF03FA" w:rsidP="00CF03FA">
      <w:pPr>
        <w:pStyle w:val="SntesisDescriptiva"/>
      </w:pPr>
    </w:p>
    <w:p w:rsidR="00CF03FA" w:rsidRDefault="00CF03FA" w:rsidP="00CF03FA">
      <w:pPr>
        <w:pStyle w:val="SntesisDescriptiva"/>
      </w:pPr>
      <w:r>
        <w:t>Acuerda el desistimiento en el recurso de amparo 7807-2007, promovido por Comersan, S.A.</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68" w:name="AUTO_2008_7"/>
      <w:r>
        <w:lastRenderedPageBreak/>
        <w:t>AUTO 7/2008, de 14 de enero de 2008</w:t>
      </w:r>
    </w:p>
    <w:bookmarkEnd w:id="68"/>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ECLI:ES:TC:2008:7A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y don Jorge Rodríguez-Zapata Pérez.</w:t>
      </w:r>
    </w:p>
    <w:p w:rsidR="00CF03FA" w:rsidRDefault="00CF03FA" w:rsidP="00CF03FA">
      <w:pPr>
        <w:pStyle w:val="SntesisDescriptiva"/>
      </w:pPr>
    </w:p>
    <w:p w:rsidR="00CF03FA" w:rsidRDefault="00CF03FA" w:rsidP="00CF03FA">
      <w:pPr>
        <w:pStyle w:val="SntesisDescriptiva"/>
      </w:pPr>
      <w:r>
        <w:t>Acuerda la suspensión parcial en el recurso de amparo 6206-2006, promovido por don Juan Galisteo Palma en causa por delito contra la salud pública.</w:t>
      </w:r>
    </w:p>
    <w:p w:rsidR="00CF03FA" w:rsidRDefault="00CF03FA" w:rsidP="00CF03FA">
      <w:pPr>
        <w:pStyle w:val="SntesisDescriptiva"/>
      </w:pPr>
    </w:p>
    <w:p w:rsidR="00CF03FA" w:rsidRDefault="00CF03FA" w:rsidP="00CF03FA">
      <w:pPr>
        <w:pStyle w:val="SntesisAnaltica"/>
      </w:pPr>
      <w:r>
        <w:t>Suspensión cautelar de sentencias penales: inhabilitación especial del derecho de sufragio pasivo y prisión de dos años, suspende; multa,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8 de junio de 2006, la Procuradora de los Tribunales doña María Leocadia García Cornejo, interpuso, en nombre de don Juan Galisteo Palma, recurso de amparo contra la Sentencia de fecha 12 de mayo de 2006 dictada por la Sección de Algeciras de la Audiencia Provincial de Cádiz, rollo de apelación núm 27-2006, y contra la Sentencia de fecha 26 de septiembre de 2005, dictada por el Juzgado de lo Penal núm. dos de los de Algeciras -que condenó al demandante de amparo por delito contra la salud pública a la pena de dos años de prisión, inhabilitación especial del derecho de sufragio pasivo durante el tiempo de la condena, multa de 2155 euros, con diez días de arresto sustitutorio en caso de impago por insolvencia acreditada y pago de la mitad de las costas procesales- por conculcar el derecho a la presunción de inocencia (art. 24.2 CE) y el derecho a la igualdad ante la ley (art. 14 CE).</w:t>
      </w:r>
    </w:p>
    <w:p w:rsidR="00CF03FA" w:rsidRDefault="00CF03FA" w:rsidP="00CF03FA">
      <w:pPr>
        <w:pStyle w:val="TextoNormal"/>
      </w:pPr>
    </w:p>
    <w:p w:rsidR="00CF03FA" w:rsidRDefault="00CF03FA" w:rsidP="00CF03FA">
      <w:pPr>
        <w:pStyle w:val="TextoNormal"/>
      </w:pPr>
      <w:r w:rsidRPr="00CF03FA">
        <w:rPr>
          <w:rStyle w:val="NumeroAFNegritaCaracter"/>
        </w:rPr>
        <w:t>2</w:t>
      </w:r>
      <w:r>
        <w:t>. El demandante alega en primer lugar la violación del derecho a la presunción de inocencia (art. 24.2 CE), por cuanto la condena del demandante de amparo se habría basado como única prueba de cargo en la declaración incriminatoria prestada por la coimputada, que no debe considerarse válida ni suficiente. En su segundo motivo el demandante de amparo se queja de la vulneración del derecho a la igualdad en la aplicación jurisdiccional de la ley (art. 14.1 CE), por cuanto habría existido un distinto trato en cuanto a la pena impuesta a cada uno de los acusados, sin motivo que lo justifique. En la demanda de amparo se solicita también, mediante otrosí, la suspensión de la ejecución de la pena impuesta en la Sentencia recurrida.</w:t>
      </w:r>
    </w:p>
    <w:p w:rsidR="00CF03FA" w:rsidRDefault="00CF03FA" w:rsidP="00CF03FA">
      <w:pPr>
        <w:pStyle w:val="TextoNormal"/>
      </w:pPr>
    </w:p>
    <w:p w:rsidR="00CF03FA" w:rsidRDefault="00CF03FA" w:rsidP="00CF03FA">
      <w:pPr>
        <w:pStyle w:val="TextoNormal"/>
      </w:pPr>
      <w:r w:rsidRPr="00CF03FA">
        <w:rPr>
          <w:rStyle w:val="NumeroAFNegritaCaracter"/>
        </w:rPr>
        <w:t>3</w:t>
      </w:r>
      <w:r>
        <w:t>. Por providencias de 19 de noviembre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4</w:t>
      </w:r>
      <w:r>
        <w:t>. En escrito registrado ante este Tribunal el 18 de diciembre de 2007 el Ministerio Fiscal interesó el otorgamiento de la suspensión solicitada de la pena privativa de libertad, alegando que la escasa gravedad de la pena impuesta, entre otros aspectos, aconseja acceder a la suspensión solicitada, pues el tiempo de resolución del recurso de amparo puede efectivamente ocasionar un perjuicio que haría perder al amparo su finalidad de ser obtenido efectivamente.</w:t>
      </w:r>
    </w:p>
    <w:p w:rsidR="00CF03FA" w:rsidRDefault="00CF03FA" w:rsidP="00CF03FA">
      <w:pPr>
        <w:pStyle w:val="TextoNormal"/>
      </w:pPr>
    </w:p>
    <w:p w:rsidR="00CF03FA" w:rsidRDefault="00CF03FA" w:rsidP="00CF03FA">
      <w:pPr>
        <w:pStyle w:val="TextoNormal"/>
      </w:pPr>
      <w:r w:rsidRPr="00CF03FA">
        <w:rPr>
          <w:rStyle w:val="NumeroAFNegritaCaracter"/>
        </w:rPr>
        <w:t>5</w:t>
      </w:r>
      <w:r>
        <w:t>. La representación del demandante de amparo reiteró en sus alegaciones cuanto había manifestado en su demanda, añadiendo que el demandante de amparo se encuentra ingresado en el Centro Penitenciario de Córdoba desde el pasado día 25 de octubre de 2007, cumpliendo la pena privativa de libertad de dos años a que fue condenado en la Sentencia que ha sido objeto de amparo.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CF03FA" w:rsidRDefault="00CF03FA" w:rsidP="00CF03FA">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CF03FA" w:rsidRDefault="00CF03FA" w:rsidP="00CF03FA">
      <w:pPr>
        <w:pStyle w:val="TextoNormal"/>
      </w:pPr>
    </w:p>
    <w:p w:rsidR="00CF03FA" w:rsidRDefault="00CF03FA" w:rsidP="00CF03FA">
      <w:pPr>
        <w:pStyle w:val="TextoNormal"/>
      </w:pPr>
      <w:r w:rsidRPr="00CF03FA">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CF03FA" w:rsidRDefault="00CF03FA" w:rsidP="00CF03FA">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CF03FA" w:rsidRDefault="00CF03FA" w:rsidP="00CF03FA">
      <w:pPr>
        <w:pStyle w:val="TextoNormal"/>
      </w:pPr>
    </w:p>
    <w:p w:rsidR="00CF03FA" w:rsidRDefault="00CF03FA" w:rsidP="00CF03FA">
      <w:pPr>
        <w:pStyle w:val="TextoNormal"/>
      </w:pPr>
      <w:r w:rsidRPr="00CF03FA">
        <w:rPr>
          <w:rStyle w:val="NumeroAFNegritaCaracter"/>
        </w:rPr>
        <w:t>3</w:t>
      </w:r>
      <w:r>
        <w:t>. En este caso, habida cuenta la pena privativa de libertad impuesta al demandante (dos años de prisión), y la circunstancia de que, al parecer, el demandante se encuentra ingresado en prisión cumpliendo la pena impuesta desde el pasado día 25 de octubre de 2007, es evidente que no suspender su ejecución le ocasionaría un perjuicio irreparable que dejaría totalmente en entredicho la eficacia de un eventual fallo estimatorio de la demanda, por cuanto la pena de prisión podría haber sido cumplida en gran medida.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 Dicha suspensión implicará, paralelamente, la de la pena accesoria de privación del derecho de sufragio pasivo, al seguir la misma suerte que las penas principales a las que acompaña (por todos, ATC 286/2007, de 18 de junio, FJ 3).</w:t>
      </w:r>
    </w:p>
    <w:p w:rsidR="00CF03FA" w:rsidRDefault="00CF03FA" w:rsidP="00CF03FA">
      <w:pPr>
        <w:pStyle w:val="TextoNormal"/>
      </w:pPr>
      <w:r>
        <w:t>La situación es distinta en cuanto al resto del fallo condenatorio. En relación a la pena de multa, no se aprecia que su ejecución lleve consigo la producción de perjuicios irreparables para el condenado a su cumplimiento, dado que cabe la íntegra restitución de lo que fuere objeto de ejecución o cumplimiento en el caso de una eventual estimación del recurso de amparo que así lo ordenase.</w:t>
      </w:r>
    </w:p>
    <w:p w:rsidR="00CF03FA" w:rsidRDefault="00CF03FA" w:rsidP="00CF03FA">
      <w:pPr>
        <w:pStyle w:val="TextoNormal"/>
      </w:pPr>
    </w:p>
    <w:p w:rsidR="00CF03FA" w:rsidRDefault="00CF03FA" w:rsidP="00CF03FA">
      <w:pPr>
        <w:pStyle w:val="TextoNormal"/>
      </w:pPr>
      <w:r>
        <w:t>En virtud de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Suspender en cuanto al demandante la ejecución de la Sentencia de la Sección de Algeciras de la Audiencia Provincial de Cádiz de fecha 12 de mayo de 2006, recaída en el recurso de apelación núm. 27-2006, y de la Sentencia dictada por el Juzgado de lo</w:t>
      </w:r>
    </w:p>
    <w:p w:rsidR="00CF03FA" w:rsidRDefault="00CF03FA" w:rsidP="00CF03FA">
      <w:pPr>
        <w:pStyle w:val="TextoNormal"/>
      </w:pPr>
      <w:r>
        <w:lastRenderedPageBreak/>
        <w:t>Penal núm. dos de los de Algeciras, de fecha 26 de septiembre de 2005, en el procedimiento abreviado núm. 167-2005, exclusivamente en lo referente a la pena privativa de libertad de dos años de prisión, y a la accesoria de privación del derecho de</w:t>
      </w:r>
    </w:p>
    <w:p w:rsidR="00CF03FA" w:rsidRDefault="00CF03FA" w:rsidP="00CF03FA">
      <w:pPr>
        <w:pStyle w:val="TextoNormal"/>
      </w:pPr>
      <w:r>
        <w:t>sufragio durante el tiempo de la condena a la pena de prisión.</w:t>
      </w:r>
    </w:p>
    <w:p w:rsidR="00CF03FA" w:rsidRDefault="00CF03FA" w:rsidP="00CF03FA">
      <w:pPr>
        <w:pStyle w:val="TextoNormal"/>
      </w:pPr>
      <w:r>
        <w:t>Denegar la suspensión solicitada en todo lo demás.</w:t>
      </w:r>
    </w:p>
    <w:p w:rsidR="00CF03FA" w:rsidRDefault="00CF03FA" w:rsidP="00CF03FA">
      <w:pPr>
        <w:pStyle w:val="TextoNormal"/>
      </w:pPr>
    </w:p>
    <w:p w:rsidR="00CF03FA" w:rsidRDefault="00CF03FA" w:rsidP="00CF03FA">
      <w:pPr>
        <w:pStyle w:val="TextoNormal"/>
      </w:pPr>
      <w:r>
        <w:t>Madrid, a catorce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69" w:name="AUTO_2008_8"/>
      <w:r>
        <w:lastRenderedPageBreak/>
        <w:t>AUTO 8/2008, de 16 de enero de 2008</w:t>
      </w:r>
    </w:p>
    <w:bookmarkEnd w:id="69"/>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ECLI:ES:TC:2008:8A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por infundada la cuestión de inconstitucionalidad 6897-2007, planteada por el Juzgado de lo Contencioso-Administrativo núm. 4 de Córdoba en relación con la Ley del Parlamento de Andalucía 18/2003, de 29 de diciembre, de medidas fiscales y administrativas, en lo relativo al impuesto sobre depósito de residuos radioactivos.</w:t>
      </w:r>
    </w:p>
    <w:p w:rsidR="00CF03FA" w:rsidRDefault="00CF03FA" w:rsidP="00CF03FA">
      <w:pPr>
        <w:pStyle w:val="SntesisDescriptiva"/>
      </w:pPr>
    </w:p>
    <w:p w:rsidR="00CF03FA" w:rsidRDefault="00CF03FA" w:rsidP="00CF03FA">
      <w:pPr>
        <w:pStyle w:val="SntesisAnaltica"/>
      </w:pPr>
      <w:r>
        <w:t>Cuestión de inconstitucionalidad: audiencia previa a las partes; audiencia previa al Ministerio Fiscal. Inadmisión de cuestión de inconstitucionalidad: causas de inadmisión.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6 de agosto de 2007 tuvo entrada en el Registro General de este Tribunal un escrito del Juzgado de lo Contencioso-Administrativo núm. 4 de Córdoba al que se acompaña, junto con el testimonio del correspondiente procedimiento, el Auto de 30 de julio de 2007 en el que se acuerda plantear cuestión de inconstitucionalidad en relación con los arts. 56 a 64 de la Ley de Andalucía 18/2003, de 29 de diciembre, de medidas fiscales y administrativas, por posible vulneración de los arts. 133, 139.2, 149.1.14, 156 y 157.2 CE en relación con los arts. 6.2 y 9 de la Ley Orgánica 8/1980, de 22 de septiembre, de financiación de las Comunidades Autónomas.</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de la cuestión son los siguientes: </w:t>
      </w:r>
    </w:p>
    <w:p w:rsidR="00CF03FA" w:rsidRDefault="00CF03FA" w:rsidP="00CF03FA">
      <w:pPr>
        <w:pStyle w:val="TextoNormal"/>
      </w:pPr>
      <w:r>
        <w:t xml:space="preserve">a) La Empresa Nacional de Residuos Radioactivos, S.A. (en adelante Enresa) interpuso recurso contencioso-administrativo (tramitado por el procedimiento abreviado con el número 745-2006) contra la resolución de la Junta Provincial de Hacienda de Córdoba por la que estima la reclamación económico-administrativa 2890-2005,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solicito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w:t>
      </w:r>
      <w:r>
        <w:lastRenderedPageBreak/>
        <w:t xml:space="preserve">8/1980, de 22 de septiembre, de financiación de las Comunidades Autónomas (en adelante, LOFCA) y el principio de interdicción de la arbitrariedad en la actuación de los poderes públicos derivado del art. 9.3 CE </w:t>
      </w:r>
    </w:p>
    <w:p w:rsidR="00CF03FA" w:rsidRDefault="00CF03FA" w:rsidP="00CF03FA">
      <w:pPr>
        <w:pStyle w:val="TextoNormal"/>
      </w:pPr>
      <w:r>
        <w:t xml:space="preserve">b) El 14 de junio de 2007 se celebro la vista del recurso en la que, tras la exposición de las pretensiones de la recurrente Enresa, de la Junta de Andalucía como demandada y de Unión Fenosa Generación, S.A en calidad de codemandada, se declararon los autos conclusos para sentencia señalándose a continuación, de acuerdo con el acta de vista, lo siguiente: “dándose traslado en este acto a las partes y al Ministerio Fiscal por plazo de diez días para formular alegaciones sobre el planteamiento de la cuestión de inconstitucionalidad ante el Tribunal Constitucional”. </w:t>
      </w:r>
    </w:p>
    <w:p w:rsidR="00CF03FA" w:rsidRDefault="00CF03FA" w:rsidP="00CF03FA">
      <w:pPr>
        <w:pStyle w:val="TextoNormal"/>
      </w:pPr>
      <w:r>
        <w:t xml:space="preserve">c) La parte codemandada, Unión Fenosa Generación, S.A., manifestó su parecer favorable al planteamiento de la cuestión de inconstitucionalidad por entender vulnerados, por un lado, el art. 156 en relación con el 149.1.25 CE y , por otro, el art. 6.3 LOFCA. La Junta de Andalucía se opuso al planteamiento de la cuestión de inconstitucionalidad. La demandante Enresa solicitó el planteamiento de la cuestión de inconstitucionalidad por los motivos ya expresados en su escrito de demanda en el proceso a quo. Por su parte, el Ministerio Fiscal estimo procedente el planteamiento de la cuestión por estimar que la regulación del IDRR vulneraba el art. 149.1.25 CE y el art. 6.3 LOFCA. </w:t>
      </w:r>
    </w:p>
    <w:p w:rsidR="00CF03FA" w:rsidRDefault="00CF03FA" w:rsidP="00CF03FA">
      <w:pPr>
        <w:pStyle w:val="TextoNormal"/>
      </w:pPr>
      <w:r>
        <w:t>d) El órgano judicial dicto el Auto de 30 de julio de 2007 planteando la cuestión de inconstitucionalidad en relación con los arts. 56 a 64 de la Ley del Parlamento de Andalucía 18/2003, de 29 de diciembre, de medidas fiscales y administrativas por posible vulneración de los arts. 133, 139.2, 149.1.14, 156 y 157.2 CE en relación con los arts. 6.3 y 9 LOFCA.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cuanto al contenido del Auto de planteamiento interesa destacar lo siguiente: </w:t>
      </w:r>
    </w:p>
    <w:p w:rsidR="00CF03FA" w:rsidRDefault="00CF03FA" w:rsidP="00CF03FA">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dicto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en su día interpuesto. </w:t>
      </w:r>
    </w:p>
    <w:p w:rsidR="00CF03FA" w:rsidRDefault="00CF03FA" w:rsidP="00CF03FA">
      <w:pPr>
        <w:pStyle w:val="TextoNormal"/>
      </w:pPr>
      <w:r>
        <w:t xml:space="preserve">b) Tras ello señala las normas con fuerza de Ley cuya constitucionalidad se cuestiona, los arts 56 a 64 de la Ley 18/2003, así como los preceptos constitucionales que se reputan vulnerados, arts 133, 139.2, 149.1.14, 156, 157.2 CE en relación con los arts. 6.2 y 9 LOFCA,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CF03FA" w:rsidRDefault="00CF03FA" w:rsidP="00CF03FA">
      <w:pPr>
        <w:pStyle w:val="TextoNormal"/>
      </w:pPr>
      <w:r>
        <w:t xml:space="preserve">c) En cuanto a los concretos motivos que determinan el planteamiento de la cuestión de inconstitucionalidad, en el Auto 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w:t>
      </w:r>
      <w:r>
        <w:lastRenderedPageBreak/>
        <w:t xml:space="preserve">tienen por finalidad el establecimiento de una exacción extrafiscal por el hecho del almacenamiento de tales residuos, sin que limite o condicione el régimen de producción energética, lo que determina que no se vulnere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por recaer sobre la misma actividad del IAE, epígrafe 143.3 almacenamiento de residuos radiactivos, por lo que considera que el tributo autonómico puede ser contrario al art. 6.2 LOFCA en relación con el art. 133.2 CE. También se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CF03FA" w:rsidRDefault="00CF03FA" w:rsidP="00CF03FA">
      <w:pPr>
        <w:pStyle w:val="TextoNormal"/>
      </w:pPr>
      <w:r>
        <w:t xml:space="preserve">d) 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 </w:t>
      </w:r>
    </w:p>
    <w:p w:rsidR="00CF03FA" w:rsidRDefault="00CF03FA" w:rsidP="00CF03FA">
      <w:pPr>
        <w:pStyle w:val="TextoNormal"/>
      </w:pPr>
      <w:r>
        <w:t>El Auto termina disponiendo el planteamiento al Tribunal Constitucional de la posible inconstitucionalidad de los arts. 56, 57, 58, 59, 60, 61, 62, 63 y 64 de la Ley del Parlamento de Andalucía 18/2003, de 29 de diciembre, de medidas fiscales y administrativas por poder ser contrarios a los arts. 133, 139.2, 149.1.14, 156 y 157.2 CE en relación con los arts. 6.3 y 9 LOFCA.</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Tercera de este Tribunal Constitucional, de fecha 25 de septiembre de 2007, se acordó oír al Fiscal General del Estado para que, en el plazo de diez días, alegara lo que considerara conveniente acerca de la admisibilidad de la presente cuestión de inconstitucionalidad.</w:t>
      </w:r>
    </w:p>
    <w:p w:rsidR="00CF03FA" w:rsidRDefault="00CF03FA" w:rsidP="00CF03FA">
      <w:pPr>
        <w:pStyle w:val="TextoNormal"/>
      </w:pPr>
    </w:p>
    <w:p w:rsidR="00CF03FA" w:rsidRDefault="00CF03FA" w:rsidP="00CF03FA">
      <w:pPr>
        <w:pStyle w:val="TextoNormal"/>
      </w:pPr>
      <w:r w:rsidRPr="00CF03FA">
        <w:rPr>
          <w:rStyle w:val="NumeroAFNegritaCaracter"/>
        </w:rPr>
        <w:t>5</w:t>
      </w:r>
      <w:r>
        <w:t>. El 30 de octubre de 2007 el Fiscal General del Estado presentó su escrito de alegaciones en el que señala que, tratándose de un supuesto idéntico al que se refería la cuestión de inconstitucionalidad núm. 6895-2007, planteada por el mismo órgano judicial, se remite a lo manifestado en aquella interesando la inadmisión de la cuestión.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Juzgado de lo Contencioso-Administrativo núm. 4 de Córdoba plantea cuestión de inconstitucionalidad en relación con los arts. 56 a 64 de la Ley del Parlamento de Andalucía 18/2003, de 29 de diciembre, de medidas fiscales y administrativas,</w:t>
      </w:r>
    </w:p>
    <w:p w:rsidR="00CF03FA" w:rsidRDefault="00CF03FA" w:rsidP="00CF03FA">
      <w:pPr>
        <w:pStyle w:val="TextoNormal"/>
      </w:pPr>
      <w:r>
        <w:t>preceptos que regulan el denominado Impuesto sobre depósito de residuos radiactivos.</w:t>
      </w:r>
    </w:p>
    <w:p w:rsidR="00CF03FA" w:rsidRDefault="00CF03FA" w:rsidP="00CF03FA">
      <w:pPr>
        <w:pStyle w:val="TextoNormal"/>
      </w:pPr>
      <w:r>
        <w:lastRenderedPageBreak/>
        <w:t>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que para su promoción se derivan de los arts. 163 CE y 35 a 37 LOTC o que fueren notoriamente infundadas, circunstancias ambas que concurren en el presente caso.</w:t>
      </w:r>
    </w:p>
    <w:p w:rsidR="00CF03FA" w:rsidRDefault="00CF03FA" w:rsidP="00CF03FA">
      <w:pPr>
        <w:pStyle w:val="TextoNormal"/>
      </w:pPr>
      <w:r>
        <w:t>Por lo que hace, en primer lugar, a la verificación del cumplimiento de los requisitos procesales establecidos en el art. 35.2 LOTC, es de apreciar que no se han cumplido las exigencias de la necesaria audiencia a las partes y al Ministerio Fiscal previamente a la elaboración del Auto de planteamiento de la cuestión de inconstitucionalidad por parte del órgano judicial promotor de la misma. En efecto, en el presente caso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 en el Auto de planteamiento.</w:t>
      </w:r>
    </w:p>
    <w:p w:rsidR="00CF03FA" w:rsidRDefault="00CF03FA" w:rsidP="00CF03FA">
      <w:pPr>
        <w:pStyle w:val="TextoNormal"/>
      </w:pPr>
      <w:r>
        <w:t>Sobre la incidencia que ambas cuestiones tienen en la adecuada realización del preceptivo trámite de audiencia a las partes y al Ministerio Fiscal nos hemos pronunciado ya en el ATC 456/2007, de 12 de diciembre (FFJJ 2 y 3), dictado como consecuencia de la cuestión de inconstitucionalidad núm. 6895-2007, planteada por el propio Juzgado de lo Contencioso-Administrativo núm. 4 de Córdoba, en el que estimamos que el citado trámite de audiencia hubiera sido realizado correctamente si el órgano judicial, apreciada la duda de constitucionalidad suscitada en el proceso, la hubiera efectivamente compartido y trasladado de forma autónoma a las partes y al Ministerio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CF03FA" w:rsidRDefault="00CF03FA" w:rsidP="00CF03FA">
      <w:pPr>
        <w:pStyle w:val="TextoNormal"/>
      </w:pPr>
      <w:r>
        <w:t>Por otra parte, la concreta duda de constitucionalidad suscitada por el órgano judicial ha sido ya resuelta por el referido ATC 456/2007, de 12 de diciembre, en el que este Tribunal ha considerado que la cuestión planteada resultaba ser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de acuerdo con las razones expuestas en el ya citado ATC 456/2007, de 12 de diciembre, a cuyos fundamentos jurídicos 4 a 8 procede remitirse íntegramente, la misma consideración ha de merecer la presente cuestión de inconstitucionalidad.</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cuestión de inconstitucionalidad núm. 6897-2007, planteada por el Juzgado de lo Contencioso-Administrativo núm. 4 de Córdoba.</w:t>
      </w:r>
    </w:p>
    <w:p w:rsidR="00CF03FA" w:rsidRDefault="00CF03FA" w:rsidP="00CF03FA">
      <w:pPr>
        <w:pStyle w:val="TextoNormal"/>
      </w:pPr>
    </w:p>
    <w:p w:rsidR="00CF03FA" w:rsidRDefault="00CF03FA" w:rsidP="00CF03FA">
      <w:pPr>
        <w:pStyle w:val="TextoNormal"/>
      </w:pPr>
      <w:r>
        <w:t>Madrid, a dieciséis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lastRenderedPageBreak/>
        <w:br w:type="page"/>
      </w:r>
    </w:p>
    <w:p w:rsidR="00CF03FA" w:rsidRDefault="00CF03FA" w:rsidP="00CF03FA">
      <w:pPr>
        <w:pStyle w:val="TtuloResolucin"/>
      </w:pPr>
      <w:bookmarkStart w:id="70" w:name="AUTO_2008_9"/>
      <w:r>
        <w:lastRenderedPageBreak/>
        <w:t>AUTO 9/2008, de 16 de enero de 2008</w:t>
      </w:r>
    </w:p>
    <w:bookmarkEnd w:id="70"/>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ECLI:ES:TC:2008:9A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por infundada la cuestión de inconstitucionalidad 6898-2007, planteada por el Juzgado de lo Contencioso-Administrativo núm. 4 de Córdoba en relación con la Ley del Parlamento de Andalucía 18/2003, de 29 de diciembre, de medidas fiscales y administrativas, en lo relativo al impuesto sobre depósito de residuos radioactivos.</w:t>
      </w:r>
    </w:p>
    <w:p w:rsidR="00CF03FA" w:rsidRDefault="00CF03FA" w:rsidP="00CF03FA">
      <w:pPr>
        <w:pStyle w:val="SntesisDescriptiva"/>
      </w:pPr>
    </w:p>
    <w:p w:rsidR="00CF03FA" w:rsidRDefault="00CF03FA" w:rsidP="00CF03FA">
      <w:pPr>
        <w:pStyle w:val="SntesisAnaltica"/>
      </w:pPr>
      <w:r>
        <w:t>Cuestión de inconstitucionalidad: ATC 8/2008.</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6 de agosto de 2007 tuvo entrada en el Registro General de este Tribunal un escrito del Juzgado de lo Contencioso-Administrativo núm. 4 de Córdoba al que se acompaña, junto con el testimonio del correspondiente procedimiento, el Auto de 30 de julio de 2007 en el que se acuerda plantear cuestión de inconstitucionalidad en relación con los arts. 56 a 64 de la Ley de Andalucía 18/2003, de 29 de diciembre, de medidas fiscales y administrativas, por posible vulneración de los arts. 133, 139.2, 149.1.14, 156 y 157.2 CE en relación con los arts. 6.2 y 9 de la Ley Orgánica 8/1980, de 22 de septiembre, de financiación de las Comunidades Autónomas.</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de la cuestión son los siguientes: </w:t>
      </w:r>
    </w:p>
    <w:p w:rsidR="00CF03FA" w:rsidRDefault="00CF03FA" w:rsidP="00CF03FA">
      <w:pPr>
        <w:pStyle w:val="TextoNormal"/>
      </w:pPr>
      <w:r>
        <w:t xml:space="preserve">a) La Empresa Nacional de Residuos Radioactivos, S.A. (en adelante Enresa) interpuso recurso contencioso-administrativo (tramitado por el procedimiento abreviado con el número 745-2006) contra la resolución de la Junta Provincial de Hacienda de Córdoba por la que estima la reclamación económico-administrativa 2890-2005,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solicito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w:t>
      </w:r>
      <w:r>
        <w:lastRenderedPageBreak/>
        <w:t xml:space="preserve">LOFCA) y el principio de interdicción de la arbitrariedad en la actuación de los poderes públicos derivado del art. 9.3 CE </w:t>
      </w:r>
    </w:p>
    <w:p w:rsidR="00CF03FA" w:rsidRDefault="00CF03FA" w:rsidP="00CF03FA">
      <w:pPr>
        <w:pStyle w:val="TextoNormal"/>
      </w:pPr>
      <w:r>
        <w:t xml:space="preserve">b) El 14 de junio de 2007 se celebro la vista del recurso en la que, tras la exposición de las pretensiones de la recurrente Enresa, de la Junta de Andalucía como demandada y de Unión Fenosa Generación, S.A en calidad de codemandada, se declararon los autos conclusos para sentencia señalándose a continuación, de acuerdo con el acta de vista, lo siguiente: “dándose traslado en este acto a las partes y al Ministerio Fiscal por plazo de diez días para formular alegaciones sobre el planteamiento de la cuestión de inconstitucionalidad ante el Tribunal Constitucional”. </w:t>
      </w:r>
    </w:p>
    <w:p w:rsidR="00CF03FA" w:rsidRDefault="00CF03FA" w:rsidP="00CF03FA">
      <w:pPr>
        <w:pStyle w:val="TextoNormal"/>
      </w:pPr>
      <w:r>
        <w:t xml:space="preserve">c) La parte codemandada, Unión Fenosa Generación, S.A., manifestó su parecer favorable al planteamiento de la cuestión de inconstitucionalidad por entender vulnerados, por un lado, el art. 156 en relación con el 149.1.25 CE y , por otro, el art. 6.3 LOFCA. La Junta de Andalucía se opuso al planteamiento de la cuestión de inconstitucionalidad. La demandante Enresa solicitó el planteamiento de la cuestión de inconstitucionalidad por los motivos ya expresados en su escrito de demanda en el proceso a quo. Por su parte, el Ministerio Fiscal estimo procedente el planteamiento de la cuestión por estimar que la regulación del IDRR vulneraba el art. 149.1.25 CE y el art. 6.3 LOFCA. </w:t>
      </w:r>
    </w:p>
    <w:p w:rsidR="00CF03FA" w:rsidRDefault="00CF03FA" w:rsidP="00CF03FA">
      <w:pPr>
        <w:pStyle w:val="TextoNormal"/>
      </w:pPr>
      <w:r>
        <w:t>d) El órgano judicial dicto el Auto de 30 de julio de 2007 planteando la cuestión de inconstitucionalidad en relación con los arts. 56 a 64 de la Ley del Parlamento de Andalucía 18/2003, de 29 de diciembre, de medidas fiscales y administrativas por posible vulneración de los arts. 133, 139.2, 149.1.14, 156 y 157.2 CE en relación con los arts. 6.3 y 9 LOFCA.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cuanto al contenido del Auto de planteamiento interesa destacar lo siguiente: </w:t>
      </w:r>
    </w:p>
    <w:p w:rsidR="00CF03FA" w:rsidRDefault="00CF03FA" w:rsidP="00CF03FA">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dicto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en su día interpuesto. </w:t>
      </w:r>
    </w:p>
    <w:p w:rsidR="00CF03FA" w:rsidRDefault="00CF03FA" w:rsidP="00CF03FA">
      <w:pPr>
        <w:pStyle w:val="TextoNormal"/>
      </w:pPr>
      <w:r>
        <w:t xml:space="preserve">b) Tras ello señala las normas con fuerza de Ley cuya constitucionalidad se cuestiona, los arts 56 a 64 de la Ley 18/2003, así como los preceptos constitucionales que se reputan vulnerados, arts 133, 139.2, 149.1.14, 156, 157.2 CE en relación con los arts. 6.2 y 9 LOFCA,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CF03FA" w:rsidRDefault="00CF03FA" w:rsidP="00CF03FA">
      <w:pPr>
        <w:pStyle w:val="TextoNormal"/>
      </w:pPr>
      <w:r>
        <w:t xml:space="preserve">c) En cuanto a los concretos motivos que determinan el planteamiento de la cuestión de inconstitucionalidad, en el Auto 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tienen por finalidad el establecimiento de una exacción extrafiscal por el hecho del almacenamiento de tales residuos, sin que limite o condicione el régimen de producción energética, </w:t>
      </w:r>
      <w:r>
        <w:lastRenderedPageBreak/>
        <w:t xml:space="preserve">lo que determina que no se vulnere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por recaer sobre la misma actividad del IAE, epígrafe 143.3 almacenamiento de residuos radiactivos, por lo que considera que el tributo autonómico puede ser contrario al art. 6.2 LOFCA en relación con el art. 133.2 CE. También se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CF03FA" w:rsidRDefault="00CF03FA" w:rsidP="00CF03FA">
      <w:pPr>
        <w:pStyle w:val="TextoNormal"/>
      </w:pPr>
      <w:r>
        <w:t xml:space="preserve">d) 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 </w:t>
      </w:r>
    </w:p>
    <w:p w:rsidR="00CF03FA" w:rsidRDefault="00CF03FA" w:rsidP="00CF03FA">
      <w:pPr>
        <w:pStyle w:val="TextoNormal"/>
      </w:pPr>
      <w:r>
        <w:t>El Auto termina disponiendo el planteamiento al Tribunal Constitucional de la posible inconstitucionalidad de los arts. 56, 57, 58, 59, 60, 61, 62, 63 y 64 de la Ley del Parlamento de Andalucía 18/2003, de 29 de diciembre, de medidas fiscales y administrativas por poder ser contrarios a los arts. 133, 139.2, 149.1.14, 156 y 157.2 CE en relación con los arts. 6.3 y 9 LOFCA.</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Tercera de este Tribunal Constitucional, de fecha 25 de septiembre de 2007, se acordó oír al Fiscal General del Estado para que, en el plazo de diez días, alegara lo que considerara conveniente acerca de la admisibilidad de la presente cuestión de inconstitucionalidad.</w:t>
      </w:r>
    </w:p>
    <w:p w:rsidR="00CF03FA" w:rsidRDefault="00CF03FA" w:rsidP="00CF03FA">
      <w:pPr>
        <w:pStyle w:val="TextoNormal"/>
      </w:pPr>
    </w:p>
    <w:p w:rsidR="00CF03FA" w:rsidRDefault="00CF03FA" w:rsidP="00CF03FA">
      <w:pPr>
        <w:pStyle w:val="TextoNormal"/>
      </w:pPr>
      <w:r w:rsidRPr="00CF03FA">
        <w:rPr>
          <w:rStyle w:val="NumeroAFNegritaCaracter"/>
        </w:rPr>
        <w:t>5</w:t>
      </w:r>
      <w:r>
        <w:t>. El 30 de octubre de 2007 el Fiscal General del Estado presentó su escrito de alegaciones en el que señala que, tratándose de un supuesto idéntico al que se refería la cuestión de inconstitucionalidad núm. 6895/2007, planteada por el mismo órgano judicial, se remite a lo manifestado en aquella interesando la inadmisión de la cuestión.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Juzgado de lo Contencioso-Administrativo núm. 4 de Córdoba plantea cuestión de inconstitucionalidad en relación con los arts. 56 a 64 de la Ley del Parlamento de Andalucía 18/2003, de 29 de diciembre, de medidas fiscales y administrativas,</w:t>
      </w:r>
    </w:p>
    <w:p w:rsidR="00CF03FA" w:rsidRDefault="00CF03FA" w:rsidP="00CF03FA">
      <w:pPr>
        <w:pStyle w:val="TextoNormal"/>
      </w:pPr>
      <w:r>
        <w:t>preceptos que regulan el denominado Impuesto sobre depósito de residuos radiactivos.</w:t>
      </w:r>
    </w:p>
    <w:p w:rsidR="00CF03FA" w:rsidRDefault="00CF03FA" w:rsidP="00CF03FA">
      <w:pPr>
        <w:pStyle w:val="TextoNormal"/>
      </w:pPr>
      <w:r>
        <w:t xml:space="preserve">Conforme a lo dispuesto en el art. 37.1 LOTC este Tribunal Constitucional puede rechazar en trámite de admisión, mediante Auto y con la sola audiencia del Fiscal General del </w:t>
      </w:r>
      <w:r>
        <w:lastRenderedPageBreak/>
        <w:t>Estado, aquellas cuestiones de inconstitucionalidad que adolezcan de la falta de los necesarios requisitos procesales que para su promoción se derivan de los arts. 163 CE y 35 a 37 LOTC o que fueren notoriamente infundadas, circunstancias ambas que concurren en el presente caso.</w:t>
      </w:r>
    </w:p>
    <w:p w:rsidR="00CF03FA" w:rsidRDefault="00CF03FA" w:rsidP="00CF03FA">
      <w:pPr>
        <w:pStyle w:val="TextoNormal"/>
      </w:pPr>
      <w:r>
        <w:t>Por lo que hace, en primer lugar, a la verificación del cumplimiento de los requisitos procesales establecidos en el art. 35.2 LOTC, es de apreciar que no se han cumplido las exigencias de la necesaria audiencia a las partes y al Ministerio Fiscal previamente a la elaboración del Auto de planteamiento de la cuestión de inconstitucionalidad por parte del órgano judicial promotor de la misma. En efecto, en el presente caso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 en el Auto de planteamiento.</w:t>
      </w:r>
    </w:p>
    <w:p w:rsidR="00CF03FA" w:rsidRDefault="00CF03FA" w:rsidP="00CF03FA">
      <w:pPr>
        <w:pStyle w:val="TextoNormal"/>
      </w:pPr>
      <w:r>
        <w:t>Sobre la incidencia que ambas cuestiones tienen en la adecuada realización del preceptivo trámite de audiencia a las partes y al Ministerio Fiscal nos hemos pronunciado ya en el ATC de 12 de diciembre de 2007 (FFJJ 2 y 3) dictado como consecuencia de la cuestión de inconstitucionalidad núm. 6895-2007, planteada por el propio Juzgado de lo Contencioso-Administrativo núm. 4 de Córdoba, en el que estimamos que el citado trámite de audiencia hubiera sido realizado correctamente si el órgano judicial, apreciada la duda de constitucionalidad suscitada en el proceso, la hubiera efectivamente compartido y trasladado de forma autónoma a las partes y al Ministerio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CF03FA" w:rsidRDefault="00CF03FA" w:rsidP="00CF03FA">
      <w:pPr>
        <w:pStyle w:val="TextoNormal"/>
      </w:pPr>
      <w:r>
        <w:t>Por otra parte, la concreta duda de constitucionalidad suscitada por el órgano judicial ha sido ya resuelta por el referido ATC de 12 de diciembre de 2007, en el que este Tribunal ha considerado que la cuestión planteada resultaba ser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de acuerdo con las razones expuestas en el ya citado ATC de 12 de diciembre, a cuyos fundamentos jurídicos 4 a 8 procede remitirse íntegramente, la misma consideración ha de merecer la presente cuestión de inconstitucionalidad.</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cuestión de inconstitucionalidad núm. 6898-2007, planteada por el Juzgado de lo Contencioso-Administrativo núm. 4 de Córdoba.</w:t>
      </w:r>
    </w:p>
    <w:p w:rsidR="00CF03FA" w:rsidRDefault="00CF03FA" w:rsidP="00CF03FA">
      <w:pPr>
        <w:pStyle w:val="TextoNormal"/>
      </w:pPr>
    </w:p>
    <w:p w:rsidR="00CF03FA" w:rsidRDefault="00CF03FA" w:rsidP="00CF03FA">
      <w:pPr>
        <w:pStyle w:val="TextoNormal"/>
      </w:pPr>
      <w:r>
        <w:t>Madrid, a dieciséis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71" w:name="AUTO_2008_10"/>
      <w:r>
        <w:lastRenderedPageBreak/>
        <w:t>AUTO 10/2008, de 16 de enero de 2008</w:t>
      </w:r>
    </w:p>
    <w:bookmarkEnd w:id="71"/>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ECLI:ES:TC:2008:10A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por infundada la cuestión de inconstitucionalidad 6899-2007, planteada por el Juzgado de lo Contencioso-Administrativo núm. 4 de Córdoba en relación con la Ley del Parlamento de Andalucía 18/2003, de 29 de diciembre, de medidas fiscales y administrativas, en lo relativo al impuesto sobre depósito de residuos radioactivos.</w:t>
      </w:r>
    </w:p>
    <w:p w:rsidR="00CF03FA" w:rsidRDefault="00CF03FA" w:rsidP="00CF03FA">
      <w:pPr>
        <w:pStyle w:val="SntesisDescriptiva"/>
      </w:pPr>
    </w:p>
    <w:p w:rsidR="00CF03FA" w:rsidRDefault="00CF03FA" w:rsidP="00CF03FA">
      <w:pPr>
        <w:pStyle w:val="SntesisAnaltica"/>
      </w:pPr>
      <w:r>
        <w:t>Cuestión de inconstitucionalidad: ATC 8/2008.</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6 de agosto de 2007 tuvo entrada en el Registro General de este Tribunal un escrito del Juzgado de lo Contencioso-Administrativo núm. 4 de Córdoba al que se acompaña, junto con el testimonio del correspondiente procedimiento, el Auto de 30 de julio de 2007 en el que se acuerda plantear cuestión de inconstitucionalidad en relación con los arts. 56 a 64 de la Ley de Andalucía 18/2003, de 29 de diciembre, de medidas fiscales y administrativas, por posible vulneración de los arts. 133, 139.2, 149.1.14, 156 y 157.2 CE en relación con los arts. 6.2 y 9 de la Ley Orgánica 8/1980, de 22 de septiembre, de financiación de las Comunidades Autónomas.</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de la cuestión son los siguientes: </w:t>
      </w:r>
    </w:p>
    <w:p w:rsidR="00CF03FA" w:rsidRDefault="00CF03FA" w:rsidP="00CF03FA">
      <w:pPr>
        <w:pStyle w:val="TextoNormal"/>
      </w:pPr>
      <w:r>
        <w:t xml:space="preserve">a) La Empresa Nacional de Residuos Radioactivos, S.A. (en adelante Enresa) interpuso recurso contencioso-administrativo (tramitado por el procedimiento abreviado con el número 745-2006) contra la resolución de la Junta Provincial de Hacienda de Córdoba por la que estima la reclamación económico-administrativa 2890-2005,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solicito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w:t>
      </w:r>
      <w:r>
        <w:lastRenderedPageBreak/>
        <w:t xml:space="preserve">LOFCA) y el principio de interdicción de la arbitrariedad en la actuación de los poderes públicos derivado del art. 9.3 CE </w:t>
      </w:r>
    </w:p>
    <w:p w:rsidR="00CF03FA" w:rsidRDefault="00CF03FA" w:rsidP="00CF03FA">
      <w:pPr>
        <w:pStyle w:val="TextoNormal"/>
      </w:pPr>
      <w:r>
        <w:t xml:space="preserve">b) El 14 de junio de 2007 se celebro la vista del recurso en la que, tras la exposición de las pretensiones de la recurrente Enresa, de la Junta de Andalucía como demandada y de Unión Fenosa Generación, S.A en calidad de codemandada, se declararon los autos conclusos para sentencia señalándose a continuación, de acuerdo con el acta de vista, lo siguiente: “dándose traslado en este acto a las partes y al Ministerio Fiscal por plazo de diez días para formular alegaciones sobre el planteamiento de la cuestión de inconstitucionalidad ante el Tribunal Constitucional”. </w:t>
      </w:r>
    </w:p>
    <w:p w:rsidR="00CF03FA" w:rsidRDefault="00CF03FA" w:rsidP="00CF03FA">
      <w:pPr>
        <w:pStyle w:val="TextoNormal"/>
      </w:pPr>
      <w:r>
        <w:t xml:space="preserve">c) La parte codemandada, Unión Fenosa Generación, S.A., manifestó su parecer favorable al planteamiento de la cuestión de inconstitucionalidad por entender vulnerados, por un lado, el art. 156 en relación con el 149.1.25 CE y , por otro, el art. 6.3 LOFCA. La Junta de Andalucía se opuso al planteamiento de la cuestión de inconstitucionalidad. La demandante Enresa solicitó el planteamiento de la cuestión de inconstitucionalidad por los motivos ya expresados en su escrito de demanda en el proceso a quo. Por su parte, el Ministerio Fiscal estimo procedente el planteamiento de la cuestión por estimar que la regulación del IDRR vulneraba el art. 149.1.25 CE y el art. 6.3 LOFCA. </w:t>
      </w:r>
    </w:p>
    <w:p w:rsidR="00CF03FA" w:rsidRDefault="00CF03FA" w:rsidP="00CF03FA">
      <w:pPr>
        <w:pStyle w:val="TextoNormal"/>
      </w:pPr>
      <w:r>
        <w:t>d) El órgano judicial dicto el Auto de 30 de julio de 2007 planteando la cuestión de inconstitucionalidad en relación con los arts. 56 a 64 de la Ley del Parlamento de Andalucía 18/2003, de 29 de diciembre, de medidas fiscales y administrativas por posible vulneración de los arts. 133, 139.2, 149.1.14, 156 y 157.2 CE en relación con los arts. 6.3 y 9 LOFCA.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cuanto al contenido del Auto de planteamiento interesa destacar lo siguiente: </w:t>
      </w:r>
    </w:p>
    <w:p w:rsidR="00CF03FA" w:rsidRDefault="00CF03FA" w:rsidP="00CF03FA">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dicto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en su día interpuesto. </w:t>
      </w:r>
    </w:p>
    <w:p w:rsidR="00CF03FA" w:rsidRDefault="00CF03FA" w:rsidP="00CF03FA">
      <w:pPr>
        <w:pStyle w:val="TextoNormal"/>
      </w:pPr>
      <w:r>
        <w:t xml:space="preserve">b) Tras ello señala las normas con fuerza de Ley cuya constitucionalidad se cuestiona, los arts 56 a 64 de la Ley 18/2003, así como los preceptos constitucionales que se reputan vulnerados, arts 133, 139.2, 149.1.14, 156, 157.2 CE en relación con los arts. 6.2 y 9 LOFCA,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CF03FA" w:rsidRDefault="00CF03FA" w:rsidP="00CF03FA">
      <w:pPr>
        <w:pStyle w:val="TextoNormal"/>
      </w:pPr>
      <w:r>
        <w:t xml:space="preserve">c) En cuanto a los concretos motivos que determinan el planteamiento de la cuestión de inconstitucionalidad, en el Auto 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tienen por finalidad el establecimiento de una exacción extrafiscal por el hecho del almacenamiento de tales residuos, sin que limite o condicione el régimen de producción energética, </w:t>
      </w:r>
      <w:r>
        <w:lastRenderedPageBreak/>
        <w:t xml:space="preserve">lo que determina que no se vulnere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por recaer sobre la misma actividad del IAE, epígrafe 143.3 almacenamiento de residuos radiactivos, por lo que considera que el tributo autonómico puede ser contrario al art. 6.2 LOFCA en relación con el art. 133.2 CE. También se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CF03FA" w:rsidRDefault="00CF03FA" w:rsidP="00CF03FA">
      <w:pPr>
        <w:pStyle w:val="TextoNormal"/>
      </w:pPr>
      <w:r>
        <w:t xml:space="preserve">d) 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 </w:t>
      </w:r>
    </w:p>
    <w:p w:rsidR="00CF03FA" w:rsidRDefault="00CF03FA" w:rsidP="00CF03FA">
      <w:pPr>
        <w:pStyle w:val="TextoNormal"/>
      </w:pPr>
      <w:r>
        <w:t>El Auto termina disponiendo el planteamiento al Tribunal Constitucional de la posible inconstitucionalidad de los arts. 56, 57, 58, 59, 60, 61, 62, 63 y 64 de la Ley del Parlamento de Andalucía 18/2003, de 29 de diciembre, de medidas fiscales y administrativas por poder ser contrarios a los arts. 133, 139.2, 149.1.14, 156 y 157.2 CE en relación con los arts. 6.3 y 9 LOFCA.</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Tercera de este Tribunal Constitucional, de fecha 25 de septiembre de 2007, se acordó oír al Fiscal General del Estado para que, en el plazo de diez días, alegara lo que considerara conveniente acerca de la admisibilidad de la presente cuestión de inconstitucionalidad.</w:t>
      </w:r>
    </w:p>
    <w:p w:rsidR="00CF03FA" w:rsidRDefault="00CF03FA" w:rsidP="00CF03FA">
      <w:pPr>
        <w:pStyle w:val="TextoNormal"/>
      </w:pPr>
    </w:p>
    <w:p w:rsidR="00CF03FA" w:rsidRDefault="00CF03FA" w:rsidP="00CF03FA">
      <w:pPr>
        <w:pStyle w:val="TextoNormal"/>
      </w:pPr>
      <w:r w:rsidRPr="00CF03FA">
        <w:rPr>
          <w:rStyle w:val="NumeroAFNegritaCaracter"/>
        </w:rPr>
        <w:t>5</w:t>
      </w:r>
      <w:r>
        <w:t>. El 30 de octubre de 2007 el Fiscal General del Estado presentó su escrito de alegaciones en el que señala que, tratándose de un supuesto idéntico al que se refería la cuestión de inconstitucionalidad núm. 6895/2007, planteada por el mismo órgano judicial, se remite a lo manifestado en aquella interesando la inadmisión de la cuestión.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Juzgado de lo Contencioso-Administrativo núm. 4 de Córdoba plantea cuestión de inconstitucionalidad en relación con los arts. 56 a 64 de la Ley del Parlamento de Andalucía 18/2003, de 29 de diciembre, de medidas fiscales y administrativas,</w:t>
      </w:r>
    </w:p>
    <w:p w:rsidR="00CF03FA" w:rsidRDefault="00CF03FA" w:rsidP="00CF03FA">
      <w:pPr>
        <w:pStyle w:val="TextoNormal"/>
      </w:pPr>
      <w:r>
        <w:t>preceptos que regulan el denominado Impuesto sobre depósito de residuos radiactivos.</w:t>
      </w:r>
    </w:p>
    <w:p w:rsidR="00CF03FA" w:rsidRDefault="00CF03FA" w:rsidP="00CF03FA">
      <w:pPr>
        <w:pStyle w:val="TextoNormal"/>
      </w:pPr>
      <w:r>
        <w:t xml:space="preserve">Conforme a lo dispuesto en el art. 37.1 LOTC este Tribunal Constitucional puede rechazar en trámite de admisión, mediante Auto y con la sola audiencia del Fiscal General del </w:t>
      </w:r>
      <w:r>
        <w:lastRenderedPageBreak/>
        <w:t>Estado, aquellas cuestiones de inconstitucionalidad que adolezcan de la falta de los necesarios requisitos procesales que para su promoción se derivan de los arts. 163 CE y 35 a 37 LOTC o que fueren notoriamente infundadas, circunstancias ambas que concurren en el presente caso.</w:t>
      </w:r>
    </w:p>
    <w:p w:rsidR="00CF03FA" w:rsidRDefault="00CF03FA" w:rsidP="00CF03FA">
      <w:pPr>
        <w:pStyle w:val="TextoNormal"/>
      </w:pPr>
      <w:r>
        <w:t>Por lo que hace, en primer lugar, a la verificación del cumplimiento de los requisitos procesales establecidos en el art. 35.2 LOTC, es de apreciar que no se han cumplido las exigencias de la necesaria audiencia a las partes y al Ministerio Fiscal previamente a la elaboración del Auto de planteamiento de la cuestión de inconstitucionalidad por parte del órgano judicial promotor de la misma. En efecto, en el presente caso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 en el Auto de planteamiento.</w:t>
      </w:r>
    </w:p>
    <w:p w:rsidR="00CF03FA" w:rsidRDefault="00CF03FA" w:rsidP="00CF03FA">
      <w:pPr>
        <w:pStyle w:val="TextoNormal"/>
      </w:pPr>
      <w:r>
        <w:t>Sobre la incidencia que ambas cuestiones tienen en la adecuada realización del preceptivo trámite de audiencia a las partes y al Ministerio Fiscal nos hemos pronunciado ya en el ATC de 12 de diciembre de 2007 (FFJJ 2 y 3) dictado como consecuencia de la cuestión de inconstitucionalidad núm. 6895-2007, planteada por el propio Juzgado de lo Contencioso-Administrativo núm. 4 de Córdoba, en el que estimamos que el citado trámite de audiencia hubiera sido realizado correctamente si el órgano judicial, apreciada la duda de constitucionalidad suscitada en el proceso, la hubiera efectivamente compartido y trasladado de forma autónoma a las partes y al Ministerio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CF03FA" w:rsidRDefault="00CF03FA" w:rsidP="00CF03FA">
      <w:pPr>
        <w:pStyle w:val="TextoNormal"/>
      </w:pPr>
      <w:r>
        <w:t>Por otra parte, la concreta duda de constitucionalidad suscitada por el órgano judicial ha sido ya resuelta por el referido ATC de 12 de diciembre de 2007, en el que este Tribunal ha considerado que la cuestión planteada resultaba ser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de acuerdo con las razones expuestas en el ya citado ATC de 12 de diciembre, a cuyos fundamentos jurídicos 4 a 8 procede remitirse íntegramente, la misma consideración ha de merecer la presente cuestión de inconstitucionalidad.</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cuestión de inconstitucionalidad núm. 6899-2007, planteada por el Juzgado de lo Contencioso-Administrativo núm. 4 de Córdoba.</w:t>
      </w:r>
    </w:p>
    <w:p w:rsidR="00CF03FA" w:rsidRDefault="00CF03FA" w:rsidP="00CF03FA">
      <w:pPr>
        <w:pStyle w:val="TextoNormal"/>
      </w:pPr>
    </w:p>
    <w:p w:rsidR="00CF03FA" w:rsidRDefault="00CF03FA" w:rsidP="00CF03FA">
      <w:pPr>
        <w:pStyle w:val="TextoNormal"/>
      </w:pPr>
      <w:r>
        <w:t>Madrid, a dieciséis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72" w:name="AUTO_2008_11"/>
      <w:r>
        <w:lastRenderedPageBreak/>
        <w:t>AUTO 11/2008, de 16 de enero de 2008</w:t>
      </w:r>
    </w:p>
    <w:bookmarkEnd w:id="72"/>
    <w:p w:rsidR="00CF03FA" w:rsidRDefault="00CF03FA" w:rsidP="00CF03FA">
      <w:pPr>
        <w:pStyle w:val="TtuloResolucin"/>
      </w:pPr>
      <w:r>
        <w:t>Pleno</w:t>
      </w:r>
    </w:p>
    <w:p w:rsidR="00CF03FA" w:rsidRDefault="00CF03FA" w:rsidP="00CF03FA">
      <w:pPr>
        <w:pStyle w:val="TtuloResolucin"/>
      </w:pPr>
    </w:p>
    <w:p w:rsidR="00CF03FA" w:rsidRDefault="00CF03FA" w:rsidP="00CF03FA">
      <w:pPr>
        <w:pStyle w:val="TtuloBOE"/>
      </w:pPr>
      <w:r>
        <w:t>("BOE" núm. 52, de 29 de febrero de 2008)</w:t>
      </w:r>
    </w:p>
    <w:p w:rsidR="00CF03FA" w:rsidRDefault="00CF03FA" w:rsidP="00CF03FA">
      <w:pPr>
        <w:pStyle w:val="TtuloBOE"/>
      </w:pPr>
    </w:p>
    <w:p w:rsidR="00CF03FA" w:rsidRDefault="00CF03FA" w:rsidP="00CF03FA">
      <w:pPr>
        <w:pStyle w:val="SntesisDescriptiva"/>
      </w:pPr>
      <w:r>
        <w:t>ECLI:ES:TC:2008:11A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por infundada la cuestión de inconstitucionalidad 7496-2007, planteada por el Tribunal Superior de Justicia de Galicia en relación con el artículo 26.4 de la Ley del Parlamento de Galicia 5/1999, de 21 de mayo, de ordenación farmacéutica.</w:t>
      </w:r>
    </w:p>
    <w:p w:rsidR="00CF03FA" w:rsidRDefault="00CF03FA" w:rsidP="00CF03FA">
      <w:pPr>
        <w:pStyle w:val="SntesisDescriptiva"/>
      </w:pPr>
    </w:p>
    <w:p w:rsidR="00CF03FA" w:rsidRDefault="00CF03FA" w:rsidP="00CF03FA">
      <w:pPr>
        <w:pStyle w:val="SntesisAnaltica"/>
      </w:pPr>
      <w:r>
        <w:t>Farmacias: despacho de medicamentos. Inadmisión de cuestión de inconstitucionalidad: notoriamente infundada.</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25 de septiembre de 2007 tuvo entrada en el Registro General de este Tribunal un escrito de la Sección Segunda de la Sala de lo Contencioso-Administrativo del Tribunal Superior de Justicia de Galicia al que se acompaña, junto con el testimonio del correspondiente procedimiento (tramitado con el núm. 4211-2002), el Auto de 11 de abril de 2007, en el que se acuerda plantear cuestión de inconstitucionalidad en relación con el art. 26.4, segundo inciso, de la Ley del Parlamento de Galicia 5/1999, de 21 de mayo, de ordenación farmacéutica, por posible vulneración del art. 149.1.16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de la presente cuestión son los siguientes: </w:t>
      </w:r>
    </w:p>
    <w:p w:rsidR="00CF03FA" w:rsidRDefault="00CF03FA" w:rsidP="00CF03FA">
      <w:pPr>
        <w:pStyle w:val="TextoNormal"/>
      </w:pPr>
      <w:r>
        <w:t xml:space="preserve">a) La Federación de Empresarios de Farmacia de Galicia (FEFGA) interpuso recurso contencioso-administrativo (tramitado con el número 4211-2002) contra el art. 5.3 de la Orden, de 20 de noviembre de 2001, de la Consejería de Sanidad y Servicios Sociales de la Junta de Galicia, por la que se establecen los requisitos y el procedimiento de autorización de las boticas anexas, y que textualmente establece que </w:t>
      </w:r>
    </w:p>
    <w:p w:rsidR="00CF03FA" w:rsidRDefault="00CF03FA" w:rsidP="00CF03FA">
      <w:pPr>
        <w:pStyle w:val="TextoNormal"/>
      </w:pPr>
      <w:r>
        <w:t xml:space="preserve">“El farmacéutico titular de la oficina de farmacia a que esté vinculada la botica anexa, deberá garantizar la presencia y actuación profesional de un farmacéutico en la dispensación de medicamentos al público en la mencionada botica. En el desarrollo de esta tarea el farmacéutico podrá contar con la colaboración de un técnico o auxiliar en farmacia. En circunstancias excepcionales, debidas a catástrofes, en las que no sea posible realizar la dispensación de medicamentos por un farmacéutico, la Consejería de Sanidad y Servicios Sociales podrá autorizar que dicha función pueda ser realizada por personal no farmacéutico </w:t>
      </w:r>
      <w:r>
        <w:lastRenderedPageBreak/>
        <w:t xml:space="preserve">expresamente autorizado, autorización que deberá limitar esta dispensación para dicha botica anexa y durante el tiempo en que concurra tal circunstancia excepcional”. </w:t>
      </w:r>
    </w:p>
    <w:p w:rsidR="00CF03FA" w:rsidRDefault="00CF03FA" w:rsidP="00CF03FA">
      <w:pPr>
        <w:pStyle w:val="TextoNormal"/>
      </w:pPr>
      <w:r>
        <w:t xml:space="preserve">b) A juicio de la parte actora el último inciso del citado precepto reglamentario es nulo de pleno derecho porque desconoce la competencia del Estado en materia de “bases y coordinación general de la sanidad” (art. 149.1.16 CE), toda vez que, al permitir que en determinadas circunstancias la dispensación de medicamentos pueda realizarse por persona distinta del farmacéutico, ignora y contradice la regla prevista en el art. 5.1 de la Ley 16/1997, de 25 de abril, de regulación de los servicios de las oficinas de farmacia, en cuanto dispone con carácter básico que “la presencia y actuación profesional de un farmacéutico es condición y requisito inexcusable para la dispensación al público de medicamentos”. Comoquiera, además, que el citado precepto reglamentario impugnado se limita a desarrollar lo dispuesto en el art. 26.4 de la Ley del Parlamento de Galicia 5/1999, de 21 de mayo, de ordenación farmacéutica, cuyo inciso segundo establece en términos prácticamente idénticos la misma excepción a la mencionada regla básica (“en circunstancias excepcionales, la Consejería de Sanidad y Servicios Sociales podrá autorizar que dicha función pueda ser realizada por personal no farmacéutico expresamente autorizado”), la parte actora extiende a este precepto legal autonómico idéntica tacha de extralimitación competencial. Por este motivo terminaba su demanda interesando del órgano judicial que, llegado el caso, procediera a plantear la oportuna cuestión de inconstitucionalidad. </w:t>
      </w:r>
    </w:p>
    <w:p w:rsidR="00CF03FA" w:rsidRDefault="00CF03FA" w:rsidP="00CF03FA">
      <w:pPr>
        <w:pStyle w:val="TextoNormal"/>
      </w:pPr>
      <w:r>
        <w:t xml:space="preserve">c) Una vez conclusas las actuaciones y dentro del plazo para dictar sentencia, la Sección Segunda de la Sala de lo Contencioso-Administrativo del Tribunal Superior de Justicia de Galicia, por providencia de 29 de septiembre de 2005, acordó, de conformidad con lo previsto en el art. 35.2 LOTC, conceder a las partes y al Ministerio Fiscal plazo común de diez días para que formularan alegaciones sobre la pertinencia de plantear cuestión de inconstitucionalidad respecto del párrafo segundo del art. 26.4 de la Ley del Parlamento de Galicia 5/1999, de 21 de mayo, de ordenación farmacéutica, por posible vulneración del art. 149.1.16 CE en relación con el art. 5.1 de la Ley 16/1997, de 25 de abril, de regulación de los servicios de las oficinas de farmacia, por ser el citado precepto autonómico el que presta la imprescindible cobertura legal a lo que dispuesto en el art. 5.3 de la Orden, de 20 de noviembre de 2001, de la Consejería de Sanidad y Servicios Sociales de la Junta de Galicia, impugnado en el recurso contencioso-administrativo. Al no constar las oportunas notificaciones a las partes de esta resolución, la Sala, por diligencia de ordenación de 13 de diciembre de 20006, acordó renovarla, concediendo nuevo plazo para alegaciones. </w:t>
      </w:r>
    </w:p>
    <w:p w:rsidR="00CF03FA" w:rsidRDefault="00CF03FA" w:rsidP="00CF03FA">
      <w:pPr>
        <w:pStyle w:val="TextoNormal"/>
      </w:pPr>
      <w:r>
        <w:t xml:space="preserve">d) Este trámite de audiencia no fue evacuado ni por la parte demandante ni por el Ministerio Fiscal, que nada alegaron al respecto. Sí lo hizo, en cambio, el Letrado de la Junta de Galicia, que, por escrito de 22 de enero de 2007, se opuso al planteamiento de la cuestión de inconstitucionalidad anunciada por considerar que el precepto autonómico considerado, lejos de desconocer la regla básica del art. 5.1 de la Ley 16/1997, estaba constitucionalmente justificado en la competencia autonómica de desarrollo normativo de las bases estatales en relación con los establecimientos farmacéuticos (art. 28.8 EAG). </w:t>
      </w:r>
    </w:p>
    <w:p w:rsidR="00CF03FA" w:rsidRDefault="00CF03FA" w:rsidP="00CF03FA">
      <w:pPr>
        <w:pStyle w:val="TextoNormal"/>
      </w:pPr>
      <w:r>
        <w:t>e) Con fecha 11 de abril de 2007 el órgano judicial dictó Auto planteando la presente cuestión de inconstitucionalidad en relación con el art. 26.4, segundo inciso, de la Ley del Parlamento de Galicia 5/1999, de 21 de mayo, de ordenación farmacéutica, por posible vulneración del art. 149.1.16 CE.</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su Auto de planteamiento el órgano judicial, después de recordar los principales antecedentes del caso y de resumir los respectivos planteamientos de las partes, concluye que el art. 26.4, segundo inciso, de la Ley del Parlamento de Galicia 5/1999, de 21 de mayo, </w:t>
      </w:r>
      <w:r>
        <w:lastRenderedPageBreak/>
        <w:t>de ordenación farmacéutica, al establecer que “en circunstancias excepcionales, la Consejería de Sanidad y Servicios Sociales podrá autorizar que dicha función [la dispensación de medicamentos al público] pueda ser realizada por personal no farmacéutico expresamente autorizado”, y de cuya validez depende el fallo a dictar, en la medida que proporciona cobertura legal a lo dispuesto en el precepto reglamentario impugnado en el proceso, podría vulnerar lo establecido por el Estado con carácter básico al amparo del art. 149.1.16 CE en el art. 5.1 de la Ley 16/1997, de 25 de abril, de regulación de los servicios de las oficinas de farmacia, en cuanto éste último dispone que “la presencia y actuación profesional de un farmacéutico es condición y requisito inexcusable para la dispensación al público de medicamentos y que la colaboración de ayudantes y auxiliares no excusa la actuación del farmacéutico en la oficina de farmacia mientras permanezca abierta al público ni excluye su actuación profesional”.</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fecha 23 de octubre de 2007 la Sala Segunda de este Tribunal Constitucional acordó oír al Fiscal General del Estado para que, en el plazo de diez días, alegara lo que considerase conveniente acerca de la admisibilidad de la presente cuestión de inconstitucionalidad, por si fuese notoriamente infundada.</w:t>
      </w:r>
    </w:p>
    <w:p w:rsidR="00CF03FA" w:rsidRDefault="00CF03FA" w:rsidP="00CF03FA">
      <w:pPr>
        <w:pStyle w:val="TextoNormal"/>
      </w:pPr>
    </w:p>
    <w:p w:rsidR="00CF03FA" w:rsidRDefault="00CF03FA" w:rsidP="00CF03FA">
      <w:pPr>
        <w:pStyle w:val="TextoNormal"/>
      </w:pPr>
      <w:r w:rsidRPr="00CF03FA">
        <w:rPr>
          <w:rStyle w:val="NumeroAFNegritaCaracter"/>
        </w:rPr>
        <w:t>5</w:t>
      </w:r>
      <w:r>
        <w:t>. El 19 de noviembre de 2007 el Fiscal General del Estado presentó su escrito de alegaciones interesando al inadmisión de la cuestión por resultar notoriamente infundada. Resumidamente, porque, de acuerdo con la STC 152/2003, de 17 de julio, dictada en el recurso de inconstitucionalidad núm. 3537-1999, promovido por el Presidente del Gobierno contra otro precepto de la misma Ley autonómica 5/1999, y que el Fiscal en detalle, el precepto legal ahora cuestionado ha de encuadrarse en la competencia autonómica sobre “establecimientos farmacéuticos” y no tiene porqué, entendido siempre con las cautelas que el propio precepto contempla, quebrantar el núcleo de la garantía de la salud de los pacientes.</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La Sección Segunda de la Sala de lo Contencioso-Administrativo del Tribunal Superior de Justicia de Galicia plantea cuestión de inconstitucionalidad en relación con el art. 26.4, segundo inciso, de la Ley del Parlamento de Galicia 5/1999, de 21 de mayo, de ordenación farmacéutica. Según se ha expuesto con más detalle en los antecedentes de esta resolución, el órgano judicial promotor considera que la regulación prevista en el precepto cuestionado vulnera la legislación básica sobre sanidad (art.  149.1.16 CE), al permitir, en forma contraria a lo establecido por la normativa básica estatal, contenida en el art. 5.1 de la Ley 16/1997, de 25 de abril, de regulación de los servicios de las oficinas de farmacia, que, en determinadas circunstancias excepcionales, la dispensación de medicamentos pueda realizarse por persona distinta del farmacéutico.</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En expresión ya normalizada, este Tribunal ha advertido que este último concepto de cuestión “notoriamente infundada” encierra un cierto grado de indefinición, que se traduce procesalmente en otorgar </w:t>
      </w:r>
      <w:r>
        <w:lastRenderedPageBreak/>
        <w:t>al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w:t>
      </w:r>
    </w:p>
    <w:p w:rsidR="00CF03FA" w:rsidRDefault="00CF03FA" w:rsidP="00CF03FA">
      <w:pPr>
        <w:pStyle w:val="TextoNormal"/>
      </w:pPr>
      <w:r>
        <w:t>La lectura de los razonamientos jurídicos del Auto de planteamiento permite anticipar, por las razones que a continuación se exponen, que la duda de constitucionalidad considerada carece de viabilidad, al no contradecir el precepto autonómico cuestionado la regla básica del art. 5.1 de la citada Ley 16/1997, de 25 de abril, de regulación de los servicios de las oficinas de farmacia, ni vulnerar, en consecuencia, las bases sobre sanidad (art. 149.1.16 CE), por lo que procede apreciar en este momento que la cuestión es notoriamente infundada, en los términos que tal expresión ha sido interpretada por este Tribunal.</w:t>
      </w:r>
    </w:p>
    <w:p w:rsidR="00CF03FA" w:rsidRDefault="00CF03FA" w:rsidP="00CF03FA">
      <w:pPr>
        <w:pStyle w:val="TextoNormal"/>
      </w:pPr>
    </w:p>
    <w:p w:rsidR="00CF03FA" w:rsidRDefault="00CF03FA" w:rsidP="00CF03FA">
      <w:pPr>
        <w:pStyle w:val="TextoNormal"/>
      </w:pPr>
      <w:r w:rsidRPr="00CF03FA">
        <w:rPr>
          <w:rStyle w:val="NumeroAFNegritaCaracter"/>
        </w:rPr>
        <w:t>3</w:t>
      </w:r>
      <w:r>
        <w:t>. Para la mejor comprensión de los motivos que justifican la decisión de inadmitir a trámite la presente cuestión conviene comenzar recordando una vez más el contenido de los preceptos pretendidamente enfrentados.</w:t>
      </w:r>
    </w:p>
    <w:p w:rsidR="00CF03FA" w:rsidRDefault="00CF03FA" w:rsidP="00CF03FA">
      <w:pPr>
        <w:pStyle w:val="TextoNormal"/>
      </w:pPr>
      <w:r>
        <w:t>El art. 26.4 de la Ley del Parlamento de Galicia 5/1999, de 21 de mayo, de ordenación farmacéutica —incluido en la Sección Segunda, “De los botiquines”, del Capítulo III, rubricado “La atención farmacéutica en la atención primaria”— y del que se cuestiona únicamente el segundo inciso, dispone lo siguiente:</w:t>
      </w:r>
    </w:p>
    <w:p w:rsidR="00CF03FA" w:rsidRDefault="00CF03FA" w:rsidP="00CF03FA">
      <w:pPr>
        <w:pStyle w:val="TextoNormal"/>
      </w:pPr>
      <w:r>
        <w:t>“La dispensación de medicamentos al público será realizada por un farmacéutico, con la colaboración, en su caso, de un técnico o auxiliar de farmacia. En circunstancias excepcionales, la Consejería de Sanidad y Servicios Sociales podrá autorizar que dicha función pueda ser realizada por personal no farmacéutico expresamente autorizado”.</w:t>
      </w:r>
    </w:p>
    <w:p w:rsidR="00CF03FA" w:rsidRDefault="00CF03FA" w:rsidP="00CF03FA">
      <w:pPr>
        <w:pStyle w:val="TextoNormal"/>
      </w:pPr>
      <w:r>
        <w:t>En desarrollo de esta última previsión legal, el art. 5.3 de la Orden de 20 de noviembre de 2001, de la Consejería de Sanidad y Servicios Sociales de la Junta de Galicia, controvertida en el proceso judicial a quo, y que parte de subrayar el principio de que la dispensación de medicamentos en las boticas se producirá bajo “la presencia y actuación profesional de un farmacéutico”, precisa el citado presupuesto legal, señalando que esas “circunstancias excepcionales” a las que alude la Ley son las “debidas a catástrofes, en las que no sea posible realizar la dispensación de medicamentos por un farmacéutico”, para terminar añadiendo a continuación que la oportuna autorización para dispensar medicamentos sólo es válida para la correspondiente “botica anexa y durante el tiempo en el que concurra tal circunstancia excepcional”.</w:t>
      </w:r>
    </w:p>
    <w:p w:rsidR="00CF03FA" w:rsidRDefault="00CF03FA" w:rsidP="00CF03FA">
      <w:pPr>
        <w:pStyle w:val="TextoNormal"/>
      </w:pPr>
      <w:r>
        <w:t>Por su parte, el art. 5.1 de la Ley 16/1997, de 25 de abril, de regulación de los servicios de las oficinas de farmacia, establece que:</w:t>
      </w:r>
    </w:p>
    <w:p w:rsidR="00CF03FA" w:rsidRDefault="00CF03FA" w:rsidP="00CF03FA">
      <w:pPr>
        <w:pStyle w:val="TextoNormal"/>
      </w:pPr>
      <w:r>
        <w:t>“La presencia y actuación profesional de un farmacéutico es condición y requisito inexcusable para la dispensación al público de medicamentos. La colaboración de ayudantes o auxiliares no excusa la actuación de farmacéutico en la oficina de farmacia, mientras permanezca abierta al público, ni excluye su responsabilidad profesional”.</w:t>
      </w:r>
    </w:p>
    <w:p w:rsidR="00CF03FA" w:rsidRDefault="00CF03FA" w:rsidP="00CF03FA">
      <w:pPr>
        <w:pStyle w:val="TextoNormal"/>
      </w:pPr>
      <w:r>
        <w:t xml:space="preserve">La misma regla, incluso prevista expressis verbis en los mismos precisos términos, sanciona con carácter igualmente básico, ex art. 149.1 16 CE (“bases y coordinación general de la sanidad”), el primer inciso del art. 84.2 b) de la Ley estatal 29/2006, de garantías y uso </w:t>
      </w:r>
      <w:r>
        <w:lastRenderedPageBreak/>
        <w:t>racional de los medicamentos y productos farmacéuticos, que derogó la previsión que asimismo en términos idénticos contemplaba al tiempo de la iniciación del proceso judicial a quo el art. 88.1 b) de la Ley 25/1990, de 20 de diciembre, del medicamento, y que, por ser la norma vigente en este momento, debemos también tener en cuenta para la resolución de la presente cuestión.</w:t>
      </w:r>
    </w:p>
    <w:p w:rsidR="00CF03FA" w:rsidRDefault="00CF03FA" w:rsidP="00CF03FA">
      <w:pPr>
        <w:pStyle w:val="TextoNormal"/>
      </w:pPr>
    </w:p>
    <w:p w:rsidR="00CF03FA" w:rsidRDefault="00CF03FA" w:rsidP="00CF03FA">
      <w:pPr>
        <w:pStyle w:val="TextoNormal"/>
      </w:pPr>
      <w:r w:rsidRPr="00CF03FA">
        <w:rPr>
          <w:rStyle w:val="NumeroAFNegritaCaracter"/>
        </w:rPr>
        <w:t>4</w:t>
      </w:r>
      <w:r>
        <w:t>. Según es ya criterio de este Tribunal, y recuerda, entre otras, la STC 178/2006, de 6 de junio (FJ 2), en supuestos como el presente, de inconstitucionalidad indirecta o mediata de un precepto legal autonómico, por derivar la posible infracción constitucional, no de su incompatibilidad directa con la Constitución, sino de su eventual contradicción con un precepto pretendidamente básico, lo primero que debemos comprobar es si el precepto estatal que opera como canon en el control de constitucionalidad de la ley autonómica tiene, en efecto, carácter básico, para determinar luego, en caso afirmativo, si el precepto autonómico cuestionado pugna efectivamente con el orden competencial por contradecir lo dispuesto con carácter básico por el Estado.</w:t>
      </w:r>
    </w:p>
    <w:p w:rsidR="00CF03FA" w:rsidRDefault="00CF03FA" w:rsidP="00CF03FA">
      <w:pPr>
        <w:pStyle w:val="TextoNormal"/>
      </w:pPr>
      <w:r>
        <w:t>Antes, sin embargo, de iniciar la comprobación anunciada conviene precisar el encuadramiento competencial de la cuestión que consideramos. En esta perspectiva no hay duda de que los preceptos legales enfrentados se incardinan en la materia “ordenación farmacéutica” o “establecimientos farmacéuticos”, puesto que regulan aspectos relativos a la función de dispensación de medicamentos a los destinatarios finales realizada por las oficinas de farmacia (STC 152/2003, de 17 de julio, FJ 7) o, como es aquí el caso, por los botiquines o boticas anexas, considerados legalmente asimismo, al igual que las oficinas de farmacia, establecimientos sanitarios de atención farmacéutica, conforme se desprende del art. 84 de la citada Ley estatal 29/2006, y se encarga de precisar por su parte el art. 3 de la Ley autonómica 5/1999, de ordenación farmacéutica, aquí recurrida.</w:t>
      </w:r>
    </w:p>
    <w:p w:rsidR="00CF03FA" w:rsidRDefault="00CF03FA" w:rsidP="00CF03FA">
      <w:pPr>
        <w:pStyle w:val="TextoNormal"/>
      </w:pPr>
      <w:r>
        <w:t>Aunque no vincule a este Tribunal, importa notar que éste es asimismo el encuadramiento competencial que en forma inequívoca se desprende de los títulos competenciales “bases de [la] sanidad” (art. 149.1.16 CE) y “establecimientos farmacéuticos” (art.  28.8 del Estatuto de Autonomía de Galicia: EAG) que respectivamente invocan la disposición final primera de la citada Ley 16/1997 y la exposición de motivos de la Ley autonómica 5/1999, aquí cuestionada. Y éste es también, en fin, el planteamiento que luce tanto en el Auto de planteamiento como en el escrito de alegaciones presentado por el Ministerio Fiscal, que parten asimismo de dicho encuadramiento competencial.</w:t>
      </w:r>
    </w:p>
    <w:p w:rsidR="00CF03FA" w:rsidRDefault="00CF03FA" w:rsidP="00CF03FA">
      <w:pPr>
        <w:pStyle w:val="TextoNormal"/>
      </w:pPr>
      <w:r>
        <w:t>En consecuencia, en esta materia de “establecimientos farmacéuticos” corresponde al Estado dictar las bases, al amparo del art. 149.1.16 CE, y a la Comunidad Autónoma de Galicia la competencia de “desarrollo legislativo y ejecución de la legislación del Estado” (art. 28.8 EAG).</w:t>
      </w:r>
    </w:p>
    <w:p w:rsidR="00CF03FA" w:rsidRDefault="00CF03FA" w:rsidP="00CF03FA">
      <w:pPr>
        <w:pStyle w:val="TextoNormal"/>
      </w:pPr>
      <w:r>
        <w:t>Con arreglo a este encuadramiento competencial el carácter básico del art. 5.1 de la Ley estatal 16/997, de 25 de abril, no parece discutible. Formalmente porque el citado precepto tiene rango legal y ha sido declarado básico por la disposición final primera de la propia Ley 16/1997. Y materialmente porque es obvio que la exigencia de la presencia y actuación del farmacéutico como requisito inexcusable para la dispensación de medicamentos al público que dicho precepto establece es un elemento estructural y, como tal, característico de las bases del diseño legal de las oficinas de farmacia (STC 109/2003, de 5 de junio, FJ 8) y, más específicamente, de la actividad de dispensación de medicamentos a los ciudadanos que en este tipo de establecimientos sanitarios se realiza, lo que encuentra su justificación en la potencial peligrosidad de los medicamentos y en la consiguiente necesidad de asegurar en todo el territorio nacional una atención informada al paciente.</w:t>
      </w:r>
    </w:p>
    <w:p w:rsidR="00CF03FA" w:rsidRDefault="00CF03FA" w:rsidP="00CF03FA">
      <w:pPr>
        <w:pStyle w:val="TextoNormal"/>
      </w:pPr>
    </w:p>
    <w:p w:rsidR="00CF03FA" w:rsidRDefault="00CF03FA" w:rsidP="00CF03FA">
      <w:pPr>
        <w:pStyle w:val="TextoNormal"/>
      </w:pPr>
      <w:r w:rsidRPr="00CF03FA">
        <w:rPr>
          <w:rStyle w:val="NumeroAFNegritaCaracter"/>
        </w:rPr>
        <w:t>5</w:t>
      </w:r>
      <w:r>
        <w:t>. Una vez comprobada la naturaleza básica del precepto estatal debemos examinar a continuación si, efectivamente, como es el criterio que luce en el Auto de planteamiento, el inciso segundo del art. 26.4 de la Ley autonómica 5/1999, de ordenación farmacéutica, lo contradice, o si, por el contrario, según hemos anunciado, esa contradicción no existe en rigor.</w:t>
      </w:r>
    </w:p>
    <w:p w:rsidR="00CF03FA" w:rsidRDefault="00CF03FA" w:rsidP="00CF03FA">
      <w:pPr>
        <w:pStyle w:val="TextoNormal"/>
      </w:pPr>
      <w:r>
        <w:t>Tal y como hemos recordado, el art. 5.1 de la Ley estatal 16/1997 obliga a que la dispensación de los medicamentos al público se produzca en presencia y con la actuación de un farmacéutico. Esta exigencia básica, como también hemos señalado y subraya, por su parte, el art. 84.1 de la citada Ley estatal 29/2006, se justifica por la necesidad de asegurar la eficacia y seguridad de las pautas establecidas por el médico responsable del paciente en la prescripción de medicamentos y en garantía del uso racional de los medicamentos y productos sanitarios mediante su dispensación informada al paciente.  En suma, la citada exigencia se ordena y justifica en satisfacción del interés público sanitario presente en la correcta dispensación de medicamentos a los ciudadanos, dada la potencial peligrosidad de estos productos.</w:t>
      </w:r>
    </w:p>
    <w:p w:rsidR="00CF03FA" w:rsidRDefault="00CF03FA" w:rsidP="00CF03FA">
      <w:pPr>
        <w:pStyle w:val="TextoNormal"/>
      </w:pPr>
      <w:r>
        <w:t>Naturalmente esta exigencia es igualmente precisa cuando la dispensación se realiza, no en las oficinas de farmacia, sino en los botiquines, habida cuenta su condición común de establecimientos sanitarios de atención farmacéutica y la innegable identidad de la actividad de dispensación de medicamentos al público que cumplen unas y otros [arts.  3.1 y 8.2 de la Ley 5/1999, y art. 5.1 b) de la Orden considerada].</w:t>
      </w:r>
    </w:p>
    <w:p w:rsidR="00CF03FA" w:rsidRDefault="00CF03FA" w:rsidP="00CF03FA">
      <w:pPr>
        <w:pStyle w:val="TextoNormal"/>
      </w:pPr>
      <w:r>
        <w:t>Ahora bien, es incontrovertible que la interpretación literal de la citada regla básica, y que es, según hemos advertido en alguna ocasión, “un mero punto de partida” (STC 225/2002, de 9 de diciembre, FJ 4), no puede desembocar en la exigencia rigurosa y bajo cualquier condición de la presencia física de un farmacéutico siempre que se dispense un medicamento. Como tampoco el hecho de que el legislador estatal no haya previsto expresamente ninguna excepción o modulación a dicha regla básica puede significar que el legislador autonómico no pueda ya, bajo la amenaza de extralimitación competencial, dictar ninguna regla de desarrollo en materia de establecimientos farmacéuticos, con tal que la misma tenga algo que ver con el modo en que se produce la dispensación de medicamentos al público. De hecho, como por extenso razona el Ministerio Fiscal en su escrito de alegaciones, en la STC 152/2003, de 17 de julio, dictada, además, en un asunto en el que se cuestionaba la constitucionalidad de otro precepto de la misma Ley gallega 5/1999, aquí recurrida, ya advertimos que nada se opone a que las Comunidades Autónomas competentes puedan regular determinados aspectos relacionados con la dispensación de medicamentos en las farmacias, siempre y cuando la regulación correspondiente tenga que ver con la actividad ordinaria de este tipo de establecimientos sanitarios y “no ponga en cuestión los principios relativos a garantizar la seguridad de las prescripciones médicas y, con ello, la salud, de los pacientes” (FJ 7). En último término, por lo demás, importa notar que el sistema de distribución de competencias entre el Estado y las Comunidades Autónomas no es un orden que funcione en el vacío o en abstracto, desligado de la realidad en la que opera, ni es tampoco, en consecuencia, un sistema que admita interpretaciones que conduzcan a resultados que pongan en entredicho los valores y bienes constitucionales sustantivos a los que precisamente sirve, en el presente caso, el derecho a la protección de la salud y el consecuente deber de todos los poderes públicos de arbitrar las correspondientes prestaciones y servicios necesarios (arts. 43.1 y 2 CE).</w:t>
      </w:r>
    </w:p>
    <w:p w:rsidR="00CF03FA" w:rsidRDefault="00CF03FA" w:rsidP="00CF03FA">
      <w:pPr>
        <w:pStyle w:val="TextoNormal"/>
      </w:pPr>
      <w:r>
        <w:lastRenderedPageBreak/>
        <w:t>Por tales razones la norma autonómica ahora cuestionada sería objetable constitucionalmente por desconocer la norma básica estatal si la misma comportara una quiebra significada de la mencionada regla básica, de modo que pusiera en cuestión los principios destinados a garantizar la seguridad de las prescripciones médicas o el uso racional de los medicamentos y, en definitiva, la salud de los pacientes, que es, como más arriba hemos destacado, el objetivo al que se ordena la obligada presencia y actuación de un farmacéutico como condición y requisito inexcusable para la dispensación al público de medicamentos. Pero no ciertamente si, como podrá comprobarse a continuación, la norma autonómica, sin cuestionar ese principio general, se limita a contemplar una previsión de atención farmacéutica en situaciones excepcionales.</w:t>
      </w:r>
    </w:p>
    <w:p w:rsidR="00CF03FA" w:rsidRDefault="00CF03FA" w:rsidP="00CF03FA">
      <w:pPr>
        <w:pStyle w:val="TextoNormal"/>
      </w:pPr>
    </w:p>
    <w:p w:rsidR="00CF03FA" w:rsidRDefault="00CF03FA" w:rsidP="00CF03FA">
      <w:pPr>
        <w:pStyle w:val="TextoNormal"/>
      </w:pPr>
      <w:r w:rsidRPr="00CF03FA">
        <w:rPr>
          <w:rStyle w:val="NumeroAFNegritaCaracter"/>
        </w:rPr>
        <w:t>6</w:t>
      </w:r>
      <w:r>
        <w:t>. El art. 26.4 de la Ley 5/1999 cuestionado, luego de sentar el principio de que “la dispensación de medicamentos al público será realizada por un farmacéutico” establece que, no obstante o “en circunstancias excepcionales”, dicha función podrá ser realizada, previa la oportuna autorización, “por personal no farmacéutico expresamente autorizado”. Conforme se ha recordado, el art. 5.3 de la Orden de la Consejería de Sanidad y Servicios Sociales de la Junta de Galicia, de 20 de noviembre de 2001, por la que se establecen los requisitos y el procedimiento de autorización de las boticas anexas, dictado en directa aplicación de la previsión legal aquí controvertida, precisa que esas “circunstancias excepcionales” a las que se refiere el inciso cuestionado son las “debidas a catástrofes” y siempre que en estos casos “no sea posible realizar la dispensación de medicamentos por un farmacéutico”. La concurrencia de estas dos circunstancias excepcionales es, pues, la que habilita al órgano autonómico competente para autorizar el ejercicio de la función de dispensación de medicamentos por personal no farmacéutico, que por su parte deberá asimismo estar expresamente autorizado para hacerlo. Una autorización, además, que el propio precepto reglamentario aclara a continuación sólo vale para el concreto botiquín afectado y por el tiempo en el que concurra tal circunstancia excepcional.</w:t>
      </w:r>
    </w:p>
    <w:p w:rsidR="00CF03FA" w:rsidRDefault="00CF03FA" w:rsidP="00CF03FA">
      <w:pPr>
        <w:pStyle w:val="TextoNormal"/>
      </w:pPr>
      <w:r>
        <w:t>Bajo estas precisas coordenadas, no hay duda que la autorización aquí controvertida no comporta en rigor ninguna quiebra de la base estatal, que antes bien el propio precepto autonómico cuestionado comienza por reconocer, toda vez que no tiene por qué suponer ningún perjuicio para el interés público sanitario o la salud de los pacientes; tanto menos cuando el precepto cuestionado añade que la dispensación en tales circunstancias excepcionales se producirá por “personal expresamente autorizado”; inciso que elimina el riesgo de una dispensación indiscriminada y huérfana de toda cautela y refuerza la conclusión de que la garantía en la dispensación de los medicamentos que asegura la intervención de un farmacéutico no padece, en nada, por la concreta modalidad de dispensación que se discute.</w:t>
      </w:r>
    </w:p>
    <w:p w:rsidR="00CF03FA" w:rsidRDefault="00CF03FA" w:rsidP="00CF03FA">
      <w:pPr>
        <w:pStyle w:val="TextoNormal"/>
      </w:pPr>
      <w:r>
        <w:t xml:space="preserve">De modo que, frente a una rígida interpretación literal de la base estatal del art. 5.1 de la Ley 16/1997, nada se opone a que la Comunidad Autónoma de Galicia, en el ejercicio de su competencia en materia de “establecimientos farmacéuticos” (art.  28.8 EAG), pueda prever, ante situaciones de grave y urgente necesidad y advertida la imposibilidad de contar con la presencia y actuación de un farmacéutico, fórmulas alternativas de dispensación de medicamentos para evitar, en defensa del interés público sanitario y del derecho a la protección de la salud de los ciudadanos, daños irreparables y asegurar, en último término, la consecución de la finalidad objetiva que corresponde a la citada competencia autonómica. De hecho lo contrario equivaldría poco menos que privarla de toda competencia sobre la materia, convirtiendo de paso en impracticable la asistencia farmacéutica a la población que le corresponde garantizar (art. 2.1 de la Ley 16/1997), precisamente, además, en situaciones de catástrofe en las que presumiblemente dicha atención ha de resultar tanto más necesaria. </w:t>
      </w:r>
      <w:r>
        <w:lastRenderedPageBreak/>
        <w:t>Algo así, en definitiva, como que la finalidad objetiva de la regla básica examinada, y que no es otra, según se ha observado, que la de garantizar la atención farmacéutica a la población en condiciones de seguridad, estuviera reñida con la propia asistencia farmacéutica, que lógicamente constituye un prius al modo en que esta asistencia se produce. En suma, que el modo ordinario en que ha de producirse la dispensación debiera prevalecer a toda costa sobre la propia atención farmacéutica a la población, aun cuando la salud de los pacientes estuviera transitoria y excepcionalmente asimismo asegurada.</w:t>
      </w:r>
    </w:p>
    <w:p w:rsidR="00CF03FA" w:rsidRDefault="00CF03FA" w:rsidP="00CF03FA">
      <w:pPr>
        <w:pStyle w:val="TextoNormal"/>
      </w:pPr>
      <w:r>
        <w:t>Comoquiera que un resultado así no sería constitucionalmente correcto, y advertido también que la norma autonómica cuestionada, con las cautelas que hemos subrayado, permite una interpretación fácilmente compatible con la base estatal, debemos concluir que la misma no invade ni desconoce la competencia básica del Estado sobre bases de la sanidad (art. 149.1.16ª CE), lo que priva del necesario fundamento a la presente cuestión.</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cuestión de inconstitucionalidad núm. 7496-2007, planteada por la Sección Segunda de la Sala de lo Contencioso-Administrativo del Tribunal Superior de Justicia de Galicia.</w:t>
      </w:r>
    </w:p>
    <w:p w:rsidR="00CF03FA" w:rsidRDefault="00CF03FA" w:rsidP="00CF03FA">
      <w:pPr>
        <w:pStyle w:val="TextoNormal"/>
      </w:pPr>
    </w:p>
    <w:p w:rsidR="00CF03FA" w:rsidRDefault="00CF03FA" w:rsidP="00CF03FA">
      <w:pPr>
        <w:pStyle w:val="TextoNormal"/>
      </w:pPr>
      <w:r>
        <w:t>Publíquese este Auto en el “Boletín Oficial del Estado”.</w:t>
      </w:r>
    </w:p>
    <w:p w:rsidR="00CF03FA" w:rsidRDefault="00CF03FA" w:rsidP="00CF03FA">
      <w:pPr>
        <w:pStyle w:val="TextoNormal"/>
      </w:pPr>
      <w:r>
        <w:t>Madrid, a dieciséis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73" w:name="AUTO_2008_12"/>
      <w:r>
        <w:lastRenderedPageBreak/>
        <w:t>AUTO 12/2008, de 16 de enero de 2008</w:t>
      </w:r>
    </w:p>
    <w:bookmarkEnd w:id="73"/>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ECLI:ES:TC:2008:12A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la cuestión de inconstitucionalidad 7796-2007, planteada por el Magistrado encargado del Registro Civil de Cieza en relación con el artículo 44, párrafo 2, del Código civil, en la redacción dada por la Ley 13/2005, de 1 de julio. Votos particulares.</w:t>
      </w:r>
    </w:p>
    <w:p w:rsidR="00CF03FA" w:rsidRDefault="00CF03FA" w:rsidP="00CF03FA">
      <w:pPr>
        <w:pStyle w:val="SntesisDescriptiva"/>
      </w:pPr>
    </w:p>
    <w:p w:rsidR="00CF03FA" w:rsidRDefault="00CF03FA" w:rsidP="00CF03FA">
      <w:pPr>
        <w:pStyle w:val="SntesisAnaltica"/>
      </w:pPr>
      <w:r>
        <w:t>Cuestión de inconstitucionalidad: legitimación. Inadmisión de cuestión de inconstitucionalidad: causas de inadmisión. Votos particulares: formulados tres.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4 de octubre de 2007 tuvo entrada en el Registro General de este Tribunal un escrito del Juez titular del Juzgado de Primera Instancia e Instrucción núm. 2 y encargado del Registro Civil de Cieza (Murcia), al que se acompaña, junto al testimonio del expediente matrimonial núm. 102-2007, el Auto de 28 de septiembre de 2007, por el que se acuerda plantear cuestión de constitucionalidad en relación con el art. 44, párrafo segundo, del Código civil, en la redacción dada por la Ley 13/2005, de 1 de julio, por su posible contradicción con los arts. 14, 16 y 32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La cuestión de constitucionalidad trae causa del expediente matrimonial núm. 102-2007 promovido por don Salvador Caballero Ortega y don Rafael Pérez Molina ante el Registro Civil de Cieza solicitando la incoación del expediente correspondiente para contraer matrimonio civil entre sí. </w:t>
      </w:r>
    </w:p>
    <w:p w:rsidR="00CF03FA" w:rsidRDefault="00CF03FA" w:rsidP="00CF03FA">
      <w:pPr>
        <w:pStyle w:val="TextoNormal"/>
      </w:pPr>
      <w:r>
        <w:t xml:space="preserve">Admitida la solicitud y tramitado el expediente, el Juez titular del Juzgado de Primera Instancia e Instrucción núm. 2 y encargado del Registro Civil de Cieza, por providencia de 5 de julio de 2007, acordó plantear la cuestión de constitucionalidad “ante la posibilidad que la Ley 13/2005 de 1 de julio, que modifica el Código civil en materia de derecho a contraer matrimonio, aplicable al presente expediente, pueda vulnerar en alguno de sus artículos la Constitución española, toda vez que el expediente se halla concluso y pendiente de dictar resolución, en virtud del art. 35.2 LOTC, notifíquese la presente al Ministerio Fiscal y a las partes para que en el plazo común de 10 días aleguen lo que a su derecho convengan”. </w:t>
      </w:r>
    </w:p>
    <w:p w:rsidR="00CF03FA" w:rsidRDefault="00CF03FA" w:rsidP="00CF03FA">
      <w:pPr>
        <w:pStyle w:val="TextoNormal"/>
      </w:pPr>
      <w:r>
        <w:t xml:space="preserve">El Ministerio Fiscal evacuó el trámite de alegaciones conferido en el que se opuso al planteamiento de la cuestión de constitucionalidad por no estar el Juez encargado del Registro Civil facultado para promoverla (AATC 505/2005 y 508/2005), así como, en cuanto </w:t>
      </w:r>
      <w:r>
        <w:lastRenderedPageBreak/>
        <w:t xml:space="preserve">al fondo del asunto, por considerar que el art. 44, párrafo segundo, del Código civil no vulnera el art. 32.1 CE. </w:t>
      </w:r>
    </w:p>
    <w:p w:rsidR="00CF03FA" w:rsidRDefault="00CF03FA" w:rsidP="00CF03FA">
      <w:pPr>
        <w:pStyle w:val="TextoNormal"/>
      </w:pPr>
      <w:r>
        <w:t>La representación letrada de don Salvador Caballero Ortega se opuso también al planteamiento de la cuestión de constitucionalidad por no concurrir los requisitos del art. 163 CE (ATC 505/2005) y, en cuanto a la cuestión de fondo suscitada, por no estimar que el precepto legal cuestionado vulnere el art. 32.1 CE.</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el Auto de planteamiento de la cuestión de constitucionalidad, el Juez encargado del Registro Civil de Cieza realiza, en síntesis, las siguientes consideraciones: </w:t>
      </w:r>
    </w:p>
    <w:p w:rsidR="00CF03FA" w:rsidRDefault="00CF03FA" w:rsidP="00CF03FA">
      <w:pPr>
        <w:pStyle w:val="TextoNormal"/>
      </w:pPr>
      <w:r>
        <w:t xml:space="preserve">a) En cuanto a la facultad de los Jueces y Magistrados encargados del Registro Civil para promover una cuestión de constitucionalidad, se afirma en el Auto que de los arts. 163 CE y 35 LOTC se colige que los Juzgados y Tribunales están facultados para plantear cuestiones de constitucionalidad cuando, al encontrarse pendiente de resolver un proceso, les surgieran dudas sobre la constitucionalidad o inconstitucionalidad de una norma legal de cuya validez dependa el fallo. </w:t>
      </w:r>
    </w:p>
    <w:p w:rsidR="00CF03FA" w:rsidRDefault="00CF03FA" w:rsidP="00CF03FA">
      <w:pPr>
        <w:pStyle w:val="TextoNormal"/>
      </w:pPr>
      <w:r>
        <w:t xml:space="preserve">Los Jueces y Magistrados ex art. 117 CE son independientes en el ejercicio de todas sus funciones sin excepción, están sometidos exclusivamente al imperio de la ley y en ningún caso subordinados jerárquicamente a ningún otro órgano. La pérdida de la independencia judicial conllevaría el desequilibrio de uno de los tres pilares del Estado social y democrático de Derecho, ya que, de admitirse la dependencia jerárquica del Juez a otro órgano en la toma de sus decisiones judiciales, éstas ya no estarían basadas en estrictos criterios de sumisión legislativa, único canon que debe presidir todas y cada una de las decisiones en el ejercicio de la función jurisdiccional. Esta nota de independencia de todo Juez o Magistrado no esta condicionada a las funciones que desarrolle, sino que, por el contrario, debe estar presente en todas y cada una de sus funciones, también en su función como Juez encargado del Registro Civil. </w:t>
      </w:r>
    </w:p>
    <w:p w:rsidR="00CF03FA" w:rsidRDefault="00CF03FA" w:rsidP="00CF03FA">
      <w:pPr>
        <w:pStyle w:val="TextoNormal"/>
      </w:pPr>
      <w:r>
        <w:t xml:space="preserve">De otra parte, de conformidad con la interpretación que el Tribunal ha hecho de los términos “proceso” y “fallo” del art. 163 CE, el elemento teleológico del planteamiento de la cuestión de constitucionalidad no reside en limitar el campo de actuación de los Jueces y Magistrados para promoverla, sino en garantizar que guarden y hagan guardar en todo momento la Constitución y las leyes. Por ello, en debido cumplimiento de los deberes inherentes al cargo de todo Juez o Magistrado, éstos están habilitados para plantear la cuestión de constitucionalidad en todos los asuntos que conozcan en el ejercicio de sus funciones siempre que duden de la constitucionalidad de una ley de cuya validez depende la decisión a adoptar. Sostener lo contrario supone afirmar que el Juez o Magistrado lo es, a los efectos aquí debatidos, en todas sus funciones, excepto en la registral, que se apartaría del sistema garantista de la Constitución. No puede negarse la legitimación para plantear las dudas de constitucionalidad de una norma con rango de ley ante el Tribunal Constitucional a un Juez o a un Tribunal en unas actuaciones que, sea cual fuere su naturaleza y forma de desarrollo, constituyen una manifestación de su poder decisorio. No reconocerlo así conduciría a la grave conclusión de admitir que el órgano judicial en los supuestos en que ejerza ese tipo de potestad de carácter decisorio, como sucede al frente del Registro Civil, se ve obligado a aplicar una ley que considera inconstitucional o de cuya constitucionalidad duda. </w:t>
      </w:r>
    </w:p>
    <w:p w:rsidR="00CF03FA" w:rsidRDefault="00CF03FA" w:rsidP="00CF03FA">
      <w:pPr>
        <w:pStyle w:val="TextoNormal"/>
      </w:pPr>
      <w:r>
        <w:t xml:space="preserve">A las precedentes consideraciones, ha de añadirse el carácter jurisdiccional de las funciones que desempeña el Juez encargado del Registro Civil, pues la función jurisdiccional no sólo abarca la llevada a cabo en asuntos en que existe controversia entre las partes, sino igualmente la que sitúa al Juez en poder decidir sobre una cuestión respecto de la que existe </w:t>
      </w:r>
      <w:r>
        <w:lastRenderedPageBreak/>
        <w:t xml:space="preserve">concierto entre las partes, acudiendo éstas al órgano judicial para imprimir un sello de autenticidad en la resolución final del asunto (art. 1811 LEC 1881). </w:t>
      </w:r>
    </w:p>
    <w:p w:rsidR="00CF03FA" w:rsidRDefault="00CF03FA" w:rsidP="00CF03FA">
      <w:pPr>
        <w:pStyle w:val="TextoNormal"/>
      </w:pPr>
      <w:r>
        <w:t xml:space="preserve">En definitiva, los Jueces y Magistrados, órganos dotados de absoluta independencia funcional, están plenamente habilitados para plantear cuestiones de constitucionalidad en todos los asuntos en los que tengan que aplicar una ley de cuya constitucionalidad dudan. Cualquier otra interpretación choca con la posición del Juez como garante del cumplimiento de la Constitución. De modo que ha de concluirse que los Jueces encargados del Registro Civil son verdaderos órganos judiciales independientes en sus funciones, que desempeñan una labor calificada de auténtica función jurisdiccional y que, por lo tanto, están legitimados para promover la cuestión de constitucionalidad. </w:t>
      </w:r>
    </w:p>
    <w:p w:rsidR="00CF03FA" w:rsidRDefault="00CF03FA" w:rsidP="00CF03FA">
      <w:pPr>
        <w:pStyle w:val="TextoNormal"/>
      </w:pPr>
      <w:r>
        <w:t xml:space="preserve">b) En cuanto al tema de fondo suscitado, el órgano promotor de la cuestión de constitucionalidad considera que el art. 44, párrafo segundo, del Código civil, en la redacción dada por la Ley 13/2005, de 1 de julio, al permitir la celebración de matrimonio civil entre personas del mismo sexo y con los mismos efectos que entre sujetos de sexo diferente contraviene, no sólo la conceptualización heterosexual que la Iglesia católica tiene del matrimonio, así como la definición que del matrimonio se mantiene en el Diccionario de la Real Academia de la Lengua Española como unión de hombre y mujer, sino también el art. 32.1 CE, cuyo tenor literal es claro y rotundo, pues la mención que en él se hace al hombre y a la mujer es una evidente alusión a la exclusividad de la institución matrimonial para las uniones heterosexuales. </w:t>
      </w:r>
    </w:p>
    <w:p w:rsidR="00CF03FA" w:rsidRDefault="00CF03FA" w:rsidP="00CF03FA">
      <w:pPr>
        <w:pStyle w:val="TextoNormal"/>
      </w:pPr>
      <w:r>
        <w:t xml:space="preserve">Buena prueba de ello son las fórmulas que en los distintos preceptos constitucionales se utilizan para definir los titulares de los derechos y deberes fundamentales. Así, en algunas ocasiones se utiliza el término “españoles” para referirse a determinados derechos de todos (hombre y mujeres) aquellos de nacionalidad española (arts. 12, 14, 29, 30 y 35 CE). En otras se emplea el término “todos”, también en clara referencia generalizada y sin discriminación entre hombres y mujeres (arts. 15, 17, 24, 27, 28, 31 y 35). Igualmente expresiones generales como “se reconoce” (arts. 20, 21, 22, 31 y 41), “se garantiza” (art. 18) o “se prohíben” (art. 29) denotan una clara interpretación extensiva y sin excepciones dirigida a la “totalidad”. Pues bien, en este contexto la utilización de los términos “hombre” y “mujer” por el art. 32.1 CE sólo puede interpretarse en el sentido de que el espíritu del precepto es restringir el ámbito de aplicación del matrimonio al hombre con la mujer, es decir, la regulación en exclusiva del matrimonio heterosexual, pero bajo ningún concepto el precepto da cabida a los matrimonios homosexuales. En otras palabras, la referencia que en el art. 32.1 CE se hace al hombre y a la mujer, y no a “todos” o a las “personas”, es porque para el constituyente era obvio el carácter heterosexual del matrimonio. Cabe sostener que las necesidades jurídicas de las personas que llevan una vida en común sobre la base de una circunstancia subjetiva —su tendencia sexual— no pasa necesariamente por abrirles la institución del matrimonio, el cual tiene la heterosexualidad como nota propia y genuina, sino por indagar la posibilidad de crear una figura propia que satisfaga esas aspiraciones, pero sin alterar el contenido esencial del matrimonio. </w:t>
      </w:r>
    </w:p>
    <w:p w:rsidR="00CF03FA" w:rsidRDefault="00CF03FA" w:rsidP="00CF03FA">
      <w:pPr>
        <w:pStyle w:val="TextoNormal"/>
      </w:pPr>
      <w:r>
        <w:t xml:space="preserve">Por otra parte, toda vez que la Ley 13/2005, de 1 de julio, dota al matrimonio homosexual de los mismos efectos que el heterosexual, ha de referirse —se afirma en el Auto de planteamiento— “que la adopción está pensada en beneficio del adoptado y ni el adoptado ni la adopción como instituto pueden ser un instrumento de legitimación u homologación de relaciones homosexuales. Lo que se toma en consideración de los adoptantes no son tanto sus derechos, como su idoneidad para ejercer la patria potestad. Por ello, sustentar el derecho de las personas del mismo sexo a contraer matrimonio con los mismos efectos que los celebrados entre dos personas de distinto sexo, supone hacer pasar por delante del interés del </w:t>
      </w:r>
      <w:r>
        <w:lastRenderedPageBreak/>
        <w:t xml:space="preserve">menor las aspiraciones y deseos de quienes desean adoptar, lo cual se aparta absolutamente de la finalidad de la institución adoptiva”. </w:t>
      </w:r>
    </w:p>
    <w:p w:rsidR="00CF03FA" w:rsidRDefault="00CF03FA" w:rsidP="00CF03FA">
      <w:pPr>
        <w:pStyle w:val="TextoNormal"/>
      </w:pPr>
      <w:r>
        <w:t xml:space="preserve">c) En opinión del órgano judicial promotor de la cuestión, el precepto legal cuestionado vulnera también el art. 14 CE, ya que mal puede entenderse una igualdad efectiva de todos ante la ley si no se respetan los dogmas de fe acordes al orden público español inherentes a una determinada creencia religiosa (todas aquellas que sólo permiten el matrimonio entre personas de distinto sexo). De este modo quienes profesen creencias religiosas que sólo permiten el matrimonio heterosexual observan como el Estado no solo no protege la libertad de culto de la religión que profesan, sino que les impone reconocer en ese culto una institución ajena al mismo. Es decir, se discrimina a todos aquellos que profesen una religión en la que se conciba única y exclusivamente al matrimonio entre personas de distinto sexo, faltando al respeto a sus dogmas de fe y permitiendo el matrimonio, con independencia de lo estipulado al efecto en cualesquiera de las confesiones religiosas reconocidas por el Estado español, a cualquier pareja con independencia de si son o no del mismo sexo. </w:t>
      </w:r>
    </w:p>
    <w:p w:rsidR="00CF03FA" w:rsidRDefault="00CF03FA" w:rsidP="00CF03FA">
      <w:pPr>
        <w:pStyle w:val="TextoNormal"/>
      </w:pPr>
      <w:r>
        <w:t xml:space="preserve">El reconocimiento legal de los matrimonios homosexuales contraviene también el art. 16.3 CE, toda vez que desatiende y pasa por alto la creencia de los fieles de religiones admitidas por el Estado, que solo aceptan el matrimonio entre personas del mismo sexo. Reconociendo el art. 16.1 CE la libertad religiosa y de culto y previendo el apartado tercero del mencionado precepto constitucional que los poderes públicos tendrán en cuenta las creencias religiosas de la sociedad española, ha de concluirse que el matrimonio entre personas del mismo sexo vulnera el art. 16 CE, ya que prescinde absolutamente de la hasta entonces firme creencia religiosa mayoritaria de la sociedad española que concibe de forma exclusiva y excluyente el matrimonio entre personas de distinto sexo para extenderlo a personas del mismo sexo, faltando el debido respeto de los poderes públicos a dicha creencia. </w:t>
      </w:r>
    </w:p>
    <w:p w:rsidR="00CF03FA" w:rsidRDefault="00CF03FA" w:rsidP="00CF03FA">
      <w:pPr>
        <w:pStyle w:val="TextoNormal"/>
      </w:pPr>
      <w:r>
        <w:t xml:space="preserve">Por su parte, el respeto a la igualdad por razón de la orientación sexual no implica el tratamiento idéntico a realidades totalmente distintas, sino, por el contrario, tratamientos diferenciados para realidades desiguales, por lo que no se justifica en el principio de igualdad el reconocimiento como matrimonio a las uniones homosexuales. Tampoco el principio de igualdad justifica la posibilidad de adopción de menores, ya que la adopción no es ni está concebida en nuestro ordenamiento jurídico como un derecho de la persona, sino como una institución de protección del menor, en cuyo favor se establece, por lo cual otorgar un presunto derecho de los homosexuales a adoptar menores “constituye un atentado a la verdadera naturaleza de la adopción, el interés del adoptado, para convertirlo simplemente en un derecho más de las personas”. </w:t>
      </w:r>
    </w:p>
    <w:p w:rsidR="00CF03FA" w:rsidRDefault="00CF03FA" w:rsidP="00CF03FA">
      <w:pPr>
        <w:pStyle w:val="TextoNormal"/>
      </w:pPr>
      <w:r>
        <w:t>d) Finalmente, en el Auto de planteamiento de la cuestión de constitucionalidad se traen a colación en apoyo de la inconstitucionalidad del precepto legal cuestionado el art. 16.1 DUDH y el art. 323. PIDCP, que, en opinión del órgano judicial, consagran el derecho a contraer matrimonio aludiendo explícitamente al hombre y a la mujer. Igualmente se invocan, al respecto, la decisión de la Comisión de Derechos Humanos de las Naciones Unidas de 30 de julio de 2002 (caso Jolin contra Nueva Zelanda), las Sentencias de la Sala de lo Civil del Tribunal Supremo de 2 de julio de 1987 y de 19 de abril de 1991, la Sentencia del Tribunal de Justicia de las Comunidades Europeas de 17 de febrero de 1998, el Dictamen del Consejo de Estado de 16 de diciembre de 2004 sobre el Proyecto de ley por el que se modifica el Código Civil en materia de derecho a contraer matrimonio y la jurisprudencia constitucional del ATC 222/1994.</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La Sección Segunda del Tribunal Constitucional, por providencia de 6 de noviembre de 2007, a los efectos que determina el art. 37.1 LOTC, acordó oír al Fiscal General del </w:t>
      </w:r>
      <w:r>
        <w:lastRenderedPageBreak/>
        <w:t>Estado para que, en el plazo de diez días, alegase lo que considerase conveniente acerca de la admisibilidad de la cuestión de constitucionalidad en relación con la posible falta de cumplimiento de las condiciones procesales exigidas en los arts. 163 CE y 35 LOTC para su planteamiento.</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El Fiscal General del Estado evacuó el trámite de alegaciones conferido mediante escrito registrado en fecha 3 de diciembre de 2007, que a continuación se resume: </w:t>
      </w:r>
    </w:p>
    <w:p w:rsidR="00CF03FA" w:rsidRDefault="00CF03FA" w:rsidP="00CF03FA">
      <w:pPr>
        <w:pStyle w:val="TextoNormal"/>
      </w:pPr>
      <w:r>
        <w:t xml:space="preserve">a) Considera que la cuestión de constitucionalidad presenta notorias similitudes con la registrada con el núm. 5865-2005, inadmitida a trámite por ATC 505/2005, de 13 de diciembre, por lo que no es aventurado pensar que la condición procesal cuestionada en este caso, al igual que entonces, es la falta de legitimación de un Juez encargado del Registro Civil para plantear en un expediente registral una cuestión de constitucionalidad, tema respecto al que resulta de aplicación la doctrina recogida en aquel Auto, cuya fundamentación jurídica reproduce en su escrito de alegaciones para negar la referida legitimación. </w:t>
      </w:r>
    </w:p>
    <w:p w:rsidR="00CF03FA" w:rsidRDefault="00CF03FA" w:rsidP="00CF03FA">
      <w:pPr>
        <w:pStyle w:val="TextoNormal"/>
      </w:pPr>
      <w:r>
        <w:t xml:space="preserve">b) Además del óbice procesal expuesto, el Fiscal General del Estado invoca a mayor abundamiento como causa de inadmisión que el Juzgado en este caso ha efectuado de forma incorrecta, de acuerdo con una reiterada doctrina constitucional (AATC13/2006, 14/2006, 15/2006, 135/2006 y 164/2006), el previo traslado a las partes y al Ministerio Fiscal para que alegasen sobre la pertinencia del planteamiento de la cuestión de constitucionalidad, ya que en la providencia por la que se procedió a la apertura de dicho trámite de audiencia sólo se mencionó el precepto legal cuestionado —art. 44.2 CC—, pero no se citaron los preceptos constitucionales infringidos, que únicamente se mencionan —arts. 14, 16.1, 16.3 y 32 CE— en el Auto por el que se acordó elevar la cuestión de constitucionalidad al Tribunal Constitucional. </w:t>
      </w:r>
    </w:p>
    <w:p w:rsidR="00CF03FA" w:rsidRDefault="00CF03FA" w:rsidP="00CF03FA">
      <w:pPr>
        <w:pStyle w:val="TextoNormal"/>
      </w:pPr>
      <w:r>
        <w:t>El Fiscal General del Estado concluye su escrito de alegaciones interesando la inadmisión de la cuestión de constitucionalidad por falta de las condiciones procesales.</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Juez titular del Juzgado de Primera Instancia e Instrucción núm. 2 y encargado del Registro Civil de Cieza plantea cuestión de constitucionalidad en relación con el art. 44, párrafo segundo, del Código civil, en la redacción dada por la Ley 13/2005, de 1 de julio, a cuyo tenor:</w:t>
      </w:r>
    </w:p>
    <w:p w:rsidR="00CF03FA" w:rsidRDefault="00CF03FA" w:rsidP="00CF03FA">
      <w:pPr>
        <w:pStyle w:val="TextoNormal"/>
      </w:pPr>
      <w:r>
        <w:t>“El matrimonio tendrá los mismos requisitos y efectos cuando ambos contrayentes sean del mismo o diferente sexo”.</w:t>
      </w:r>
    </w:p>
    <w:p w:rsidR="00CF03FA" w:rsidRDefault="00CF03FA" w:rsidP="00CF03FA">
      <w:pPr>
        <w:pStyle w:val="TextoNormal"/>
      </w:pPr>
      <w:r>
        <w:t>La cuestión de constitucionalidad se promueve en un expediente matrimonial tramitado ante el Juez encargado del Registro Civil de Cieza para acreditar que quienes desean contraer matrimonio civil reúnen los requisitos de capacidad establecidos en el Código civil. En el Auto de planteamiento se funda la facultad del Juez encargado del Registro Civil de promover la cuestión de constitucionalidad en la consideración, en síntesis, de que los Jueces encargados del Registro Civil son verdaderos órganos judiciales independientes en sus funciones, que desempeñan una labor jurisdiccional y que, por lo tanto, están legitimados para promover cuestiones de constitucionalidad cuando tengan que aplicar una ley de cuya constitucionalidad duden. En cuando a los temas de fondo suscitados, el Juez encargado del Registro Civil de Cieza estima que el precepto legal cuestionado, al permitir la celebración de matrimonio entre personas del mismo sexo, vulnera los arts. 14, 16 y 32.1 CE.</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2</w:t>
      </w:r>
      <w:r>
        <w:t>. En relación con el cumplimiento de los requisitos procesales que establecen los arts. 163 CE y 35 LOTC para el planteamiento de las cuestiones de constitucionalidad, el primer interrogante que se suscita en este caso estriba en determinar si el Juez encargado del Registro Civil está facultado o no para elevar una cuestión de constitucionalidad al Tribunal Constitucional en el ejercicio de las funciones que le corresponden desempeñar en la indicada condición de encargado del Registro Civil y, más en concreto, por lo que a este supuesto interesa, con ocasión de la tramitación de un expediente matrimonial.</w:t>
      </w:r>
    </w:p>
    <w:p w:rsidR="00CF03FA" w:rsidRDefault="00CF03FA" w:rsidP="00CF03FA">
      <w:pPr>
        <w:pStyle w:val="TextoNormal"/>
      </w:pPr>
      <w:r>
        <w:t>El interrogante suscitado, como el Fiscal General del Estado pone de manifiesto en su escrito de alegaciones, ya ha sido abordado por este Tribunal en los AATC 505/2005 y 508/2005, de 13 de diciembre, cuya doctrina se reitera en el ATC 59/2006, de 15 de febrero, en los que ha concluido que el Juez encargado del Registro Civil no está facultado con ocasión de la tramitación de un expediente matrimonial para plantear una cuestión de inconstitucionalidad. En efecto, con base en los razonamientos recogidos en los citados Autos, que en este caso procede dar por reproducidos, el Tribunal declaró respecto a la posición institucional del Juez encargado del Registro Civil en la tramitación de un expediente matrimonial que “ni en el desempeño de dicha actividad desarrolla una función jurisdiccional, al integrarse en la estructura administrativa del Registro Civil, bajo la dependencia funcional que no orgánica del Ministerio de Justicia, ni puede calificarse de jurisdiccional la decisión, pese a su denominación de Auto, que ha de adoptar en el expediente matrimonial aprobando o denegando la celebración del matrimonio, al ser susceptible de recurso y revisión ante un órgano administrativo, por lo que tampoco en modo alguno dicha decisión puede merecer la consideración (ni aún en la flexible interpretación que este Tribunal ha hecho del término ‘fallo’ utilizado por los arts. 163 CE y 35.1 LOTC) de ‘pronunciamiento decisivo o imperativo de una resolución judicial’ (STC 76/1982, de 14 de diciembre, FJ 1)” (FJ 7).</w:t>
      </w:r>
    </w:p>
    <w:p w:rsidR="00CF03FA" w:rsidRDefault="00CF03FA" w:rsidP="00CF03FA">
      <w:pPr>
        <w:pStyle w:val="TextoNormal"/>
      </w:pPr>
      <w:r>
        <w:t>Así pues, el Juez encargado del Registro Civil —se afirma en el primero de los mencionados Autos— “no esta facultad[o] ex arts. 163 CE y 35 LOTC para promover la presente cuestión de inconstitucionalidad, en atención al carácter no jurisdiccional del expediente en el que se plantea. O, en otras palabras, ateniéndonos al propio tenor de los citados preceptos, en cuanto la cuestión de inconstitucionalidad no resulta propuesta por un órgano judicial en un proceso en el cual el fallo que haya de dictarse dependa de la validez de la norma legal cuestionada” (FJ 8).</w:t>
      </w:r>
    </w:p>
    <w:p w:rsidR="00CF03FA" w:rsidRDefault="00CF03FA" w:rsidP="00CF03FA">
      <w:pPr>
        <w:pStyle w:val="TextoNormal"/>
      </w:pPr>
      <w:r>
        <w:t>La falta de legitimación del órgano promotor de la presente cuestión de constitucionalidad para su planteamiento ha de determinar, sin necesidad de cualquier otra consideración, su inadmisión a trámite.</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presente cuestión de inconstitucionalidad</w:t>
      </w:r>
    </w:p>
    <w:p w:rsidR="00CF03FA" w:rsidRDefault="00CF03FA" w:rsidP="00CF03FA">
      <w:pPr>
        <w:pStyle w:val="TextoNormal"/>
      </w:pPr>
    </w:p>
    <w:p w:rsidR="00CF03FA" w:rsidRDefault="00CF03FA" w:rsidP="00CF03FA">
      <w:pPr>
        <w:pStyle w:val="TextoNormal"/>
      </w:pPr>
      <w:r>
        <w:t>Madrid, a dieciséis de enero de dos mil ocho.</w:t>
      </w:r>
    </w:p>
    <w:p w:rsidR="00CF03FA" w:rsidRDefault="00CF03FA" w:rsidP="00CF03FA">
      <w:pPr>
        <w:pStyle w:val="ParrafoNormal"/>
      </w:pPr>
    </w:p>
    <w:p w:rsidR="00CF03FA" w:rsidRDefault="00CF03FA" w:rsidP="00CF03FA">
      <w:pPr>
        <w:pStyle w:val="TextoNormalNegritaCentrado"/>
        <w:keepNext/>
      </w:pPr>
      <w:r>
        <w:lastRenderedPageBreak/>
        <w:t>Voto particular que formula el Magistrado don Javier Delgado Barrio respecto del Auto dictado en la cuestión de inconstitucionalidad núm. 7796-2007.</w:t>
      </w:r>
    </w:p>
    <w:p w:rsidR="00CF03FA" w:rsidRDefault="00CF03FA" w:rsidP="00CF03FA">
      <w:pPr>
        <w:pStyle w:val="TextoNormalNegritaCentrado"/>
        <w:keepNext/>
      </w:pPr>
    </w:p>
    <w:p w:rsidR="00CF03FA" w:rsidRDefault="00CF03FA" w:rsidP="00CF03FA">
      <w:pPr>
        <w:pStyle w:val="TextoNormal"/>
      </w:pPr>
      <w:r>
        <w:t>Me remito al contenido del Voto particular que formulé en el Auto del Pleno de este Tribunal núm. 505/2005. Y, dado el tiempo transcurrido, creo procedente reproducir íntegramente su contenido.</w:t>
      </w:r>
    </w:p>
    <w:p w:rsidR="00CF03FA" w:rsidRDefault="00CF03FA" w:rsidP="00CF03FA">
      <w:pPr>
        <w:pStyle w:val="TextoNormal"/>
      </w:pPr>
      <w:r>
        <w:t>“Con el mayor respeto para la opinión de los Magistrados que con su voto han dado lugar al Auto dictado en la señalada cuestión de inconstitucionalidad, he de manifestar mi discrepancia respecto de su fundamentación y pronunciamiento, pues, en mi parecer, la Magistrada-Juez que suscitó la cuestión estaba claramente legitimada para hacerlo.</w:t>
      </w:r>
    </w:p>
    <w:p w:rsidR="00CF03FA" w:rsidRDefault="00CF03FA" w:rsidP="00CF03FA">
      <w:pPr>
        <w:pStyle w:val="TextoNormal"/>
      </w:pPr>
      <w:r>
        <w:t>Y adelanto ya que el razonamiento del Auto del que discrepo llega a una calificación de la actuación judicial en el expediente registral de matrimonio basándose en la regulación contenida en la Ley y en el Reglamento del Registro Civil, que en su concreta aplicación al ya citado expediente matrimonial, resulta ser, en mi opinión, inconstitucional —o derogada, en cuanto afecta a dicho expediente, por la Constitución—: ¿puede admitirse que los Jueces cuando actúan “en garantía” —art. 117.4 CE— de un derecho fundamental —el derecho a contraer matrimonio, art. 32.1 CE— deban “cumplir” —obedecer— “las órdenes e instrucciones del Ministerio de Justicia y de la Dirección General del ramo, aun cuando les fueren comunicadas directamente” —art. 9 LRC, destaco su fecha, de 8 de junio de 1957—?</w:t>
      </w:r>
    </w:p>
    <w:p w:rsidR="00CF03FA" w:rsidRDefault="00CF03FA" w:rsidP="00CF03FA">
      <w:pPr>
        <w:pStyle w:val="TextoNormal"/>
      </w:pPr>
      <w:r>
        <w:t>1. Importa ante todo destacar la extraordinaria relevancia del tema procesal señalado: sí o no a la legitimación del Juez para plantear la cuestión de inconstitucionalidad cuando actúa “en garantía de cualquier derecho” —art. 117.4 CE— y más concretamente de un derecho fundamental. Se trata, así, de fijar la posición constitucional del Juez en la Constitución y respecto de la propia Constitución.</w:t>
      </w:r>
    </w:p>
    <w:p w:rsidR="00CF03FA" w:rsidRDefault="00CF03FA" w:rsidP="00CF03FA">
      <w:pPr>
        <w:pStyle w:val="TextoNormal"/>
      </w:pPr>
      <w:r>
        <w:t>Esta posición constitucional del Juez determina, como manifestación práctica relevante, su legitimación para plantear la cuestión de inconstitucionalidad, que, en la doctrina de este Tribunal viene a conciliar su “doble obligación” —STC 17/1981, de 1 de junio, FJ 1— de actuar sometido a la ley y a la Constitución: esa legitimación opera como aportación del Juez a la garantía de la primacía de la Constitución — art. 27 LOTC— , en cuanto que lo habilita para poner en marcha un procedimiento que viene a hacerla efectiva.</w:t>
      </w:r>
    </w:p>
    <w:p w:rsidR="00CF03FA" w:rsidRDefault="00CF03FA" w:rsidP="00CF03FA">
      <w:pPr>
        <w:pStyle w:val="TextoNormal"/>
      </w:pPr>
      <w:r>
        <w:t>Y esa “doble obligación del Juez” ¿opera sólo dentro del proceso y no cuando el Juez desarrolla su actuación “en garantía” de un derecho, ni siquiera cuando se trata de un derecho fundamental?</w:t>
      </w:r>
    </w:p>
    <w:p w:rsidR="00CF03FA" w:rsidRDefault="00CF03FA" w:rsidP="00CF03FA">
      <w:pPr>
        <w:pStyle w:val="TextoNormal"/>
      </w:pPr>
      <w:r>
        <w:t>Subrayo que este tema procesal —legitimación para formular la cuestión de inconstitucionalidad— adquiere una especial relevancia en un sistema concentrado de jurisdicción constitucional y de justicia rogada: la mayor o menor amplitud de la legitimación para iniciar los procedimientos que permiten declarar la inconstitucionalidad de una ley, determina la mayor amplitud o angostura de los cauces que aseguran la efectividad de la primacía de la Constitución —art. 27 LOTC—.</w:t>
      </w:r>
    </w:p>
    <w:p w:rsidR="00CF03FA" w:rsidRDefault="00CF03FA" w:rsidP="00CF03FA">
      <w:pPr>
        <w:pStyle w:val="TextoNormal"/>
      </w:pPr>
      <w:r>
        <w:t xml:space="preserve">2. Ciertamente, la literalidad del art. 163 CE —proceso, fallo— conduce a pensar que sólo dentro de un proceso está el Juez legitimado para plantear la cuestión de inconstitucionalidad y no, por tanto, en actuaciones que no tengan esa naturaleza jurídica.  Pero el resultado del entendimiento de la literalidad de la norma no puede considerarse, sin más, definitivo. A este respecto este Tribunal ha distinguido dos campos: a) con carácter general, para la legalidad ordinaria, se subraya que “la interpretación literal, según hemos advertido en alguna ocasión, ‘es un mero punto de partida’ (STC 225/2002, de 9 de diciembre, FJ 4), ‘imprescindible, sí, pero necesitado de la colaboración de otros criterios hermenéuticos que vengan a corroborar o corregir los resultados de un puro entendimiento literal de las normas </w:t>
      </w:r>
      <w:r>
        <w:lastRenderedPageBreak/>
        <w:t>según el sentido propio de sus palabras’ (STC 76/1996, de 30 de abril, FJ 6)” (SSTC 202/2003, de 17 de noviembre, FJ 5; y 83/2005, de 7 de abril, FJ 3); b) sin embargo, en el ámbito de la normativa constitucional, nuestra doctrina ha puesto de relieve que “el respeto de la Constitución que el art. 9 de la misma impone a todos los Poderes públicos hace necesario que una interpretación que conduzca a un resultado distinto de la literalidad del texto sólo sea pensable cuando existe ambigüedad o cuando la ambigüedad puede derivar de conexión o coherencia sistemática entre preceptos constitucionales” (SSTC 72/1984, de 14 de junio, FJ 6, y 215/2000, de 18 de septiembre, FJ 6). Y también reiteradamente ha destacado este Tribunal “la importancia de la interpretación sistemática, consecuencia del principio de unidad de la Constitución — STC 179/1994, de 16 de junio, FJ 5— , pues ésta es un todo en el que cada precepto encuentra su sentido pleno valorándolo en relación con los demás, es decir, de acuerdo con una interpretación sistemática (STC 5/1983, de 4 de febrero, FJ 3)” (STC 16/2003, de 30 de enero, FJ 5).</w:t>
      </w:r>
    </w:p>
    <w:p w:rsidR="00CF03FA" w:rsidRDefault="00CF03FA" w:rsidP="00CF03FA">
      <w:pPr>
        <w:pStyle w:val="TextoNormal"/>
      </w:pPr>
      <w:r>
        <w:t>Habremos de acudir, pues, a esa interpretación sistemática de la Constitución, itinerario este en el que, obviamente, el “contexto” del art. 163 CE ha de ser, en lo que ahora importa, el art. 117.4 CE, que será el elemento determinante para la calificación de la naturaleza de la actuación judicial en el expediente de matrimonio civil y no la legislación del Registro Civil que desde la supremacía del art. 117.4 CE, resulta ser, en mi modo de ver las cosas, claramente inconstitucional — o derogada, en cuanto afecta a dicho expediente, por la Constitución— .</w:t>
      </w:r>
    </w:p>
    <w:p w:rsidR="00CF03FA" w:rsidRDefault="00CF03FA" w:rsidP="00CF03FA">
      <w:pPr>
        <w:pStyle w:val="TextoNormal"/>
      </w:pPr>
      <w:r>
        <w:t>3. El art. 117.3 CE encomienda a los Jueces y Tribunales como tarea fundamental la del ejercicio de la potestad jurisdiccional “en todo tipo de procesos” y, sobre esta base, el art. 117.4 CE añade que, aparte de ésa, no ejercerán más funciones que las que “expresamente les sean atribuidas por la ley en garantía de cualquier derecho”.</w:t>
      </w:r>
    </w:p>
    <w:p w:rsidR="00CF03FA" w:rsidRDefault="00CF03FA" w:rsidP="00CF03FA">
      <w:pPr>
        <w:pStyle w:val="TextoNormal"/>
      </w:pPr>
      <w:r>
        <w:t>¿Es constitucional la encomienda a los Jueces de la llevanza del Registro Civil? Cuando se estaba gestando la Ley de 1870 se discutió ampliamente respecto de qué funcionarios habrían de encargarse del Registro Civil. Desechado el sistema municipal (encomendado a los Alcaldes y Secretarios de Ayuntamiento, que había fracasado con anterioridad), el notarial (que si bien era el más racional tenía el inconveniente de no existir Notario en todos los pueblos) y el de funcionarios especiales (que hubiera sido muy costoso), se aceptó un sistema fundamentalmente judicial. Con esta justificación originaria podría resultar necesaria una reflexión respecto de si hoy tal encargo se ajusta o no a las exigencias —positivas y negativas— del art. 117.4 CE —“no ejercerán más funciones...”—: ¿esa función registral opera realmente “en garantía” de un derecho?</w:t>
      </w:r>
    </w:p>
    <w:p w:rsidR="00CF03FA" w:rsidRDefault="00CF03FA" w:rsidP="00CF03FA">
      <w:pPr>
        <w:pStyle w:val="TextoNormal"/>
      </w:pPr>
      <w:r>
        <w:t>Pero ahora no interesa un planteamiento general del tema de la llevanza del Registro Civil por los Jueces dado que aquí únicamente importa examinar la atribución al Juez del concreto expediente que concluye autorizando o denegando la celebración del matrimonio. Tal expediente ha de entenderse ajustado a las exigencias del art. 117.4 CE puesto que el Juez actúa “en garantía” de un derecho, más concretamente, de un derecho fundamental, el derecho a contraer matrimonio —art. 32.1 CE—: su atribución al Juez ha de entenderse, por tanto, constitucional.</w:t>
      </w:r>
    </w:p>
    <w:p w:rsidR="00CF03FA" w:rsidRDefault="00CF03FA" w:rsidP="00CF03FA">
      <w:pPr>
        <w:pStyle w:val="TextoNormal"/>
      </w:pPr>
      <w:r>
        <w:t>El Auto aprobado por la mayoría de mis compañeros parte de la base de que en este terreno, tal como deriva de la legislación del Registro Civil, el Juez opera bajo la dependencia funcional del Ministerio de Justicia, a través de la Dirección General de los Registros y del Notariado, a cuyas órdenes e instrucciones se encuentra sometido, siendo susceptibles de recurso ante dicha Dirección General las decisiones y resoluciones que adopte en el desempeño de las funciones que han dado lugar al planteamiento de esta cuestión de inconstitucionalidad.</w:t>
      </w:r>
    </w:p>
    <w:p w:rsidR="00CF03FA" w:rsidRDefault="00CF03FA" w:rsidP="00CF03FA">
      <w:pPr>
        <w:pStyle w:val="TextoNormal"/>
      </w:pPr>
      <w:r>
        <w:lastRenderedPageBreak/>
        <w:t>Y aquí radica la razón de mi discrepancia respecto de la posición de la mayoría: el Juez que instruye y decide el expediente, autorizando o denegando la celebración del matrimonio, ¿está desarrollando una función “en garantía” de un derecho fundamental?.  Si no fuera tal garantía, su intervención sería inconstitucional —art. 117.4 CE: “... no ejercerán más funciones ... que las que expresamente les sean atribuidas por ley en garantía de cualquier derecho”—. Pero si es la garantía de un derecho fundamental —y ya he señalado que lo es—, el sometimiento del Juez a “órdenes e instrucciones” de la Administración, con “recurso en vía gubernativa” resulta ser inconstitucional: ¿qué clase de garantía aporta un Juez que debe obedecer a la Administración y cuyas decisiones pueden ser revocadas por ésta? Y es que si la intervención del Juez ha de ser, de verdad, la garantía que quiere el art. 117.4 CE —nada en la Constitución puede ser mera retórica— será absolutamente inadmisible la “figura” de un Juez obediente a la Administración, que es la que traza el Auto del que discrepo al acoger acríticamente una legislación del Registro Civil de modelo preconstitucional, con lo que viene a “desfigurar” la función de garantía querida por la Constitución.</w:t>
      </w:r>
    </w:p>
    <w:p w:rsidR="00CF03FA" w:rsidRDefault="00CF03FA" w:rsidP="00CF03FA">
      <w:pPr>
        <w:pStyle w:val="TextoNormal"/>
      </w:pPr>
      <w:r>
        <w:t>4. Así pues, el art. 117.4 CE tiene ya, en lo que ahora importa, una inicial virtualidad consistente en la exclusión de la normativa del Registro Civil que establece esa radical subordinación del Juez a la Administración en el ámbito del expediente matrimonial —en todo lo demás aquella normativa es ajena a la problemática de estos autos—, y que el Auto mayoritario ha considerado ratio fundamental para su decisión.</w:t>
      </w:r>
    </w:p>
    <w:p w:rsidR="00CF03FA" w:rsidRDefault="00CF03FA" w:rsidP="00CF03FA">
      <w:pPr>
        <w:pStyle w:val="TextoNormal"/>
      </w:pPr>
      <w:r>
        <w:t>Y siguiendo en el itinerario de la interpretación del art. 163 CE con un criterio sistemático, a la luz de las exigencias del art. 117.4 CE, se ha de obtener ya una respuesta definitiva para la pregunta esencial que aquí se plantea: ¿qué contenido tiene la garantía prevista en el art. 117.4 CE, es decir, es sólo una garantía de legalidad o también una garantía de constitucionalidad? En este último caso, y no en el primero, el Juez estará legitimado para el planteamiento de la cuestión de inconstitucionalidad.</w:t>
      </w:r>
    </w:p>
    <w:p w:rsidR="00CF03FA" w:rsidRDefault="00CF03FA" w:rsidP="00CF03FA">
      <w:pPr>
        <w:pStyle w:val="TextoNormal"/>
      </w:pPr>
      <w:r>
        <w:t>Pues bien, creo que sería absurdo que una garantía judicial, prevista en la Constitución, relativa a un derecho previsto en la Constitución, precisamente un derecho fundamental, fuera una garantía de legalidad y no una garantía de constitucionalidad.  Si la ratio de la cuestión de inconstitucionalidad es “conciliar la doble obligación en que se encuentran (los Jueces) de actuar sometidos a la ley y a la Constitución”, ¿es “pensable” que cuando el Juez garantiza un derecho fundamental, esté sometido sólo a la ley, sin poder plantear la cuestión de inconstitucionalidad?</w:t>
      </w:r>
    </w:p>
    <w:p w:rsidR="00CF03FA" w:rsidRDefault="00CF03FA" w:rsidP="00CF03FA">
      <w:pPr>
        <w:pStyle w:val="TextoNormal"/>
      </w:pPr>
      <w:r>
        <w:t>La respuesta ha de ser negativa: la garantía judicial de un derecho fundamental, tiene necesariamente que proyectarse no sólo sobre la legalidad sino también sobre la constitucionalidad, lo que implica que, superando la pura literalidad del art. 163 CE, su entendimiento, con un criterio sistemático, a la luz de las exigencias del “contexto” que es el art. 117.4 CE, ha de conducir a la conclusión del reconocimiento de la legitimación para plantear la cuestión de inconstitucionalidad, aunque la intervención del Juez, en garantía de un derecho fundamental, se produzca en un cauce procedimental de naturaleza no procesal.</w:t>
      </w:r>
    </w:p>
    <w:p w:rsidR="00CF03FA" w:rsidRDefault="00CF03FA" w:rsidP="00CF03FA">
      <w:pPr>
        <w:pStyle w:val="TextoNormal"/>
      </w:pPr>
      <w:r>
        <w:t xml:space="preserve">Y, desde luego, así lo ha entendido este Tribunal. En la STC 76/1992, de 14 de mayo, se examinaba la actuación del Juez destinada a garantizar el derecho fundamental a la inviolabilidad del domicilio en el terreno de la ejecución forzosa de los actos de la Administración, actuación judicial esta que, claramente, no tenía naturaleza procesal. Y precisamente para esa intervención del Juez, la Sentencia en su fundamento jurídico 2 recordaba, ante todo, “que este Tribunal ha trascendido de la literalidad de los términos ‘Sentencia’ y ‘fallo’ utilizados en los arts. 35.2 LOTC y 163 C.E., respectivamente (STC 76/1982, entre otras)”, subrayando así expresamente la superación de los resultados de una interpretación literal, para, finalmente, “concluir que no puede negarse la legitimación para plantear las dudas de </w:t>
      </w:r>
      <w:r>
        <w:lastRenderedPageBreak/>
        <w:t>constitucionalidad de una norma con rango de ley al Tribunal Constitucional, único órgano competente para resolverlas, a un Juez o Tribunal que ha de aplicar la Ley en unas actuaciones (en las)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constitucionalidad duda, posibilidad ésta que el constituyente ha preferido sustraer al juez ordinario para evitar el alto grado de inseguridad jurídica que ello podría implicar”.</w:t>
      </w:r>
    </w:p>
    <w:p w:rsidR="00CF03FA" w:rsidRDefault="00CF03FA" w:rsidP="00CF03FA">
      <w:pPr>
        <w:pStyle w:val="TextoNormal"/>
      </w:pPr>
      <w:r>
        <w:t>Y las circunstancias del caso que ahora se examina son idénticas, en lo jurídicamente relevante, a las contempladas en la STC 76/1992: a) una ley ha atribuido al Juez “una función de garantía del derecho fundamental” a contraer matrimonio; b) con su intervención, aquél “ejerce un poder de enjuiciamiento y de decisión pues... no se hallan ausentes en esa actuación ‘determinadas posibilidades de formación de juicio por parte del titular del órgano jurisdiccional, juicio conducente al otorgamiento o denegación de lo instado’ (STC 137/1985)”, dado que tal actuación no puede “calificarse de automática”: sobre la base de las alegaciones y pruebas, resultado de los edictos o proclamas, audiencia de algún pariente, amigo o allegado, e informe, en su caso, del Médico del Registro Civil, el Juez forma un “juicio conducente” a la “aprobación o denegación de la celebración del matrimonio” —ha de denegarla si viene en conocimiento de la “existencia de obstáculo legal”—, es decir, “ejerce poderes decisorios” aunque se trate de actuaciones de naturaleza no procesal, lo que determina su legitimación para plantear la cuestión de inconstitucionalidad.</w:t>
      </w:r>
    </w:p>
    <w:p w:rsidR="00CF03FA" w:rsidRDefault="00CF03FA" w:rsidP="00CF03FA">
      <w:pPr>
        <w:pStyle w:val="TextoNormal"/>
      </w:pPr>
      <w:r>
        <w:t>El Auto del que discrepo, apartándose de esta doctrina, niega aquella legitimación basándose en la normativa propia del Registro Civil, que, como ya he destacado, resulta claramente incompatible con lo dispuesto en el art. 117.4 CE.</w:t>
      </w:r>
    </w:p>
    <w:p w:rsidR="00CF03FA" w:rsidRDefault="00CF03FA" w:rsidP="00CF03FA">
      <w:pPr>
        <w:pStyle w:val="TextoNormal"/>
      </w:pPr>
      <w:r>
        <w:t>En conclusión, creo que debió haberse admitido a trámite la cuestión de inconstitucionalidad.</w:t>
      </w:r>
    </w:p>
    <w:p w:rsidR="00CF03FA" w:rsidRDefault="00CF03FA" w:rsidP="00CF03FA">
      <w:pPr>
        <w:pStyle w:val="TextoNormal"/>
      </w:pPr>
      <w:r>
        <w:t>Y en este sentido emito mi Voto particular, reiterando el respeto para la opinión mayoritaria de mis compañeros”.</w:t>
      </w:r>
    </w:p>
    <w:p w:rsidR="00CF03FA" w:rsidRDefault="00CF03FA" w:rsidP="00CF03FA">
      <w:pPr>
        <w:pStyle w:val="TextoNormal"/>
      </w:pPr>
      <w:r>
        <w:t>Madrid, a dieciséis de enero de dos mil ocho.</w:t>
      </w:r>
    </w:p>
    <w:p w:rsidR="00CF03FA" w:rsidRDefault="00CF03FA" w:rsidP="00CF03FA">
      <w:pPr>
        <w:pStyle w:val="TextoNormal"/>
      </w:pPr>
    </w:p>
    <w:p w:rsidR="00CF03FA" w:rsidRDefault="00CF03FA" w:rsidP="00CF03FA">
      <w:pPr>
        <w:pStyle w:val="TextoNormalNegritaCentrado"/>
        <w:keepNext/>
      </w:pPr>
      <w:r>
        <w:t>Voto particular que formula el Magistrado don Jorge Rodríguez-Zapata Pérez respecto del auto del Pleno de 16 de enero de 2008, que declara inadmisible la cuestion de inconstitucionalidad 7796-2007, planteada por el Juez encargado del Registro Civil de Cieza (Murcia) sobre el artículo 44 párrafo segundo del Código civil.</w:t>
      </w:r>
    </w:p>
    <w:p w:rsidR="00CF03FA" w:rsidRDefault="00CF03FA" w:rsidP="00CF03FA">
      <w:pPr>
        <w:pStyle w:val="TextoNormalNegritaCentrado"/>
        <w:keepNext/>
      </w:pPr>
    </w:p>
    <w:p w:rsidR="00CF03FA" w:rsidRDefault="00CF03FA" w:rsidP="00CF03FA">
      <w:pPr>
        <w:pStyle w:val="TextoNormal"/>
      </w:pPr>
      <w:r>
        <w:t>1. El Auto de la mayoría se remite (FJ 2) a otros Autos del Pleno que han negado en supuestos idénticos que los Jueces encargados del Registro Civil puedan plantear cuestiones de inconstitucionalidad por su supuesta posición institucional dependiente del Ministerio de Justicia. He formulado amplios Votos particulares discrepantes en todos esos Autos, y a ellos me remito también para evitar repeticiones innecesarias.</w:t>
      </w:r>
    </w:p>
    <w:p w:rsidR="00CF03FA" w:rsidRDefault="00CF03FA" w:rsidP="00CF03FA">
      <w:pPr>
        <w:pStyle w:val="TextoNormal"/>
      </w:pPr>
      <w:r>
        <w:t xml:space="preserve">Debe recordarse aún que, por influencia de la Revolución francesa, el Juez español está sometido estrictamente al imperio de la Ley. La ley es irrefragable y por eso cuando, en casos concretos como el presente, un Juez considera que la Ley no se adecua a la Constitución tiene la prerrogativa de plantear esa “cuestión”, mediante la llamada “cuestión de inconstitucionalidad” al Tribunal Constitucional (art. 163 CE), pidiéndonos que le liberemos </w:t>
      </w:r>
      <w:r>
        <w:lastRenderedPageBreak/>
        <w:t>de su status subiectionis con relación a la Ley. Si así ocurre, y declaramos la inconstitucionalidad de la Ley, la fuerza de la Constitución prevalece en nuestro sistema de fuentes, como corresponde a la Norma Suprema del Estado democrático de Derecho en que, desde el año 1978, está constituida España (art.  1.1 CE).</w:t>
      </w:r>
    </w:p>
    <w:p w:rsidR="00CF03FA" w:rsidRDefault="00CF03FA" w:rsidP="00CF03FA">
      <w:pPr>
        <w:pStyle w:val="TextoNormal"/>
      </w:pPr>
      <w:r>
        <w:t>2. Las cuestiones de inconstitucionalidad exigen una amplia conexión entre la experiencia cotidiana del Derecho y el Tribunal Constitucional. Eso es lo que, en definitiva, permite la depuración constante de un ordenamiento jurídico que está presidido por una Constitución normativa y rígida, fortaleciendo el principio de seguridad jurídica (art. 9.3 CE) al que dañan las dudas de constitucionalidad.</w:t>
      </w:r>
    </w:p>
    <w:p w:rsidR="00CF03FA" w:rsidRDefault="00CF03FA" w:rsidP="00CF03FA">
      <w:pPr>
        <w:pStyle w:val="TextoNormal"/>
      </w:pPr>
      <w:r>
        <w:t>¿Se daba esa conexión en supuestos como el que contemplamos ahora? Dejo la palabra a nuestra doctrina para fijar cuál era su estado antes de que se planteasen cuestiones como la que nos ocupa ahora sobre la que, por cierto, todavía no se ha pronunciado este Tribunal pese al tiempo transcurrido desde su impugnación por la vía abstracta del recurso de inconstitucionalidad. En la STC 76/1992, de 14 de mayo, el Pleno de este Tribunal afirmó que:</w:t>
      </w:r>
    </w:p>
    <w:p w:rsidR="00CF03FA" w:rsidRDefault="00CF03FA" w:rsidP="00CF03FA">
      <w:pPr>
        <w:pStyle w:val="TextoNormal"/>
      </w:pPr>
      <w:r>
        <w:t>“No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inconstitucionalidad duda, posibilidad ésta que el constituyente ha preferido sustraer al juez ordinario para evitar el alto grado de inseguridad que ello podría implicar” (FJ 2).</w:t>
      </w:r>
    </w:p>
    <w:p w:rsidR="00CF03FA" w:rsidRDefault="00CF03FA" w:rsidP="00CF03FA">
      <w:pPr>
        <w:pStyle w:val="TextoNormal"/>
      </w:pPr>
      <w:r>
        <w:t>El Auto de la mayoría reconoce (FJ 2) que el expediente previo al matrimonio que nos ocupa concluye en un Auto judicial aprobando o denegando la celebración del matrimonio. ¿Tiene el juez poderes decisorios? El Auto del que discrepo repara en un recurso en vía gubernativa frente al Auto resolutorio del expediente, fijado en un precepto reglamentario. No creo que la existencia de ese recurso gubernativo sea decisiva. Y ello en la medida en que no puede afectar válidamente al planteamiento de una cuestión de inconstitucionalidad por un Juez llamado a aplicar una Ley en los casos que nos ocupan.</w:t>
      </w:r>
    </w:p>
    <w:p w:rsidR="00CF03FA" w:rsidRDefault="00CF03FA" w:rsidP="00CF03FA">
      <w:pPr>
        <w:pStyle w:val="TextoNormal"/>
      </w:pPr>
      <w:r>
        <w:t>Concluyo aquí mi razonamiento, la cuestión de inconstitucionalidad fue planteada en forma impecable y debió ser admitida a trámite.</w:t>
      </w:r>
    </w:p>
    <w:p w:rsidR="00CF03FA" w:rsidRDefault="00CF03FA" w:rsidP="00CF03FA">
      <w:pPr>
        <w:pStyle w:val="TextoNormal"/>
      </w:pPr>
      <w:r>
        <w:t>Expreso mi disentimiento en</w:t>
      </w:r>
    </w:p>
    <w:p w:rsidR="00CF03FA" w:rsidRDefault="00CF03FA" w:rsidP="00CF03FA">
      <w:pPr>
        <w:pStyle w:val="TextoNormal"/>
      </w:pPr>
      <w:r>
        <w:t>Madrid ,a dieciséis de enero de dos mil ocho.</w:t>
      </w:r>
    </w:p>
    <w:p w:rsidR="00CF03FA" w:rsidRDefault="00CF03FA" w:rsidP="00CF03FA">
      <w:pPr>
        <w:pStyle w:val="TextoNormal"/>
      </w:pPr>
    </w:p>
    <w:p w:rsidR="00CF03FA" w:rsidRDefault="00CF03FA" w:rsidP="00CF03FA">
      <w:pPr>
        <w:pStyle w:val="TextoNormalNegritaCentrado"/>
        <w:keepNext/>
      </w:pPr>
      <w:r>
        <w:t>Voto particular que formula el Magistrado don Ramón Rodríguez Arribas, en el Auto dictado en la cuestión de inconstitucionalidad núm. 7796-2007.</w:t>
      </w:r>
    </w:p>
    <w:p w:rsidR="00CF03FA" w:rsidRDefault="00CF03FA" w:rsidP="00CF03FA">
      <w:pPr>
        <w:pStyle w:val="TextoNormalNegritaCentrado"/>
        <w:keepNext/>
      </w:pPr>
    </w:p>
    <w:p w:rsidR="00CF03FA" w:rsidRDefault="00CF03FA" w:rsidP="00CF03FA">
      <w:pPr>
        <w:pStyle w:val="TextoNormal"/>
      </w:pPr>
      <w:r>
        <w:t>Haciendo uso de la facultad atribuida a los Magistrados del Tribunal Constitucional por el apartado 2 del art. 90 LOTC expreso en este Voto particular y con pleno respeto a la opinión de la mayoría, mi discrepancia, defendida en la correspondiente deliberación del Pleno, respecto de la fundamentación jurídica y la parte dispositiva del Auto dictado en la cuestión de inconstitucionalidad de referencia.</w:t>
      </w:r>
    </w:p>
    <w:p w:rsidR="00CF03FA" w:rsidRDefault="00CF03FA" w:rsidP="00CF03FA">
      <w:pPr>
        <w:pStyle w:val="TextoNormal"/>
      </w:pPr>
      <w:r>
        <w:t>Discrepo abiertamente del contenido de la fundamentación del Auto en cuanto a que los Jueces encargados del Registro Civil están facultados para el planteamiento de cuestiones de inconstitucionalidad ante este Tribunal, que el Auto resuelve negativamente, de conformidad con la doctrina sentada en los Autos 505/2005 y 508/2005, por lo que, en sentido contrario, me remito a los Votos particulares que formulé a dichas resoluciones.</w:t>
      </w:r>
    </w:p>
    <w:p w:rsidR="00CF03FA" w:rsidRDefault="00CF03FA" w:rsidP="00CF03FA">
      <w:pPr>
        <w:pStyle w:val="TextoNormal"/>
      </w:pPr>
      <w:r>
        <w:lastRenderedPageBreak/>
        <w:t>Madrid, a dieciséis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74" w:name="AUTO_2008_13"/>
      <w:r>
        <w:lastRenderedPageBreak/>
        <w:t>AUTO 13/2008, de 16 de enero de 2008</w:t>
      </w:r>
    </w:p>
    <w:bookmarkEnd w:id="74"/>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ECLI:ES:TC:2008:13A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la cuestión de inconstitucionalidad 7945-2007, planteada por el Juzgado de lo Penal núm. 2 de Las Palmas de Gran Canaria en relación con el artículo 148.1.4 del Código penal, en la redacción dada por la Ley Orgánica 1/2004, de 28 de diciembre, de medidas de protección integral contra la violencia de género.</w:t>
      </w:r>
    </w:p>
    <w:p w:rsidR="00CF03FA" w:rsidRDefault="00CF03FA" w:rsidP="00CF03FA">
      <w:pPr>
        <w:pStyle w:val="SntesisDescriptiva"/>
      </w:pPr>
    </w:p>
    <w:p w:rsidR="00CF03FA" w:rsidRDefault="00CF03FA" w:rsidP="00CF03FA">
      <w:pPr>
        <w:pStyle w:val="SntesisAnaltica"/>
      </w:pPr>
      <w:r>
        <w:t>Cuestión de inconstitucionalidad: audiencia previa a las partes; planteamiento prematuro. Inadmisión de cuestión de inconstitucionalidad: causas de inadmisión.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Con fecha 10 de octubre de 2007 tuvo entrada en el Registro General de este Tribunal un escrito del Juzgado de lo Penal núm. 2 de Las Palmas de Gran Canaria, al que se acompaña, junto con el testimonio del juicio rápido núm. 28-2007, el Auto de 3 de septiembre de 2007, por el que se acuerda plantear cuestión de inconstitucionalidad en relación con el art. 148.1.4 (según la redacción dada por la Ley Orgánica 1/2004, de 28 de diciembre, de medidas de protección integral contra la violencia de género) del Código penal, por su posible contradicción con el art. 14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procesales de la presente cuestión de inconstitucionalidad son, sucintamente expuestos, los siguientes: </w:t>
      </w:r>
    </w:p>
    <w:p w:rsidR="00CF03FA" w:rsidRDefault="00CF03FA" w:rsidP="00CF03FA">
      <w:pPr>
        <w:pStyle w:val="TextoNormal"/>
      </w:pPr>
      <w:r>
        <w:t xml:space="preserve">a) Con fecha 21 de mayo de 2007 el Juzgado de Instrucción núm. 8 de San Bartolomé de Tirajana dictó Auto acordando la incoación de diligencias urgentes para el enjuiciamiento rápido (núm. 169-2007), de conformidad con lo dispuesto en el art. 797 LECrim, al apreciar que los hechos referidos en el atestado remitido por la Guardia Civil podrían ser constitutivos de alguno de los delitos a los que se refiere el art. 795.1 LECrim. </w:t>
      </w:r>
    </w:p>
    <w:p w:rsidR="00CF03FA" w:rsidRDefault="00CF03FA" w:rsidP="00CF03FA">
      <w:pPr>
        <w:pStyle w:val="TextoNormal"/>
      </w:pPr>
      <w:r>
        <w:t xml:space="preserve">b) Tras oír a las partes y al Ministerio Fiscal en comparecencia de 21 de mayo de 2007, según lo previsto en el art. 798.1 LECrim, el Juez de Instrucción dictó Auto en forma oral acordando, en primer lugar, continuar el procedimiento por los trámites previstos en los arts. 800 y siguientes LECrim. Asimismo, una vez concedida nueva audiencia al Fiscal y a las partes, acordó la apertura del Juicio oral contra don Francisco Javier Sánchez Monzón, por un presunto delito de maltrato familiar. </w:t>
      </w:r>
    </w:p>
    <w:p w:rsidR="00CF03FA" w:rsidRDefault="00CF03FA" w:rsidP="00CF03FA">
      <w:pPr>
        <w:pStyle w:val="TextoNormal"/>
      </w:pPr>
      <w:r>
        <w:lastRenderedPageBreak/>
        <w:t xml:space="preserve">c) El Ministerio Fiscal presentó en el mismo acto escrito de acusación contra doña Obdulia Cassandra Herrera López y contra don Francisco Javier Sánchez Monzón, considerando los hechos constitutivos de un delito de lesiones del art. 147.1 CP en cuanto a la primera, y de un delito de lesiones previsto y penado en el art. 148.1.4º CP en cuanto al segundo. </w:t>
      </w:r>
    </w:p>
    <w:p w:rsidR="00CF03FA" w:rsidRDefault="00CF03FA" w:rsidP="00CF03FA">
      <w:pPr>
        <w:pStyle w:val="TextoNormal"/>
      </w:pPr>
      <w:r>
        <w:t xml:space="preserve">d) Recibidas las actuaciones en el Juzgado de lo Penal núm. 2 de Las Palmas de Gran Canaria, éste dictó Auto con fecha 25 de mayo de 2007, declarando pertinentes las pruebas propuestas por la acusación y la defensa, y ratificando el señalamiento del juicio oral para el 28 de mayo de 2007. </w:t>
      </w:r>
    </w:p>
    <w:p w:rsidR="00CF03FA" w:rsidRDefault="00CF03FA" w:rsidP="00CF03FA">
      <w:pPr>
        <w:pStyle w:val="TextoNormal"/>
      </w:pPr>
      <w:r>
        <w:t xml:space="preserve">e) Abierta la sesión del juicio oral, el titular del Juzgado acuerda plantear cuestión de inconstitucionalidad, resolviendo, tras oír a las partes y al Ministerio Fiscal, suspender el acto. Por providencia del mismo 28 de mayo de 2007, se confiere a las partes y al Ministerio Fiscal un plazo común de tres días para que aleguen lo que a su derecho convenga “respecto a la cuestión de inconstitucionalidad del art. 148.1-4º del Código penal”. </w:t>
      </w:r>
    </w:p>
    <w:p w:rsidR="00CF03FA" w:rsidRDefault="00CF03FA" w:rsidP="00CF03FA">
      <w:pPr>
        <w:pStyle w:val="TextoNormal"/>
      </w:pPr>
      <w:r>
        <w:t xml:space="preserve">f) El Ministerio Fiscal, en escrito de 1 de junio de 2007, señala que la providencia no indica cuáles son los preceptos de la Constitución con los que entraría en contradicción el cuestionado, lo que le impide cumplir su función e informar de acuerdo con lo solicitado por el Juzgador en tanto no se precise ese extremo. </w:t>
      </w:r>
    </w:p>
    <w:p w:rsidR="00CF03FA" w:rsidRDefault="00CF03FA" w:rsidP="00CF03FA">
      <w:pPr>
        <w:pStyle w:val="TextoNormal"/>
      </w:pPr>
      <w:r>
        <w:t xml:space="preserve">Por providencia de 6 de junio de 2007, el Juzgado acuerda dar traslado nuevamente al Ministerio público para que alegue sobre la posible vulneración del art. 14 CE, en tanto se solicita la imposición a los acusados de penas distintas por los mismos hechos. No se produce igual ampliación para las partes personadas. </w:t>
      </w:r>
    </w:p>
    <w:p w:rsidR="00CF03FA" w:rsidRDefault="00CF03FA" w:rsidP="00CF03FA">
      <w:pPr>
        <w:pStyle w:val="TextoNormal"/>
      </w:pPr>
      <w:r>
        <w:t xml:space="preserve">La representación procesal del acusado Sr. Sánchez Monzón presentó escrito de alegaciones con fecha 8 de junio de 2007, estimando pertinente el planteamiento de la cuestión. </w:t>
      </w:r>
    </w:p>
    <w:p w:rsidR="00CF03FA" w:rsidRDefault="00CF03FA" w:rsidP="00CF03FA">
      <w:pPr>
        <w:pStyle w:val="TextoNormal"/>
      </w:pPr>
      <w:r>
        <w:t xml:space="preserve">En escrito de 15 de junio de 2007, la representación de la Sra. Herrera López manifiesta su disconformidad con la providencia de 28 de mayo de 2007, denunciando que no se citan los preceptos constitucionales que resultan vulnerados, lo que le impide realizar una adecuada réplica. Esta queja no recibe respuesta alguna por parte del Juzgado. </w:t>
      </w:r>
    </w:p>
    <w:p w:rsidR="00CF03FA" w:rsidRDefault="00CF03FA" w:rsidP="00CF03FA">
      <w:pPr>
        <w:pStyle w:val="TextoNormal"/>
      </w:pPr>
      <w:r>
        <w:t xml:space="preserve">Por su parte, el Ministerio Fiscal formula sus alegaciones en escrito de 19 de junio de 2007, oponiéndose al planteamiento de la cuestión de inconstitucionalidad, al no quedar acreditada la existencia de dudas razonables suficientes para su promoción. </w:t>
      </w:r>
    </w:p>
    <w:p w:rsidR="00CF03FA" w:rsidRDefault="00CF03FA" w:rsidP="00CF03FA">
      <w:pPr>
        <w:pStyle w:val="TextoNormal"/>
      </w:pPr>
      <w:r>
        <w:t>g) Mediante Auto de 3 de septiembre de 2007, el titular del Juzgado de lo Penal núm. 2 de Las Palmas de Gran Canaria acordó plantear la presente cuestión de inconstitucionalidad en relación con el art. 148.1.4 CP.</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La fundamentación del Auto de 3 de septiembre de 2007 se abre con una exposición de los antecedentes del proceso a raíz del cual se ha suscitado la cuestión, para referirse a continuación a los requisitos procesales del planteamiento de la misma. En especial, se incide sobre la justificación de que dicho planteamiento haya tenido lugar no obstante no haberse celebrado el juicio, argumentando que resulta admisible en atención a la calificación realizada por el Fiscal y por las acusaciones particulares, pues la ulterior tramitación del proceso hasta sentencia no puede aportar ningún elemento adicional de juicio sobre la aplicabilidad de la norma legal cuestionada ni sobre su efecto determinante del fallo. </w:t>
      </w:r>
    </w:p>
    <w:p w:rsidR="00CF03FA" w:rsidRDefault="00CF03FA" w:rsidP="00CF03FA">
      <w:pPr>
        <w:pStyle w:val="TextoNormal"/>
      </w:pPr>
      <w:r>
        <w:t xml:space="preserve">A continuación, el órgano judicial hace referencia a la incompatibilidad de los términos “discriminación” y “positiva”, y, aun siendo consciente de la Sentencia del Tribunal de Justicia de las Comunidades Europeas de 17 de octubre de 1995 y de la doctrina del Tribunal Constitucional sobre el particular, sostiene que el límite de la acción positiva no puede ser otro que la restauración del equilibrio, sin que pueda conducir a un desequilibrio inverso </w:t>
      </w:r>
      <w:r>
        <w:lastRenderedPageBreak/>
        <w:t xml:space="preserve">por exceso. En el caso presente, el art. 148.1.4 CP aplica un régimen punitivo a determinados comportamientos que, siendo objetivamente los mismos, se sancionan más gravemente por razón de ser el sujeto activo hombre, esto es, por razones relativas al sexo del autor y no por la mayor gravedad del injusto. Así, la elevación de la pena para el delito de violencia de género tiene lugar exclusivamente cuando el sujeto activo del mismo sea hombre y cuando el sujeto pasivo fuere o hubiere sido esposa o mujer que estuviese o hubiere estado ligada al autor. De esta forma, la reforma operada por la Ley Orgánica 1/2004 no ampara a todas las víctimas de “violencia machista” ni a todas las víctimas de la “violencia doméstica”, produciéndose defectos de protección integral que siempre han de ser puestos de manifiesto. </w:t>
      </w:r>
    </w:p>
    <w:p w:rsidR="00CF03FA" w:rsidRDefault="00CF03FA" w:rsidP="00CF03FA">
      <w:pPr>
        <w:pStyle w:val="TextoNormal"/>
      </w:pPr>
      <w:r>
        <w:t xml:space="preserve">A juicio del Juzgado, en consecuencia, la inconstitucionalidad surge por definir los sujetos activo y pasivo del delito por razón del sexo, al margen del comportamiento objetivamente realizado, y no por justificar adecuadamente el tratamiento punitivo. Ello supone una frontal vulneración del principio de igualdad del art. 14 CE que no puede justificarse objetivamente al amparo de la doctrina de la discriminación positiva tolerable, de difícil encaje en la tutela penal, encontrándonos de esta forma ante una discriminación negativa del hombre incompatible con la Constitución. </w:t>
      </w:r>
    </w:p>
    <w:p w:rsidR="00CF03FA" w:rsidRDefault="00CF03FA" w:rsidP="00CF03FA">
      <w:pPr>
        <w:pStyle w:val="TextoNormal"/>
      </w:pPr>
      <w:r>
        <w:t xml:space="preserve">Razona el Auto de planteamiento de la cuestión que, a pesar de reconocer el loable fin al que responde la reforma, tal fin debe alcanzarse desde el respeto a la Constitución, y, sin embargo, se dispensa un tratamiento penológico diferente al agresor en función de su sexo, siendo así que el individuo debe ser castigado por atentar a un bien jurídico protegido que el Derecho y la sociedad claman por proteger, pero no por razón de su sexo. Establecer un trato punitivo distinto para dos personas, tengan la nacionalidad, la raza o el sexo que tengan, es discriminar, cuando el hecho penal, el ilícito, es el mismo, sin que exista justificación para esa discriminación. </w:t>
      </w:r>
    </w:p>
    <w:p w:rsidR="00CF03FA" w:rsidRDefault="00CF03FA" w:rsidP="00CF03FA">
      <w:pPr>
        <w:pStyle w:val="TextoNormal"/>
      </w:pPr>
      <w:r>
        <w:t>A mayor abundamiento, se pone de relieve que la previsión legal incide en la ejecución de la pena a imponer, impidiendo la pena prevista en el art. 148.1.4 la aplicabilidad del art. 88 sobre la sustitución de la pena, al tiempo que hace prácticamente imposible la suspensión de la ejecución al amparo de los arts. 81 y siguientes. Y de nuevo, este diferente trato incide en la vulneración del derecho a la igualdad, porque no sólo todos los delincuentes no recibirán idéntica pena por los mismos hechos, sino que tampoco podrán acogerse a las mismas modalidades de extinción de la responsabilidad criminal.</w:t>
      </w:r>
    </w:p>
    <w:p w:rsidR="00CF03FA" w:rsidRDefault="00CF03FA" w:rsidP="00CF03FA">
      <w:pPr>
        <w:pStyle w:val="TextoNormal"/>
      </w:pPr>
    </w:p>
    <w:p w:rsidR="00CF03FA" w:rsidRDefault="00CF03FA" w:rsidP="00CF03FA">
      <w:pPr>
        <w:pStyle w:val="TextoNormal"/>
      </w:pPr>
      <w:r w:rsidRPr="00CF03FA">
        <w:rPr>
          <w:rStyle w:val="NumeroAFNegritaCaracter"/>
        </w:rPr>
        <w:t>4</w:t>
      </w:r>
      <w:r>
        <w:t>. Mediante providencia de 6 de noviembre de 2007, la Sección Cuarta de este Tribunal acordó, a los efectos que determina el art. 37.1 LOTC, oír al Fiscal General del Estado para que, en el plazo de diez días, alegara lo que considerase conveniente acerca de la admisibilidad de la presente cuestión de inconstitucionalidad, en relación con la posible falta de cumplimiento de los requisitos procesales exigidos en el art. 35 LOTC.</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Con fecha 3 de diciembre de 2007, tuvo entrada en el Registro General de este Tribunal el escrito de alegaciones del Fiscal General del Estado, en el que solicitó la inadmisión de la presente cuestión de inconstitucionalidad. </w:t>
      </w:r>
    </w:p>
    <w:p w:rsidR="00CF03FA" w:rsidRDefault="00CF03FA" w:rsidP="00CF03FA">
      <w:pPr>
        <w:pStyle w:val="TextoNormal"/>
      </w:pPr>
      <w:r>
        <w:t xml:space="preserve">Tras una pormenorizada exposición de los antecedentes procesales del caso, el Fiscal General del Estado, con cita del ATC 370/2007 —en relación con la doctrina sobre la audiencia a las partes y al Ministerio Fiscal—, señala que la providencia por la que se abrió el trámite de audiencia a las partes, además de una inexplicada reducción del plazo legalmente previsto para dicho trámite, se limitó a mencionar el precepto de cuya constitucionalidad se dudaba sin hacer alusión alguna a las normas constitucionales que el Juez estimaba podían </w:t>
      </w:r>
      <w:r>
        <w:lastRenderedPageBreak/>
        <w:t xml:space="preserve">ser vulneradas por aquél. Tal deficiencia fue puesta de manifiesto por el Ministerio Fiscal y el Juez procedió a dictar nueva providencia en la que acordó dar nuevo traslado al Ministerio público, indicando cuál era el precepto constitucional de posible vulneración y la causa de ello, pero tal providencia sólo confirió nuevo traslado al Fiscal y no al resto de las partes procesales, que cumplimentaron el trámite con base en la primitiva providencia de 28 de mayo de 2007, lo que motivó la protesta de una de ellas y que la otra entendiese como de posible vulneración, además del art. 14 CE, otra serie de artículos de la Constitución que el Magistrado promotor de la cuestión no consideraba vulnerados. Todo ello motiva, a juicio del Fiscal General del Estado, que el trámite de audiencia no se haya realizado de conformidad con las previsiones legales. </w:t>
      </w:r>
    </w:p>
    <w:p w:rsidR="00CF03FA" w:rsidRDefault="00CF03FA" w:rsidP="00CF03FA">
      <w:pPr>
        <w:pStyle w:val="TextoNormal"/>
      </w:pPr>
      <w:r>
        <w:t xml:space="preserve">Por otra parte, y con transcripción de la doctrina sentada en el ATC 298/2005, FJ 2, advierte el Fiscal General del Estado que la cuestión de inconstitucionalidad se plantea sin que se haya celebrado el juicio oral, cuya vista se suspendió con carácter previo para plantear la cuestión, sin que se pueda asumir el razonamiento del Magistrado-Juez promotor de la cuestión, pues en el propio ATC a que se refiere se recoge una doctrina contraria a la tesis sustentada por él sobre la posibilidad de planteamiento de la cuestión antes de celebrarse el plenario en el proceso penal. Así, se afirma que antes de dicho momento no pueden estimarse acreditados los hechos acaecidos, ni la participación de los imputados en los mismos, ni la concurrencia de posibles circunstancias eximentes de la responsabilidad criminal, especialmente en un supuesto en el que las partes implicadas se imputaban recíprocamente la agresión y alegaban una mera actuación defensiva, dándose además la circunstancia de que la aplicación del precepto que se cuestiona es meramente opcional, siendo factible que, tras el plenario, pudiese solicitarse por las acusaciones una tipificación igual para ambos contendientes. En suma, entiende el Fiscal General del Estado que, frente a lo afirmado por el órgano judicial, la ulterior tramitación del proceso es absolutamente imprescindible para determinar la aplicabilidad de la norma penal cuestionada. Por consiguiente, no concurre otra de las condiciones procesales exigidas en el art. 35.2 LOTC, esto es, la referida a la temporaneidad de su planteamiento. </w:t>
      </w:r>
    </w:p>
    <w:p w:rsidR="00CF03FA" w:rsidRDefault="00CF03FA" w:rsidP="00CF03FA">
      <w:pPr>
        <w:pStyle w:val="TextoNormal"/>
      </w:pPr>
      <w:r>
        <w:t>Por todo ello, el Fiscal General del Estado entiende que la cuestión debe ser inadmitida por incumplimiento de los requisitos procesales.</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Juzgado de lo Penal núm. 2 de Las Palmas de Gran Canaria promueve cuestión de inconstitucionalidad en relación con el art. 148.1.4 del Código penal (según la redacción dada por la Ley Orgánica 1/2004, de 28 de diciembre, de medidas de protección integral contra la violencia de género), por su posible contradicción con el art. 14 CE.</w:t>
      </w:r>
    </w:p>
    <w:p w:rsidR="00CF03FA" w:rsidRDefault="00CF03FA" w:rsidP="00CF03FA">
      <w:pPr>
        <w:pStyle w:val="TextoNormal"/>
      </w:pPr>
      <w:r>
        <w:t>El Fiscal General del Estado ha entendido que la presente cuestión de inconstitucionalidad ha de inadmitirse, por el incumplimiento de las condiciones procesales exigidas por el art. 35 LOTC.</w:t>
      </w:r>
    </w:p>
    <w:p w:rsidR="00CF03FA" w:rsidRDefault="00CF03FA" w:rsidP="00CF03FA">
      <w:pPr>
        <w:pStyle w:val="TextoNormal"/>
      </w:pPr>
    </w:p>
    <w:p w:rsidR="00CF03FA" w:rsidRDefault="00CF03FA" w:rsidP="00CF03FA">
      <w:pPr>
        <w:pStyle w:val="TextoNormal"/>
      </w:pPr>
      <w:r w:rsidRPr="00CF03FA">
        <w:rPr>
          <w:rStyle w:val="NumeroAFNegritaCaracter"/>
        </w:rPr>
        <w:t>2</w:t>
      </w:r>
      <w:r>
        <w:t>. Ha de darse la razón al Fiscal General del Estado en cuanto a que las deficiencias en las que ha incurrido el órgano judicial promotor de la cuestión de inconstitucionalidad determinan que no haya satisfecho en debida forma lo dispuesto en el art.  35 LOTC.</w:t>
      </w:r>
    </w:p>
    <w:p w:rsidR="00CF03FA" w:rsidRDefault="00CF03FA" w:rsidP="00CF03FA">
      <w:pPr>
        <w:pStyle w:val="TextoNormal"/>
      </w:pPr>
      <w:r>
        <w:t xml:space="preserve">En efecto, en primer lugar, el planteamiento de la cuestión se ha realizado prematuramente, pues, según se reconoce en el propio Auto de 3 de septiembre de 2007, la cuestión se promueve antes de que el procedimiento se encontrara concluso para dictar sentencia, </w:t>
      </w:r>
      <w:r>
        <w:lastRenderedPageBreak/>
        <w:t>decidiendo el Juzgador su tramitación al inicio del juicio oral, sin que éste haya llegado a celebrarse en su integridad. Tal forma de actuar resulta contraria a las previsiones del art. 35.2 LOTC —no modificado en los extremos que aquí nos interesan por la reforma introducida en la LOTC por Ley Orgánica 6/2007, de 24 de mayo— según el cual sólo se podrá plantear la cuestión de inconstitucionalidad una vez concluso el procedimiento y dentro del plazo para dictar Sentencia. En ese sentido, el planteamiento de una cuestión de inconstitucionalidad en momento procedimental anterior al indicado provoca, en principio y conforme al art. 37.1 LOTC, su inadmisión por prematura.</w:t>
      </w:r>
    </w:p>
    <w:p w:rsidR="00CF03FA" w:rsidRDefault="00CF03FA" w:rsidP="00CF03FA">
      <w:pPr>
        <w:pStyle w:val="TextoNormal"/>
      </w:pPr>
      <w:r>
        <w:t>Como se señala en el ATC 103/2004, de 13 de abril, este Tribunal ha efectuado una aplicación flexible de dicho requisito procesal en casos excepcionales tanto por razones de economía procesal como para hacer efectiva la colaboración entre el Juez ordinario y el Tribunal Constitucional que la cuestión de inconstitucionalidad entraña, “en la que es prevalente el interés objetivo en la depuración del ordenamiento jurídico de leyes que ofrecen duda de constitucionalidad”. Sin embargo, esta posibilidad excepcional ha quedado constreñida, como regla general, a las leyes procesales, y sólo se ha considerado admisible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norma cuestionada tenga una incidencia anticipada e irreversible en el propio proceso en curso (SSTC 8/1982, de 4 de marzo, FJ 1; 186/1990, de 15 de noviembre, FJ 2; 234/1997, de 18 de diciembre, FJ 2; y AATC 121/1990, de 13 de marzo, FJ 2; 47/1994, de 8 de febrero, FJ 1; 236/1998, de 10 de noviembre, FFJJ 1 y 2, y 103/2004, de 13 de abril, FJ 2).</w:t>
      </w:r>
    </w:p>
    <w:p w:rsidR="00CF03FA" w:rsidRDefault="00CF03FA" w:rsidP="00CF03FA">
      <w:pPr>
        <w:pStyle w:val="TextoNormal"/>
      </w:pPr>
      <w:r>
        <w:t>El órgano judicial ha justificado la decisión de plantear la cuestión en ese momento inicial con el argumento de que, atendidas las calificaciones realizadas por el Fiscal y por las acusaciones particulares, la posterior tramitación del proceso hasta el momento de dictar sentencia no aportaría ningún elemento adicional sobre la aplicabilidad del precepto cuestionado ni sobre su efecto determinante del fallo. Pues bien, dicho razonamiento no puede ser admitido, porque, como ha señalado este Tribunal, entre otros, en el ATC 238/2002, de 26 de noviembre, FJ 4, entre los supuestos excepcionales que permiten el planteamiento anticipado de la cuestión de inconstitucionalidad, cuando de preceptos legales de naturaleza sustantiva se trate, no cabe incluir el prescindir del juicio oral “pues resulta contrario a la más elemental comprensión del proceso penal acorde con las garantías constitucionales que lo informan sostener que la celebración del mismo “no puede aportar ningún elemento adicional de juicio sobre la aplicabilidad de la norma legal cuestionada ni sobre su efecto determinante del fallo”. Hay que tener en cuenta que el juicio oral es el eje de todo el proceso penal porque es en él donde las partes traban el debate contradictorio ante el mismo Juez o Tribunal que ha de dictar Sentencia, de suerte que la convicción de éste sobre los hechos enjuiciados se alcanza en contacto directo con las razones y los medios probatorios aportados (entre otras muchas, SSTC 161/1990, de 19 de octubre, FJ 2; 40/1997, de 27 de febrero, FJ 2, y 188/2002, de 14 de octubre, FJ 2). Y, precisamente, esta posición central del juicio oral en el desarrollo del proceso penal “impide admitir que antes de su celebración pueda efectuarse el juicio de aplicabilidad y relevancia de una norma con rango de Ley como presupuesto para el planteamiento de la cuestión de inconstitucionalidad. Si así fuera se minusvaloraría su consideración como eje procedimental para el respeto de las garantías y principios constitucionales informadores del proceso penal” (ATC 238/2002).</w:t>
      </w:r>
    </w:p>
    <w:p w:rsidR="00CF03FA" w:rsidRDefault="00CF03FA" w:rsidP="00CF03FA">
      <w:pPr>
        <w:pStyle w:val="TextoNormal"/>
      </w:pPr>
      <w:r>
        <w:t xml:space="preserve">Por consiguiente, no resulta admisible que el órgano judicial formule un juicio de aplicabilidad y relevancia de la norma legal de cuya constitucionalidad dice dudar antes de que </w:t>
      </w:r>
      <w:r>
        <w:lastRenderedPageBreak/>
        <w:t>se desarrolle el instante estelar del juicio oral: en ese momento procesal la identificación de la norma penal es meramente provisional y, en todo caso, no está acreditada la participación en los hechos de los encausados, por lo que aún no puede afirmarse que el precepto legal cuestionado sea de aplicación y determinante para el sentido del fallo. Y es que todavía han de practicarse, bajo la vigencia de los principios de oralidad, contradicción, inmediación y publicidad, las pruebas que deben acreditar, en su caso, la efectiva realización de los hechos enjuiciados así como la participación en ellos de los acusados.</w:t>
      </w:r>
    </w:p>
    <w:p w:rsidR="00CF03FA" w:rsidRDefault="00CF03FA" w:rsidP="00CF03FA">
      <w:pPr>
        <w:pStyle w:val="TextoNormal"/>
      </w:pPr>
      <w:r>
        <w:t>En consecuencia, debemos concluir que el planteamiento de la cuestión de inconstitucionalidad no cumple el presupuesto de formulación en el momento procesal idóneo, dado que aún no se halla concluso el procedimiento penal, y el completo desarrollo del juicio oral puede aportar datos y revelar circunstancias que sean decisivos para la aplicabilidad al caso del precepto penal cuestionado, conforme a la doctrina constitucional antes expuesta y a lo exigido por el art. 35.2 LOTC. Por tanto, la presente cuestión de inconstitucionalidad debe ser inadmitida por no haberse planteado en un momento procesal en el que quepa entender satisfecho el requisito establecido en el art. 35.2, en relación con el art. 35.1 LOTC.</w:t>
      </w:r>
    </w:p>
    <w:p w:rsidR="00CF03FA" w:rsidRDefault="00CF03FA" w:rsidP="00CF03FA">
      <w:pPr>
        <w:pStyle w:val="TextoNormal"/>
      </w:pPr>
    </w:p>
    <w:p w:rsidR="00CF03FA" w:rsidRDefault="00CF03FA" w:rsidP="00CF03FA">
      <w:pPr>
        <w:pStyle w:val="TextoNormal"/>
      </w:pPr>
      <w:r w:rsidRPr="00CF03FA">
        <w:rPr>
          <w:rStyle w:val="NumeroAFNegritaCaracter"/>
        </w:rPr>
        <w:t>3</w:t>
      </w:r>
      <w:r>
        <w:t>. Por otra parte, se aprecia igualmente que el trámite de audiencia a las partes y al Ministerio Fiscal, previsto en el art. 35.2 LOTC, no se ha desarrollado correctamente. En efecto, en la providencia por la que se acordó oír al Ministerio Fiscal y a las partes sobre la procedencia de plantear la cuestión, el órgano judicial, aparte de reducir a tres días, sin justificación alguna, el plazo de diez días previsto legalmente a tal efecto, acordó darles traslado para alegar “respecto a la cuestión de inconstitucionalidad del art. 148.1-4º del Código penal”, pero sin expresar cuáles serían los preceptos constitucionales que, a su juicio, podría vulnerar aquél. Pues bien, la realización del trámite de audiencia en tales términos no cumple los requisitos que le son constitucionalmente exigibles, porque difícilmente puede satisfacer las dos funciones que, de acuerdo con una constante jurisprudencia constitucional, le son inherentes: de un lado, garantizar una efectiva y real audiencia de las partes y del Ministerio Fiscal ante una posible decisión de tanta entidad como es el planteamiento de una cuestión de inconstitucionalidad (STC 166/1986, de 19 de diciembre, FJ 4); y, de otro, poner a disposición del órgano judicial un medio que le permita conocer la opinión de los sujetos interesados en el procedimiento a quo con el fin de facilitar su reflexión sobre la conveniencia o no de proceder a la apertura de dicho proceso (ATC 188/2006, de 6 de junio).</w:t>
      </w:r>
    </w:p>
    <w:p w:rsidR="00CF03FA" w:rsidRDefault="00CF03FA" w:rsidP="00CF03FA">
      <w:pPr>
        <w:pStyle w:val="TextoNormal"/>
      </w:pPr>
      <w:r>
        <w:t>Como tiene declarado este Tribunal, en el trámite de audiencia contemplado en el art. 35.2 LOTC resulta inexcusable que el órgano judicial identifique tanto el precepto o los preceptos de cuya constitucionalidad se dude, como las normas de la Constitución que se consideren vulneradas (por todos, AATC 29/2003, de 28 de enero, FJ único; y 96/2004, de 23 de marzo, FJ 2), y no cabe admitir que pueda desarrollarse en cualesquiera términos, pues ello equivaldría a minimizar su importancia, reduciéndola a un simple trámite carente de más trascendencia que la de su obligatoria concesión. Por tal razón, este Tribunal ha considerado reiteradamente que una carencia de tal naturaleza en la providencia que concede el trámite de audiencia constituye una omisión de suficiente entidad como para determinar la inadmisión de la cuestión de inconstitucionalidad (STC 224/2006, de 6 de julio, FFJJ 4 y 5; AATC 199/2001, de 4 de julio, 102/2003, de 25 de marzo, 226/2003, de 1 de julio, 308 a 311/2004, de 20 de julio, 56/2006, de 15 de febrero, y 188/2006, de 6 de junio).</w:t>
      </w:r>
    </w:p>
    <w:p w:rsidR="00CF03FA" w:rsidRDefault="00CF03FA" w:rsidP="00CF03FA">
      <w:pPr>
        <w:pStyle w:val="TextoNormal"/>
      </w:pPr>
      <w:r>
        <w:t xml:space="preserve">Bien es cierto que el Ministerio Fiscal presentó un escrito quejándose por la insuficiencia de la providencia por la que se le había dado audiencia, lo que motivó que el Juzgado, con fecha 6 de junio de 2007, acordara darle traslado nuevamente para que pudiera alegar “sobre la posible vulneración del art. 14 de la Constitución, en tanto se solicita la imposición a los </w:t>
      </w:r>
      <w:r>
        <w:lastRenderedPageBreak/>
        <w:t>acusados de penas distintas por los mismos hechos”. No obstante, esta actuación no subsana totalmente la insuficiencia de la providencia por la que se concedió la audiencia, pues, como advierte el Fiscal General del Estado, ese nuevo traslado sólo se concedió al Ministerio público, y no al resto de la partes, ni siquiera a la representación de la Sra. Herrera López, que también presentó escrito denunciando que en la referida providencia no se citaban los artículos de la Constitución que resultarían vulnerados, por lo que no podía realizar una adecuada oposición al planteamiento de la cuestión. Dado que el órgano judicial no le aclaró a la parte el extremo planteado, este Tribunal debe seguir manteniendo su reproche en cuanto a la forma en que se ha practicado el trámite de audiencia a que se refiere el art. 35.2 LOTC.</w:t>
      </w:r>
    </w:p>
    <w:p w:rsidR="00CF03FA" w:rsidRDefault="00CF03FA" w:rsidP="00CF03FA">
      <w:pPr>
        <w:pStyle w:val="TextoNormal"/>
      </w:pPr>
    </w:p>
    <w:p w:rsidR="00CF03FA" w:rsidRDefault="00CF03FA" w:rsidP="00CF03FA">
      <w:pPr>
        <w:pStyle w:val="TextoNormal"/>
      </w:pPr>
      <w:r>
        <w:t>En virtud de todo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la presente cuestión de inconstitucionalidad.</w:t>
      </w:r>
    </w:p>
    <w:p w:rsidR="00CF03FA" w:rsidRDefault="00CF03FA" w:rsidP="00CF03FA">
      <w:pPr>
        <w:pStyle w:val="TextoNormal"/>
      </w:pPr>
    </w:p>
    <w:p w:rsidR="00CF03FA" w:rsidRDefault="00CF03FA" w:rsidP="00CF03FA">
      <w:pPr>
        <w:pStyle w:val="TextoNormal"/>
      </w:pPr>
      <w:r>
        <w:t>Madrid, a dieciséis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75" w:name="AUTO_2008_14"/>
      <w:r>
        <w:lastRenderedPageBreak/>
        <w:t>AUTO 14/2008, de 17 de enero de 2008</w:t>
      </w:r>
    </w:p>
    <w:bookmarkEnd w:id="75"/>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ECLI:ES:TC:2008:14A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Acuerda el desistimiento en el recurso de amparo 1379-2007.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76" w:name="AUTO_2008_15"/>
      <w:r>
        <w:lastRenderedPageBreak/>
        <w:t>AUTO 15/2008, de 17 de enero de 2008</w:t>
      </w:r>
    </w:p>
    <w:bookmarkEnd w:id="76"/>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ECLI:ES:TC:2008:15A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Acuerda el desistimiento en el recurso de amparo 1536-2007.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77" w:name="AUTO_2008_16"/>
      <w:r>
        <w:lastRenderedPageBreak/>
        <w:t>AUTO 16/2008, de 21 de enero de 2008</w:t>
      </w:r>
    </w:p>
    <w:bookmarkEnd w:id="77"/>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ECLI:ES:TC:2008:16A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Deniega la suspensión en el recurso de amparo 156-2006, promovido por don Luis Miguel Martins Da Silva Mira Calhanas en causa por delito de lesiones.</w:t>
      </w:r>
    </w:p>
    <w:p w:rsidR="00CF03FA" w:rsidRDefault="00CF03FA" w:rsidP="00CF03FA">
      <w:pPr>
        <w:pStyle w:val="SntesisDescriptiva"/>
      </w:pPr>
    </w:p>
    <w:p w:rsidR="00CF03FA" w:rsidRDefault="00CF03FA" w:rsidP="00CF03FA">
      <w:pPr>
        <w:pStyle w:val="SntesisAnaltica"/>
      </w:pPr>
      <w:r>
        <w:t>Suspensión cautelar de sentencias penales: pena de alejamiento,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presentado en el Registro General de este Tribunal el 5 de enero de 2006, don Luis Miguel Martins Da Silva Mira Calhanas, representado por el Procurador de los Tribunales don Antonio Esteban Sánchez y asistido por la Letrada doña Argentina Picos López, interpuso recurso de amparo contra la Sentencia dictada el 30 de noviembre de 2005 por la Sección Tercera de la Audiencia Provincial de Oviedo en el rollo de apelación núm. 223-2005, parcialmente estimatoria del recurso de apelación interpuesto contra la Sentencia dictada el 15 de septiembre de 2005 por el Juzgado de lo Penal núm. 4 de Oviedo en el procedimiento de juicio rápido núm. 181-2005.</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Sucintamente expuestos, los hechos relevantes para resolver la pretensión del demandante son los siguientes: </w:t>
      </w:r>
    </w:p>
    <w:p w:rsidR="00CF03FA" w:rsidRDefault="00CF03FA" w:rsidP="00CF03FA">
      <w:pPr>
        <w:pStyle w:val="TextoNormal"/>
      </w:pPr>
      <w:r>
        <w:t xml:space="preserve">a) El recurrente en amparo fue condenado por Sentencia de 15 de septiembre de 2005, dictada por el Juzgado de lo Penal núm. 4 de Oviedo, como autor de un delito de lesiones previsto en los arts. 147 y 148.1 CP, a la pena de cuatro años de prisión, con la accesoria de inhabilitación para el ejercicio del derecho de sufragio pasivo durante cuatro años, con prohibición de aproximarse a la víctima a menos de cien metros y de comunicarse con ella durante cinco años, así como al pago de las costas procesales; igualmente, fue condenado al pago de las responsabilidades civiles que fija la Sentencia en su parte dispositiva. </w:t>
      </w:r>
    </w:p>
    <w:p w:rsidR="00CF03FA" w:rsidRDefault="00CF03FA" w:rsidP="00CF03FA">
      <w:pPr>
        <w:pStyle w:val="TextoNormal"/>
      </w:pPr>
      <w:r>
        <w:t>b) Contra la anterior Sentencia interpuso recurso de apelación, que fue estimado parcialmente por la Sección Tercera de la Audiencia Provincial de Oviedo mediante Sentencia de 30 de noviembre de 2005, que rebajó de cuatro a tres años la pena de prisión impuesta, manteniendo el resto de los pronunciamientos de la Sentencia apelada.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la demanda de amparo se alega que las resoluciones judiciales recurridas han vulnerado el derecho del recurrente a la igualdad (art. 14 CE), considerando el demandante que por el hecho de ser varón sufre una discriminación penológica, que se añade a que la declaración de su esposa ha gozado de una mayor credibilidad por la sola circunstancia de ser </w:t>
      </w:r>
      <w:r>
        <w:lastRenderedPageBreak/>
        <w:t xml:space="preserve">mujer, en detrimento de las pruebas aportadas por él. Así mismo, entiende lesionado su derecho a obtener tutela judicial efectiva sin indefensión (art. 24.1 CE) y a un proceso con todas las garantías (art. 24.2 CE) como consecuencia de no haber podido contradecir la prueba pericial aportada sorpresivamente en la vista oral. Por último, aduce la violación del derecho a la presunción de inocencia (art. 24.2 CE) ante la insuficiencia de la actividad probatoria de cargo, integrada por declaraciones que califica de inveraces. </w:t>
      </w:r>
    </w:p>
    <w:p w:rsidR="00CF03FA" w:rsidRDefault="00CF03FA" w:rsidP="00CF03FA">
      <w:pPr>
        <w:pStyle w:val="TextoNormal"/>
      </w:pPr>
      <w:r>
        <w:t>Por otrosí, en la misma demanda, de acuerdo con lo previsto en el art. 56 LOTC, el demandante solicita que se deje en suspenso la ejecución de la pena privativa de libertad, alegando que su ejecución podría ocasionarle un perjuicio que haría perder al amparo su finalidad.</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Por providencia de 5 de noviembre de 2007 la Sección Segunda de este Tribunal acordó la admisión a trámite de la demanda de amparo, así como, a tenor de lo establecido en el art. 51 LOTC, requerir atentamente a la Sección Tercera de la Audiencia Provincial de Oviedo y al Juzgado de lo Penal núm. 4 de Oviedo para que remitieran testimonio de las actuaciones, interesándose al tiempo que se emplazase a quienes fueron parte en el procedimiento penal, a excepción del demandante de amparo, para que pudieran comparecer en el proceso de amparo. </w:t>
      </w:r>
    </w:p>
    <w:p w:rsidR="00CF03FA" w:rsidRDefault="00CF03FA" w:rsidP="00CF03FA">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5</w:t>
      </w:r>
      <w:r>
        <w:t>. La representación de la recurrente, mediante escrito presentado el 19 de noviembre de 2007, reitera su petición de que este Tribunal proceda a suspender la ejecución de la pena de prisión impuesta por la Sección Tercera de la Audiencia Provincial de Oviedo.</w:t>
      </w:r>
    </w:p>
    <w:p w:rsidR="00CF03FA" w:rsidRDefault="00CF03FA" w:rsidP="00CF03FA">
      <w:pPr>
        <w:pStyle w:val="TextoNormal"/>
      </w:pPr>
    </w:p>
    <w:p w:rsidR="00CF03FA" w:rsidRDefault="00CF03FA" w:rsidP="00CF03FA">
      <w:pPr>
        <w:pStyle w:val="TextoNormal"/>
      </w:pPr>
      <w:r w:rsidRPr="00CF03FA">
        <w:rPr>
          <w:rStyle w:val="NumeroAFNegritaCaracter"/>
        </w:rPr>
        <w:t>6</w:t>
      </w:r>
      <w:r>
        <w:t>. En su escrito de alegaciones, presentado el 26 de noviembre de 2007, el Ministerio Fiscal estima procedente que se acuerde la suspensión de la ejecución de la Sentencia condenatoria impugnada, en lo que afecta al cumplimiento de la pena privativa de libertad y su accesoria. Entiende el Fiscal que, sin perjuicio del rechazo social que deben suscitar los delitos contra la integridad corporal en el ámbito familiar, en el presente caso es procedente la suspensión solicitada, atendida la duración de la pena de prisión impuesta, el tiempo que normalmente consume la tramitación de un proceso de amparo, que no se haya apreciado la concurrencia de habitualidad en los malos tratos, el carácter menos grave del delito, el arraigo en España del condenado, la posibilidad de que la víctima pueda ser protegida mediante las demás penas impuestas y que la suspensión no ocasiona una lesión específica y grave del interés general, más allá de aquélla que de por sí produce la no ejecución de un fallo judicial.</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w:t>
      </w:r>
      <w:r>
        <w:lastRenderedPageBreak/>
        <w:t>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00CF03FA" w:rsidRDefault="00CF03FA" w:rsidP="00CF03FA">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w:t>
      </w:r>
    </w:p>
    <w:p w:rsidR="00CF03FA" w:rsidRDefault="00CF03FA" w:rsidP="00CF03FA">
      <w:pPr>
        <w:pStyle w:val="TextoNormal"/>
      </w:pPr>
      <w:r>
        <w:t>En este sentido, por perjuicio irreparable ha de entenderse aquel que provoque que el restablecimiento del recurrente en el derecho constitucional vulnerado sea tardío y convierta el amparo en meramente ilusorio y nominal (por todos, AATC 251/2000, de 30 de octubre; 63/2001, de 26 de marzo; 170/2001, de 22 de junio; 9/2003, de 20 de enero; 338/2005, de 26 de septiembre; y 286/2007, de 18 de junio).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00CF03FA" w:rsidRDefault="00CF03FA" w:rsidP="00CF03FA">
      <w:pPr>
        <w:pStyle w:val="TextoNormal"/>
      </w:pPr>
      <w:r>
        <w:t>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273/1998, de 14 de diciembre, FJ 2, y 201/2007, de 27 de marzo, FJ 2). El mencionado art. 56.1 LOTC responde, en definitiva, a criterios racionales de equilibrio entre los intereses del recurrente, los generales de la sociedad y los derechos de terceros, que en cada supuesto han de ser ponderados conjuntamente (ATC 273/1998, de 14 de diciembre, FJ 2).</w:t>
      </w:r>
    </w:p>
    <w:p w:rsidR="00CF03FA" w:rsidRDefault="00CF03FA" w:rsidP="00CF03FA">
      <w:pPr>
        <w:pStyle w:val="TextoNormal"/>
      </w:pPr>
    </w:p>
    <w:p w:rsidR="00CF03FA" w:rsidRDefault="00CF03FA" w:rsidP="00CF03FA">
      <w:pPr>
        <w:pStyle w:val="TextoNormal"/>
      </w:pPr>
      <w:r w:rsidRPr="00CF03FA">
        <w:rPr>
          <w:rStyle w:val="NumeroAFNegritaCaracter"/>
        </w:rPr>
        <w:t>2</w:t>
      </w:r>
      <w:r>
        <w:t>. En el caso ahora examinado es evidente la parcial pérdida de la finalidad del amparo que inevitablemente conlleva el cumplimiento de la pena impuesta mientras dure la tramitación de este proceso. Pero incluso así, según se ha expuesto, la suspensión debe negarse “cuando de ésta pueda seguirse perturbación grave … de los derechos fundamentales o libertades públicas de un tercero” (art. 56 LOTC), como es el derecho a la integridad física de la víctima (art. 15 CE) frente a eventuales nuevos ataques, generadores también de patente alarma social.</w:t>
      </w:r>
    </w:p>
    <w:p w:rsidR="00CF03FA" w:rsidRDefault="00CF03FA" w:rsidP="00CF03FA">
      <w:pPr>
        <w:pStyle w:val="TextoNormal"/>
      </w:pPr>
      <w:r>
        <w:lastRenderedPageBreak/>
        <w:t>En el presente caso el recurrente fue condenado como autor de un delito de lesiones previsto en los arts. 147 y 148.1 del Código penal (CP) como consecuencia de estimarse probado que el 31 de julio de 2005 golpeó en repetidas ocasiones con la cabeza a su esposa, mientras la sujetaba con los brazos, causándole una contusión en los labios, la pérdida de una pieza dental y de la funda de otra, así como hematomas diversos. La imposición, en la Sentencia cuya suspensión se pide, de la pena de prohibición de aproximarse a la víctima a menos de cien metros y de comunicarse con ella durante cinco años, resulta indicativa de la existencia de un riesgo para los intereses de la víctima que el propio legislador ha apreciado como asociado a esta clase de delitos.  Sin embargo, no parece suficiente confiar exclusivamente en la imposición de medidas de posible quebrantamiento, para poder considerar enervados los riesgos para la integridad física de víctima. De otro lado, la efectividad de la protección de la víctima viene propiciada, desde la dimensión preventivo-especial de la pena privativa de libertad, por la propia inmediatez de su ejecución, en la medida en que pueda servir para confirmar al penado la efectividad de la conminación penal, tal y como lo apreciamos en el ATC 53/2003, de 10 de febrero, mediante el que denegamos la suspensión de una pena de tres fines de semana de arresto, a pesar de que también se había impuesto al recurrente la pena de prohibición de aproximarse a la víctima durante seis meses.</w:t>
      </w:r>
    </w:p>
    <w:p w:rsidR="00CF03FA" w:rsidRDefault="00CF03FA" w:rsidP="00CF03FA">
      <w:pPr>
        <w:pStyle w:val="TextoNormal"/>
      </w:pPr>
      <w:r>
        <w:t>Sin perjuicio de cuanto antecede y con el fin de paliar en lo posible la eventual pérdida de la finalidad del amparo que pudiera derivarse del cumplimiento de la pena impuesta mientras dure la tramitación del presente proceso, procede señalar preferentemente la deliberación y fallo del mismo.</w:t>
      </w:r>
    </w:p>
    <w:p w:rsidR="00CF03FA" w:rsidRDefault="00CF03FA" w:rsidP="00CF03FA">
      <w:pPr>
        <w:pStyle w:val="TextoNormal"/>
      </w:pPr>
    </w:p>
    <w:p w:rsidR="00CF03FA" w:rsidRDefault="00CF03FA" w:rsidP="00CF03FA">
      <w:pPr>
        <w:pStyle w:val="TextoNormal"/>
      </w:pPr>
      <w:r>
        <w:t>Por todo lo cual,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de la ejecución de la Sentencia de la Sección Tercera de la Audiencia Provincial de Oviedo de 30 de noviembre de 2005, recaída en el rollo de apelación núm. 223-2005.</w:t>
      </w:r>
    </w:p>
    <w:p w:rsidR="00CF03FA" w:rsidRDefault="00CF03FA" w:rsidP="00CF03FA">
      <w:pPr>
        <w:pStyle w:val="TextoNormal"/>
      </w:pPr>
    </w:p>
    <w:p w:rsidR="00CF03FA" w:rsidRDefault="00CF03FA" w:rsidP="00CF03FA">
      <w:pPr>
        <w:pStyle w:val="TextoNormal"/>
      </w:pPr>
      <w:r>
        <w:t>Madrid, veintiuno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78" w:name="AUTO_2008_17"/>
      <w:r>
        <w:lastRenderedPageBreak/>
        <w:t>AUTO 17/2008, de 21 de enero de 2008</w:t>
      </w:r>
    </w:p>
    <w:bookmarkEnd w:id="78"/>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ECLI:ES:TC:2008:17A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Deniega la suspensión en el recurso de amparo 10245-2006, promovido por don Ángel Luis Hermosa Urra en procedimiento de vigilancia penitenciaria sobre licenciamiento definitivo.</w:t>
      </w:r>
    </w:p>
    <w:p w:rsidR="00CF03FA" w:rsidRDefault="00CF03FA" w:rsidP="00CF03FA">
      <w:pPr>
        <w:pStyle w:val="SntesisDescriptiva"/>
      </w:pPr>
    </w:p>
    <w:p w:rsidR="00CF03FA" w:rsidRDefault="00CF03FA" w:rsidP="00CF03FA">
      <w:pPr>
        <w:pStyle w:val="SntesisAnaltica"/>
      </w:pPr>
      <w:r>
        <w:t>Suspensión cautelar de resoluciones penales: liquidación de condena,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día 14 de noviembre de 2006, don José Javier Cuevas Rivas, Procurador de los Tribunales, y de don Ángel Luis Hermosa Urra, asistido por el Letrado don Iñaki Goioaga Llano, interpuso recurso de amparo contra el Auto de la Sección Tercera de la Sala de lo Penal de la Audiencia Nacional de 10 de octubre de 2006, que desestima el recurso de súplica contra la providencia de 21 de julio de 2006, por la que se deniega el licenciamiento definitivo propuesto por el Centro penitenciario de Ocaña I.</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Sucintamente expuestos, los hechos en que se basa la pretensión de amparo son los siguientes: </w:t>
      </w:r>
    </w:p>
    <w:p w:rsidR="00CF03FA" w:rsidRDefault="00CF03FA" w:rsidP="00CF03FA">
      <w:pPr>
        <w:pStyle w:val="TextoNormal"/>
      </w:pPr>
      <w:r>
        <w:t xml:space="preserve">a) El 21 de julio de 2006, la Sección Tercera de la Audiencia Nacional dictó una providencia en la que rechazaba la propuesta de licenciamiento definitivo del demandante de amparo realizada por la prisión de Ocaña I para el día 8 de septiembre de 2006, fijando como nueva fecha de cumplimiento el 27 de junio de 2017, en aplicación del nuevo criterio establecido por el Tribunal Supremo en Sentencia de 28 de febrero de 2006. </w:t>
      </w:r>
    </w:p>
    <w:p w:rsidR="00CF03FA" w:rsidRDefault="00CF03FA" w:rsidP="00CF03FA">
      <w:pPr>
        <w:pStyle w:val="TextoNormal"/>
      </w:pPr>
      <w:r>
        <w:t xml:space="preserve">b) Contra dicha resolución se interpuso recurso de súplica, desestimado por Auto de 10 de octubre de 2006. </w:t>
      </w:r>
    </w:p>
    <w:p w:rsidR="00CF03FA" w:rsidRDefault="00CF03FA" w:rsidP="00CF03FA">
      <w:pPr>
        <w:pStyle w:val="TextoNormal"/>
      </w:pPr>
      <w:r>
        <w:t>El Auto sostiene que el cálculo para el licenciamiento definitivo propuesto por el Centro penitenciario se efectuó con arreglo a los criterios jurisprudenciales anteriores a la STS 197/2006, de 28 de febrero, constando en la providencia igualmente que con arreglo a los nuevos criterios jurisprudenciales la fecha de licenciamiento sería el 27 de junio de 2017, por lo que desestima el recurso, confirmando la providencia en su integridad.</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la demanda de amparo se alega que la resolución judicial impugnada ha vulnerado los derechos del recurrente a la tutela judicial efectiva (art. 24.1 CE), a un proceso con todas las garantías (art. 24.2 CE), a la legalidad (art. 25.1 y 25.2 CE), a la libertad (art. 17 CE) y a la igualdad en la aplicación de la ley (art. 14 CE). </w:t>
      </w:r>
    </w:p>
    <w:p w:rsidR="00CF03FA" w:rsidRDefault="00CF03FA" w:rsidP="00CF03FA">
      <w:pPr>
        <w:pStyle w:val="TextoNormal"/>
      </w:pPr>
      <w:r>
        <w:lastRenderedPageBreak/>
        <w:t>En el suplico de la misma se solicita el otorgamiento del amparo, con anulación de las resoluciones recurridas, y la inmediata puesta en libertad del demandante.</w:t>
      </w:r>
    </w:p>
    <w:p w:rsidR="00CF03FA" w:rsidRDefault="00CF03FA" w:rsidP="00CF03FA">
      <w:pPr>
        <w:pStyle w:val="TextoNormal"/>
      </w:pPr>
    </w:p>
    <w:p w:rsidR="00CF03FA" w:rsidRDefault="00CF03FA" w:rsidP="00CF03FA">
      <w:pPr>
        <w:pStyle w:val="TextoNormal"/>
      </w:pPr>
      <w:r w:rsidRPr="00CF03FA">
        <w:rPr>
          <w:rStyle w:val="NumeroAFNegritaCaracter"/>
        </w:rPr>
        <w:t>4</w:t>
      </w:r>
      <w:r>
        <w:t>. Por escrito presentado el 26 de marzo de 2007 se solicita la suspensión de las resoluciones impugnadas “al considerar que la ejecución ocasiona un perjuicio que haría perder al amparo su finalidad ya que se encuentra en prisión, cumpliendo una condena, más allá del límite máximo establecido en el art. 70.2 del Código penal de 1973”.</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Por providencia de 26 de septiembre de 2007, la Sección Primera de este Tribunal acordó la admisión a trámite de la demanda así como, a tenor de lo establecido en el art. 51 LOTC, requerir atentamente a la Sección Tercera de la Sala de lo Penal de la Audiencia Nacional para que remitiera testimonio de las actuaciones correspondientes a la Ejecutoria núm. 5-1998, interesando al tiempo que se emplazase a quienes fueron parte en el procedimiento, a excepción del demandante, para que pudieran comparecer en el recurso de amparo. </w:t>
      </w:r>
    </w:p>
    <w:p w:rsidR="00CF03FA" w:rsidRDefault="00CF03FA" w:rsidP="00CF03FA">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5 de octubre de 2007 se registró en este Tribunal el escrito de alegaciones del Ministerio Fiscal, que se opone a la suspensión solicitada, sin perjuicio de que, a la vista de los motivos de amparo y los derechos fundamentales en juego, este Tribunal proceda a la tramitación y resolución urgente del recurso, para que caso de otorgarse el amparo el perjuicio para el recurrente fuera el menor posible. </w:t>
      </w:r>
    </w:p>
    <w:p w:rsidR="00CF03FA" w:rsidRDefault="00CF03FA" w:rsidP="00CF03FA">
      <w:pPr>
        <w:pStyle w:val="TextoNormal"/>
      </w:pPr>
      <w:r>
        <w:t>Recuerda el Ministerio Fiscal, con cita del ATC 236/2005, de 20 de junio, FJ 2, que el Tribunal Constitucional no accede a la suspensión cuando ello significa una anticipación de lo interesado como pretensión en la demanda de amparo. Y, en el presente caso, las resoluciones que se impugnan deniegan la puesta en libertad del recurrente, realizando una nueva propuesta de licenciamiento definitivo en aplicación de la doctrina del Tribunal Supremo establecida en la STS 197/2006, de acuerdo con la cual el cumplimiento se produciría el 27 de junio de 2017. Si se suspendiera la ejecución de las resoluciones impugnadas se volvería a la fecha inicial (8 de septiembre de 2006) y debería acordarse la puesta en libertad inmediata del demandante, lo que significaría otorgar el amparo y obligaría en este trámite a realizar un examen de fondo de la demanda que ahora no corresponde.</w:t>
      </w:r>
    </w:p>
    <w:p w:rsidR="00CF03FA" w:rsidRDefault="00CF03FA" w:rsidP="00CF03FA">
      <w:pPr>
        <w:pStyle w:val="TextoNormal"/>
      </w:pPr>
    </w:p>
    <w:p w:rsidR="00CF03FA" w:rsidRDefault="00CF03FA" w:rsidP="00CF03FA">
      <w:pPr>
        <w:pStyle w:val="TextoNormal"/>
      </w:pPr>
      <w:r w:rsidRPr="00CF03FA">
        <w:rPr>
          <w:rStyle w:val="NumeroAFNegritaCaracter"/>
        </w:rPr>
        <w:t>7</w:t>
      </w:r>
      <w:r>
        <w:t>. Mediante escrito registrado en este Tribunal el día 9 de octubre de 2007, realiza sus alegaciones el demandante de amparo, quien reitera la solicitud de suspensión de la ejecución de la condena, manifestando que la misma no implica el licenciamiento definitivo, lo cual podría generar una situación irreversible, y evitaría un perjuicio irreparable, pues de no accederse a la suspensión el recurrente permanecería en prisión más allá del cumplimiento de la condena que le fue impuesta. A ello se añade que la suspensión no sería tal, puesto que ya se ha cumplido la pena en su totalidad.</w:t>
      </w:r>
    </w:p>
    <w:p w:rsidR="00CF03FA" w:rsidRDefault="00CF03FA" w:rsidP="00CF03FA">
      <w:pPr>
        <w:pStyle w:val="TextoNormal"/>
      </w:pPr>
    </w:p>
    <w:p w:rsidR="00CF03FA" w:rsidRDefault="00CF03FA" w:rsidP="00CF03FA">
      <w:pPr>
        <w:pStyle w:val="TextoNormalNegritaCentrado"/>
        <w:keepNext/>
      </w:pPr>
      <w:r>
        <w:lastRenderedPageBreak/>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CF03FA" w:rsidRDefault="00CF03FA" w:rsidP="00CF03FA">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w:t>
      </w:r>
    </w:p>
    <w:p w:rsidR="00CF03FA" w:rsidRDefault="00CF03FA" w:rsidP="00CF03FA">
      <w:pPr>
        <w:pStyle w:val="TextoNormal"/>
      </w:pPr>
    </w:p>
    <w:p w:rsidR="00CF03FA" w:rsidRDefault="00CF03FA" w:rsidP="00CF03FA">
      <w:pPr>
        <w:pStyle w:val="TextoNormal"/>
      </w:pPr>
      <w:r w:rsidRPr="00CF03FA">
        <w:rPr>
          <w:rStyle w:val="NumeroAFNegritaCaracter"/>
        </w:rPr>
        <w:t>2</w:t>
      </w:r>
      <w:r>
        <w:t>. Ciertamente, el Tribunal ha afirmado que “la libertad constituye un derecho cuya naturaleza convierte el perjuicio irrogado en irreparable, en caso de estimarse el amparo una vez cumplida parcial o totalmente la pena” (AATC 155/2002, de 16 de septiembre, FJ 3; 9/2003, de 20 de enero, FJ 2).</w:t>
      </w:r>
    </w:p>
    <w:p w:rsidR="00CF03FA" w:rsidRDefault="00CF03FA" w:rsidP="00CF03FA">
      <w:pPr>
        <w:pStyle w:val="TextoNormal"/>
      </w:pPr>
      <w:r>
        <w:t>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caso.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369/2005, de 24 de octubre, FJ 2; 214/2007, de 16 de abril, FJ 2; 287/2007, de 18 de junio, FJ 2).</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3</w:t>
      </w:r>
      <w:r>
        <w:t>. En el presente caso, que presenta perfiles diferenciadores frente a los incidentes de suspensión comúnmente resueltos y coincidentes esencialmente con los de los AATC 214/2007, de 16 de abril; 287/2007, de 18 de junio, y 420/2007, de 5 de noviembre, las resoluciones judiciales recurridas no son aquellas que impusieron las penas privativas de libertad, sino las que rechazan la propuesta de licenciamiento definitivo realizada por el centro penitenciario, ordenando la elaboración de una nueva hoja de cálculo conforme a la doctrina de la STS 197/2006, de 28 de febrero, lo que determina que la pena no se extinguiría hasta el 27 de junio de 2017. Por tanto, lo que se cuestiona en el recurso de amparo es si el recurrente ha cumplido ya su condena el día 8 de septiembre de 2006 (como él sostiene) y debe ser puesto en libertad o no la cumple hasta el año 2017 (como sostiene la Audiencia Nacional), disparidad de fechas de cumplimiento vinculada al modo de computar las redenciones de pena por trabajo.</w:t>
      </w:r>
    </w:p>
    <w:p w:rsidR="00CF03FA" w:rsidRDefault="00CF03FA" w:rsidP="00CF03FA">
      <w:pPr>
        <w:pStyle w:val="TextoNormal"/>
      </w:pPr>
      <w:r>
        <w:t>Y la suspensión que se solicita no se refiere exclusivamente a la ejecución de las resoluciones recurridas en amparo, sino que se pretende la suspensión de la ejecución de la pena privativa de libertad que se encuentra cumpliendo y la inmediata puesta en libertad, por entender que, de lo contrario, se ocasionaría un perjuicio irreparable caso de otorgarse finalmente el amparo.</w:t>
      </w:r>
    </w:p>
    <w:p w:rsidR="00CF03FA" w:rsidRDefault="00CF03FA" w:rsidP="00CF03FA">
      <w:pPr>
        <w:pStyle w:val="TextoNormal"/>
      </w:pPr>
      <w:r>
        <w:t>Ponderando los intereses en juego en los términos anteriormente expuestos, este Tribunal entiende que ha de prevalecer el interés general en mantener la eficacia de las resoluciones judiciales recurridas, a la vista de la gravedad de los hechos por los que el recurrente se encuentra cumpliendo condena y de las penas impuestas, cuyo límite de cumplimiento se ha situado en treinta años, así como de la lejanía del tiempo de cumplimiento definitivo de la misma en la apreciación llevada a cabo por las resoluciones impugnadas (en el año 2017), lo que determinaría que la pérdida de la finalidad del amparo, caso de otorgarse el mismo, que resulta innegable, sería sólo parcial y puede atemperarse otorgando al recurso una tramitación preferente.</w:t>
      </w:r>
    </w:p>
    <w:p w:rsidR="00CF03FA" w:rsidRDefault="00CF03FA" w:rsidP="00CF03FA">
      <w:pPr>
        <w:pStyle w:val="TextoNormal"/>
      </w:pPr>
      <w:r>
        <w:t>Por otra parte, la adopción por este Tribunal de una medida cautelar que pudiera determinar la puesta en libertad del recurrente supondría, al menos parcialmente, un otorgamiento anticipado del amparo que se solicita. Y, según consolidada jurisprudencia, este hecho hace inviable su adopción, so pena de desnaturalizar la medida cautelar y de anticipar una decisión sobre el fondo del recurso sin el procedimiento y las garantías legales previstas para ello (por todos, AATC 249/1996, de 16 de septiembre, FJ 3; 264/2005, de 20 de junio, FJ 2; 41/2007, de 12 de febrero, FJ 2; 287/2007, de 18 de junio, FJ 3, y 420/2007, de 5 de noviembre, FJ 3).</w:t>
      </w:r>
    </w:p>
    <w:p w:rsidR="00CF03FA" w:rsidRDefault="00CF03FA" w:rsidP="00CF03FA">
      <w:pPr>
        <w:pStyle w:val="TextoNormal"/>
      </w:pPr>
      <w:r>
        <w:t>Ello conduce a la denegación de la suspensión solicitada, sin perjuicio de que –como interesa el Ministerio Fiscal y en la línea de lo que constituye la práctica habitual en casos en que resulta directamente afectado el derecho a la libertad–, a la vista de los motivos de amparo y los derechos fundamentales en juego, este Tribunal proceda a la tramitación y resolución urgente del recurso (AATC 369/2005, de 24 de octubre, FJ 4; 214/2007, de 16 de abril, FJ 3; 287/2007, de 18 de junio, FJ 3, y 420/2007, de 5 de noviembre, FJ 3).</w:t>
      </w:r>
    </w:p>
    <w:p w:rsidR="00CF03FA" w:rsidRDefault="00CF03FA" w:rsidP="00CF03FA">
      <w:pPr>
        <w:pStyle w:val="TextoNormal"/>
      </w:pPr>
    </w:p>
    <w:p w:rsidR="00CF03FA" w:rsidRDefault="00CF03FA" w:rsidP="00CF03FA">
      <w:pPr>
        <w:pStyle w:val="TextoNormal"/>
      </w:pPr>
      <w:r>
        <w:t>En virtud de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w:t>
      </w:r>
    </w:p>
    <w:p w:rsidR="00CF03FA" w:rsidRDefault="00CF03FA" w:rsidP="00CF03FA">
      <w:pPr>
        <w:pStyle w:val="TextoNormal"/>
      </w:pPr>
    </w:p>
    <w:p w:rsidR="00CF03FA" w:rsidRDefault="00CF03FA" w:rsidP="00CF03FA">
      <w:pPr>
        <w:pStyle w:val="TextoNormal"/>
      </w:pPr>
      <w:r>
        <w:lastRenderedPageBreak/>
        <w:t>Madrid, a veintiuno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79" w:name="AUTO_2008_18"/>
      <w:r>
        <w:lastRenderedPageBreak/>
        <w:t>AUTO 18/2008, de 21 de enero de 2008</w:t>
      </w:r>
    </w:p>
    <w:bookmarkEnd w:id="79"/>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ECLI:ES:TC:2008:18A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Deniega la suspensión en el recurso de amparo 3783-2007, promovido por doña Ana María García Fuentes en litigio sobre despido.</w:t>
      </w:r>
    </w:p>
    <w:p w:rsidR="00CF03FA" w:rsidRDefault="00CF03FA" w:rsidP="00CF03FA">
      <w:pPr>
        <w:pStyle w:val="SntesisDescriptiva"/>
      </w:pPr>
    </w:p>
    <w:p w:rsidR="00CF03FA" w:rsidRDefault="00CF03FA" w:rsidP="00CF03FA">
      <w:pPr>
        <w:pStyle w:val="SntesisAnaltica"/>
      </w:pPr>
      <w:r>
        <w:t>Suspensión cautelar de sentencias sociales: pago de salarios adeudados,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presentado en el Registro de este Tribunal con fecha de 26 de abril de 2007, la Procuradora de los Tribunales doña Fuencisla Martínez Mínguez, en nombre y representación de doña Ana María García Fuentes, interpuso recurso de amparo contra el Auto del Juzgado de lo Social núm. 30 de Madrid, de 22 de marzo de 2007, que desestima el incidente de nulidad de actuaciones planteado contra la Sentencia del Juzgado de lo Social núm. 30 de Madrid, de 10 de enero de 2007, en autos sobre despido núm. 940-2006, por considerar que vulnera el derecho a la tutela judicial efectiva sin indefensión (art. 24.1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que han dado lugar a la demanda de amparo, sucintamente expuestos, son los siguientes: </w:t>
      </w:r>
    </w:p>
    <w:p w:rsidR="00CF03FA" w:rsidRDefault="00CF03FA" w:rsidP="00CF03FA">
      <w:pPr>
        <w:pStyle w:val="TextoNormal"/>
      </w:pPr>
      <w:r>
        <w:t xml:space="preserve">a) En el Juzgado de lo Social núm. 30 de Madrid se incoaron los autos núm. 940-2006 en virtud de demanda interpuesta por doña María Esther Caballero García contra doña Ana María García Fuentes en la que se solicitaba que se declarase la improcedencia de su despido. </w:t>
      </w:r>
    </w:p>
    <w:p w:rsidR="00CF03FA" w:rsidRDefault="00CF03FA" w:rsidP="00CF03FA">
      <w:pPr>
        <w:pStyle w:val="TextoNormal"/>
      </w:pPr>
      <w:r>
        <w:t xml:space="preserve">b) La demanda fue estimada por Sentencia de ese Juzgado, de 10 de enero de 2007. </w:t>
      </w:r>
    </w:p>
    <w:p w:rsidR="00CF03FA" w:rsidRDefault="00CF03FA" w:rsidP="00CF03FA">
      <w:pPr>
        <w:pStyle w:val="TextoNormal"/>
      </w:pPr>
      <w:r>
        <w:t xml:space="preserve">c) Con fecha de 27 de febrero de 2007, la parte demandada interpuso incidente de nulidad de actuaciones aduciendo el desconocimiento de la demanda incoada en su contra como consecuencia de no haber sido citada debidamente. </w:t>
      </w:r>
    </w:p>
    <w:p w:rsidR="00CF03FA" w:rsidRDefault="00CF03FA" w:rsidP="00CF03FA">
      <w:pPr>
        <w:pStyle w:val="TextoNormal"/>
      </w:pPr>
      <w:r>
        <w:t>d) Por medio de Auto de 22 de marzo de 2007, el Juzgado desestimó el incidente planteado, al considerar que se había procedido correctamente al efectuar el emplazamiento de la parte demandada por medio de edictos.</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La parte recurrente en amparo sostiene la vulneración del derecho a la tutela judicial efectiva sin indefensión (art. 24.1 CE) por no haber sido debidamente llamada al proceso, y haberse acudido al emplazamiento edictal de forma precipitada, sin antes intentar su citación personal. Señala al respecto la recurrente en amparo que es titular de la “Peluquería Iriaga”, sita en la c/Melilla, núm. 43, de Madrid, donde prestó sus servicios la parte actora, y que </w:t>
      </w:r>
      <w:r>
        <w:lastRenderedPageBreak/>
        <w:t>fue ese domicilio el indicado por esta última al interponer su demanda de despido. Sin embargo, por causa no imputable a ella, no se le ha llegado a realizar ninguna notificación hasta la fase de ejecución de sentencia, impidiéndole personarse en los autos y oponerse a la demanda incoada en su contra.</w:t>
      </w:r>
    </w:p>
    <w:p w:rsidR="00CF03FA" w:rsidRDefault="00CF03FA" w:rsidP="00CF03FA">
      <w:pPr>
        <w:pStyle w:val="TextoNormal"/>
      </w:pPr>
    </w:p>
    <w:p w:rsidR="00CF03FA" w:rsidRDefault="00CF03FA" w:rsidP="00CF03FA">
      <w:pPr>
        <w:pStyle w:val="TextoNormal"/>
      </w:pPr>
      <w:r w:rsidRPr="00CF03FA">
        <w:rPr>
          <w:rStyle w:val="NumeroAFNegritaCaracter"/>
        </w:rPr>
        <w:t>4</w:t>
      </w:r>
      <w:r>
        <w:t>. La Sala Primera de este Tribunal, por providencia de 12 de diciembre de 2007 quienes fueron parte en los autos núm. 940-2006, con excepción del recurrente en amparo, para que en el plazo de diez días pudiesen comparecer en el proceso constitucional, con traslado a dichos efectos de copia de la demanda presentada. Asimismo, y conforme se solicitaba por la recurrente en su demanda de amparo, se ordenó que se formase la correspondiente pieza separada de suspensión.</w:t>
      </w:r>
    </w:p>
    <w:p w:rsidR="00CF03FA" w:rsidRDefault="00CF03FA" w:rsidP="00CF03FA">
      <w:pPr>
        <w:pStyle w:val="TextoNormal"/>
      </w:pPr>
    </w:p>
    <w:p w:rsidR="00CF03FA" w:rsidRDefault="00CF03FA" w:rsidP="00CF03FA">
      <w:pPr>
        <w:pStyle w:val="TextoNormal"/>
      </w:pPr>
      <w:r w:rsidRPr="00CF03FA">
        <w:rPr>
          <w:rStyle w:val="NumeroAFNegritaCaracter"/>
        </w:rPr>
        <w:t>5</w:t>
      </w:r>
      <w:r>
        <w:t>. En la misma providencia de 12 de diciembre de 2007 la Sala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CF03FA" w:rsidRDefault="00CF03FA" w:rsidP="00CF03FA">
      <w:pPr>
        <w:pStyle w:val="TextoNormal"/>
      </w:pPr>
    </w:p>
    <w:p w:rsidR="00CF03FA" w:rsidRDefault="00CF03FA" w:rsidP="00CF03FA">
      <w:pPr>
        <w:pStyle w:val="TextoNormal"/>
      </w:pPr>
      <w:r w:rsidRPr="00CF03FA">
        <w:rPr>
          <w:rStyle w:val="NumeroAFNegritaCaracter"/>
        </w:rPr>
        <w:t>6</w:t>
      </w:r>
      <w:r>
        <w:t>. En cumplimiento del trámite conferido, la parte recurrente presentó con fecha de 20 de diciembre de 2007 su escrito de alegaciones interesando que se suspendiese la entrega de las cantidades consignadas en el Juzgado de lo Social en cumplimiento de la Sentencia, por entender que si se le entrega la cantidad a la contraparte y con posterioridad se estimase el recurso de amparo, difícilmente se podrían recuperar las mismas por probable insolvencia de la ejecutante, y que, tal circunstancia, dejaría sin sentido el amparo que se solicita con el recurso interpuesto. Así mismo, aduce que el aplazamiento de la entrega de la cantidad objeto de ejecución, no le causaría ningún perjuicio grave a la ejecutante, ni afectaría a los intereses generales negativamente, ni a los derechos fundamentales o libertades públicas de esa parte o de un tercero.</w:t>
      </w:r>
    </w:p>
    <w:p w:rsidR="00CF03FA" w:rsidRDefault="00CF03FA" w:rsidP="00CF03FA">
      <w:pPr>
        <w:pStyle w:val="TextoNormal"/>
      </w:pPr>
    </w:p>
    <w:p w:rsidR="00CF03FA" w:rsidRDefault="00CF03FA" w:rsidP="00CF03FA">
      <w:pPr>
        <w:pStyle w:val="TextoNormal"/>
      </w:pPr>
      <w:r w:rsidRPr="00CF03FA">
        <w:rPr>
          <w:rStyle w:val="NumeroAFNegritaCaracter"/>
        </w:rPr>
        <w:t>7</w:t>
      </w:r>
      <w:r>
        <w:t>. El Ministerio Fiscal evacuó el trámite de alegaciones por escrito de 28 de diciembre de 2007 interesando se declare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art. 56.1 LOTC. Aplicando tal doctrina entiende que no puede razonablemente sostenerse que la ejecución de la resolución impugnada pueda entrañar un perjuico irreparable, pues se trata, sin más, del abono por la empresaria de la cantidad correspondiente a los salarios debidos al trabajador según la sentencia dictada, siendo por tanto, el contenido de la resolución recurrida meramente de contenido patrimonial, no pudiendo afirmarse que la hipótesis futura de la falta de reintegro de lo percibido por la trabajadora deba producirse necesariamente, constituyendo tal afirmación una mera conjetura sin base real.</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Del tenor del art. 56.1 LOTC, en la redacción anterior a la establecida por la Ley Orgánica 6/2007, de 24 de mayo, resulta que la interposición de un recurso de amparo no </w:t>
      </w:r>
      <w:r>
        <w:lastRenderedPageBreak/>
        <w:t>suspende la ejecución del acto recurrido. Excepción a esta regla general es la de que dicha ejecución comporte la pérdida de la finalidad del amparo, sin que a su vez la suspensión produzca una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w:t>
      </w:r>
    </w:p>
    <w:p w:rsidR="00CF03FA" w:rsidRDefault="00CF03FA" w:rsidP="00CF03FA">
      <w:pPr>
        <w:pStyle w:val="TextoNormal"/>
      </w:pPr>
    </w:p>
    <w:p w:rsidR="00CF03FA" w:rsidRDefault="00CF03FA" w:rsidP="00CF03FA">
      <w:pPr>
        <w:pStyle w:val="TextoNormal"/>
      </w:pPr>
      <w:r w:rsidRPr="00CF03FA">
        <w:rPr>
          <w:rStyle w:val="NumeroAFNegritaCaracter"/>
        </w:rPr>
        <w:t>2</w:t>
      </w:r>
      <w:r>
        <w:t>. Este Tribunal ha reiterado que la ejecución de las Sentencias cuyos efectos son patrimoniales o de contenido económico, ni causan un perjuicio irreparable al obligado al pago ni la eventual estimación del amparo les haría perder su finalidad, toda vez que es legalmente posible en caso de estimación que se obtenga la devolución de lo pagado en ejecución de la Sentencia. De ahí que se haya insistido en que sólo en aquellos supuestos en los que con un principio de prueba la ejecución de lo acordado acarree perjuicios patrimoniales difícilmente reparables por su entidad, por la imposibilidad de repercutir su costo o por la irreversibilidad de las situaciones jurídicas que puedan producirse procede acceder a la suspensión (por todos, ATC 63/2007, de 26 de febrero, FJ 2). En atención a ello, y de conformidad con lo manifestado por el Fiscal, se ha de denegar la suspensión solicitada, toda vez que la condena es de exclusivo contenido patrimonial y no se ha ofrecido un principio razonable de la irreparabilidad de los perjuicios que le ocasionaría su ejecución.</w:t>
      </w:r>
    </w:p>
    <w:p w:rsidR="00CF03FA" w:rsidRDefault="00CF03FA" w:rsidP="00CF03FA">
      <w:pPr>
        <w:pStyle w:val="TextoNormal"/>
      </w:pPr>
    </w:p>
    <w:p w:rsidR="00CF03FA" w:rsidRDefault="00CF03FA" w:rsidP="00CF03FA">
      <w:pPr>
        <w:pStyle w:val="TextoNormal"/>
      </w:pPr>
      <w:r>
        <w:t>Por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w:t>
      </w:r>
    </w:p>
    <w:p w:rsidR="00CF03FA" w:rsidRDefault="00CF03FA" w:rsidP="00CF03FA">
      <w:pPr>
        <w:pStyle w:val="TextoNormal"/>
      </w:pPr>
    </w:p>
    <w:p w:rsidR="00CF03FA" w:rsidRDefault="00CF03FA" w:rsidP="00CF03FA">
      <w:pPr>
        <w:pStyle w:val="TextoNormal"/>
      </w:pPr>
      <w:r>
        <w:t>Madrid, a veintiuno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80" w:name="AUTO_2008_19"/>
      <w:r>
        <w:lastRenderedPageBreak/>
        <w:t>AUTO 19/2008, de 22 de enero de 2008</w:t>
      </w:r>
    </w:p>
    <w:bookmarkEnd w:id="80"/>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ECLI:ES:TC:2008:19A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Deniega la suspensión en el recurso de amparo 7325-2006, promovido por don Juan Francisco Gómez López en procedimiento de vigilancia penitenciaria sobre licenciamiento definitivo.</w:t>
      </w:r>
    </w:p>
    <w:p w:rsidR="00CF03FA" w:rsidRDefault="00CF03FA" w:rsidP="00CF03FA">
      <w:pPr>
        <w:pStyle w:val="SntesisDescriptiva"/>
      </w:pPr>
    </w:p>
    <w:p w:rsidR="00CF03FA" w:rsidRDefault="00CF03FA" w:rsidP="00CF03FA">
      <w:pPr>
        <w:pStyle w:val="SntesisAnaltica"/>
      </w:pPr>
      <w:r>
        <w:t>Suspensión cautelar de resoluciones penales: liquidación de condena,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registrado en este Tribunal el día 11 de julio de 2006 don José Javier Cuevas Rivas, Procurador de los Tribunales y de don Juan Francisco Gómez López, interpuso recurso de amparo contra Auto de la Sección Segunda de la Sala de lo Penal de la Audiencia Nacional, de 7 de junio de 2006, que desestima el recurso de súplica contra Auto de 4 de mayo de 2006 por el que se deniega el licenciamiento definitivo del recurrente propuesto por el Centro penitenciario de La Moraleja. </w:t>
      </w:r>
    </w:p>
    <w:p w:rsidR="00CF03FA" w:rsidRDefault="00CF03FA" w:rsidP="00CF03FA">
      <w:pPr>
        <w:pStyle w:val="TextoNormal"/>
      </w:pPr>
      <w:r>
        <w:t>Posteriormente, mediante escrito registrado el día 12 de diciembre de 2006, la representación procesal del recurrente solicitó la suspensión de la ejecución de la condena que venía cumpliendo.</w:t>
      </w:r>
    </w:p>
    <w:p w:rsidR="00CF03FA" w:rsidRDefault="00CF03FA" w:rsidP="00CF03FA">
      <w:pPr>
        <w:pStyle w:val="TextoNormal"/>
      </w:pPr>
    </w:p>
    <w:p w:rsidR="00CF03FA" w:rsidRDefault="00CF03FA" w:rsidP="00CF03FA">
      <w:pPr>
        <w:pStyle w:val="TextoNormal"/>
      </w:pPr>
      <w:r w:rsidRPr="00CF03FA">
        <w:rPr>
          <w:rStyle w:val="NumeroAFNegritaCaracter"/>
        </w:rPr>
        <w:t>2</w:t>
      </w:r>
      <w:r>
        <w:t>. Por providencia de 30 de octubre de 2007 la Sala Segunda de este Tribunal acordó la admisión a trámite de la demanda de amparo, y, mediante otra providencia de la misma fecha, acordó formar la correspondiente pieza separada de suspensión, concediendo, de conformidad con lo previsto en el art. 56 LOTC, un plazo común de tres días al Ministerio público y al recurrente en amparo para que alegaran lo que estimasen pertinente en relación con la petición de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3</w:t>
      </w:r>
      <w:r>
        <w:t>. Mediante escrito registrado en este Tribunal el día 19 de noviembre de 2007 realizó sus alegaciones el demandante de amparo, quien reitera la solicitud de suspensión de la ejecución de la pena manifestando que tal suspensión no implica el licenciamiento definitivo, lo cual podría generar una situación irreversible, y evitaría un perjuicio irreparable, pues de no accederse a ella el recurrente permanecería en prisión más allá del cumplimiento de la condena que le fue impuesta. A lo anterior añade que la suspensión no sería tal, puesto que ya ha cumplido la pena en su totalidad.</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4</w:t>
      </w:r>
      <w:r>
        <w:t xml:space="preserve">. El día 21 de noviembre de 2007 se registró en este Tribunal el escrito de alegaciones del Fiscal, que se opone a la suspensión solicitada, sin perjuicio de que, a la vista de los motivos de amparo y los derechos fundamentales en juego, este Tribunal proceda a la tramitación y resolución urgente del recurso para que, caso de otorgarse el amparo, el perjuicio para el recurrente fuera el menor posible. </w:t>
      </w:r>
    </w:p>
    <w:p w:rsidR="00CF03FA" w:rsidRDefault="00CF03FA" w:rsidP="00CF03FA">
      <w:pPr>
        <w:pStyle w:val="TextoNormal"/>
      </w:pPr>
      <w:r>
        <w:t>Recuerda el Ministerio público que el presente caso coincide esencialmente con los resueltos en los AATC 214/2007, 287/2007 y 366/2007. En todos ellos las resoluciones recurridas son las que deniegan el licenciamiento definitivo de los recurrentes en aplicación de la doctrina del Tribunal Supremo establecida en la STS 197/2006, de acuerdo con la cual el cumplimiento se produciría en el año 2018. Y, ponderando los intereses en juego, en este caso como en aquéllos ha de prevalecer el interés general en mantener la eficacia de las resoluciones judiciales. Entiende el Fiscal que acordar suspensión equivaldría a un otorgamiento anticipado del amparo, pues lo discutido es la determinación de la fecha en que procede el licenciamiento definitivo y la puesta en libertad del recurrente.</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Establece el art. 56.2 LOTC,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F03FA" w:rsidRDefault="00CF03FA" w:rsidP="00CF03FA">
      <w:pPr>
        <w:pStyle w:val="TextoNormal"/>
      </w:pPr>
      <w:r>
        <w:t>En aplicación del art. 56.1 LOTC, en gran parte similar en su redacción a la dada al art. 56.2 en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00CF03FA" w:rsidRDefault="00CF03FA" w:rsidP="00CF03FA">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2</w:t>
      </w:r>
      <w:r>
        <w:t>. Ciertamente este Tribunal ha afirmado que “la libertad constituye un derecho cuya naturaleza convierte el perjuicio irrogado en irreparable, en caso de estimarse el amparo una vez cumplida parcial o totalmente la pena” (AATC 155/2002, de 16 de septiembre, FJ 3; 9/2003, de 20 de enero, FJ 2).</w:t>
      </w:r>
    </w:p>
    <w:p w:rsidR="00CF03FA" w:rsidRDefault="00CF03FA" w:rsidP="00CF03FA">
      <w:pPr>
        <w:pStyle w:val="TextoNormal"/>
      </w:pPr>
      <w:r>
        <w:t>Ello 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369/2005, de 24 de octubre, FJ 2; 214/2007, de 16 de abril, FJ 2; 287/2007, de 18 de junio, FJ 2).</w:t>
      </w:r>
    </w:p>
    <w:p w:rsidR="00CF03FA" w:rsidRDefault="00CF03FA" w:rsidP="00CF03FA">
      <w:pPr>
        <w:pStyle w:val="TextoNormal"/>
      </w:pPr>
    </w:p>
    <w:p w:rsidR="00CF03FA" w:rsidRDefault="00CF03FA" w:rsidP="00CF03FA">
      <w:pPr>
        <w:pStyle w:val="TextoNormal"/>
      </w:pPr>
      <w:r w:rsidRPr="00CF03FA">
        <w:rPr>
          <w:rStyle w:val="NumeroAFNegritaCaracter"/>
        </w:rPr>
        <w:t>3</w:t>
      </w:r>
      <w:r>
        <w:t>. En el presente caso, que presenta perfiles diferenciadores frente a los incidentes de suspensión comúnmente resueltos, si bien resultan esencialmente coincidentes con los de los AATC 214/2007, de 16 de abril; 287/2007, de 18 de junio; 366//2007, de 11 de septiembre; 396/2007, de 22 de octubre y 420/2007, de 5 de noviembre, las resoluciones judiciales recurridas no son aquellas que impusieron las penas privativas de libertad, sino las que rechazan la propuesta de licenciamiento definitivo realizada por el centro penitenciario, ordenando la elaboración de una nueva hoja de cálculo conforme a la doctrina de la STS 197/2006, de 28 de febrero, lo que determina que la pena no se extinguiría hasta el 19 de septiembre de 2018. Por tanto lo que se cuestiona en el recurso de amparo es si el recurrente ha cumplido ya su condena el día 14 de junio de 2006 (como él sostiene, sobre la base de la propuesta de licenciamiento definitivo inicialmente realizada por el Centro penitenciario) y debe ser puesto en libertad o no la cumple hasta el año 2018 (como afirma la Audiencia Nacional), disparidad de fechas de cumplimiento vinculada al modo de computar las redenciones de pena por trabajo.</w:t>
      </w:r>
    </w:p>
    <w:p w:rsidR="00CF03FA" w:rsidRDefault="00CF03FA" w:rsidP="00CF03FA">
      <w:pPr>
        <w:pStyle w:val="TextoNormal"/>
      </w:pPr>
      <w:r>
        <w:t>Consecuentemente la suspensión que se solicita no se refiere exclusivamente a la ejecución de las resoluciones recurridas en amparo (limitadas a denegar el licenciamiento definitivo en los términos propuestos por la Administración penitenciaria), sino que pretende la suspensión de la ejecución de la pena privativa de libertad que se encuentra cumpliendo el recurrente y su inmediata puesta en libertad, por entender que, de lo contrario, se ocasionaría un perjuicio irreparable para la libertad caso de otorgarse finalmente el amparo.</w:t>
      </w:r>
    </w:p>
    <w:p w:rsidR="00CF03FA" w:rsidRDefault="00CF03FA" w:rsidP="00CF03FA">
      <w:pPr>
        <w:pStyle w:val="TextoNormal"/>
      </w:pPr>
      <w:r>
        <w:t xml:space="preserve">Ponderando los intereses en juego en los términos anteriormente expuestos este Tribunal entiende que ha de prevalecer el interés general en mantener la eficacia de las resoluciones judiciales recurridas, a la vista de la gravedad de las penas impuestas, cuyo límite de cumplimiento se ha situado en treinta años, así como de la lejanía del tiempo de cumplimiento definitivo en la apreciación llevada a cabo por las resoluciones impugnadas (en el año 2018), </w:t>
      </w:r>
      <w:r>
        <w:lastRenderedPageBreak/>
        <w:t>lo que determinaría que la pérdida de la finalidad del amparo, caso de otorgarse el mismo, que resulta innegable, sería sólo parcial y puede atemperarse otorgando al recurso una tramitación preferente.</w:t>
      </w:r>
    </w:p>
    <w:p w:rsidR="00CF03FA" w:rsidRDefault="00CF03FA" w:rsidP="00CF03FA">
      <w:pPr>
        <w:pStyle w:val="TextoNormal"/>
      </w:pPr>
      <w:r>
        <w:t>Por otra parte la adopción por este Tribunal de un acuerdo que determinase la puesta en libertad del recurrente supondría, al menos parcialmente, un otorgamiento anticipado del amparo que se solicita sin haberse seguido el procedimiento y tomado en consideración las garantías legales previstas para ello (por todos, AATC 249/1996, de 16 de septiembre, FJ 3; 264/2005, de 20 de junio, FJ 2; 41/2007, de 12 de febrero, FJ 2; 287/2007, de 18 de junio, FJ 3; 420/2007, de 5 de noviembre, FJ 3).</w:t>
      </w:r>
    </w:p>
    <w:p w:rsidR="00CF03FA" w:rsidRDefault="00CF03FA" w:rsidP="00CF03FA">
      <w:pPr>
        <w:pStyle w:val="TextoNormal"/>
      </w:pPr>
      <w:r>
        <w:t>Lo hasta aquí considerado conduce a la denegación de la suspensión solicitada, sin perjuicio de que —como interesa el Ministerio Fiscal y en la línea de lo que constituye la práctica habitual en casos en que resulta directamente afectado el derecho a la libertad—, a la vista de los motivos de amparo y los derechos fundamentales en juego este Tribunal proceda a la tramitación y resolución urgente del recurso (AATC 369/2005, de 24 de octubre, FJ 4; 214/2007, de 16 de abril, FJ 3; 287/2007, de 18 de junio, FJ 3; 366/2007, de 11 de septiembre, FJ 3; 420/2007, de 5 de noviembre, FJ 3).</w:t>
      </w:r>
    </w:p>
    <w:p w:rsidR="00CF03FA" w:rsidRDefault="00CF03FA" w:rsidP="00CF03FA">
      <w:pPr>
        <w:pStyle w:val="TextoNormal"/>
      </w:pPr>
    </w:p>
    <w:p w:rsidR="00CF03FA" w:rsidRDefault="00CF03FA" w:rsidP="00CF03FA">
      <w:pPr>
        <w:pStyle w:val="TextoNormal"/>
      </w:pPr>
      <w:r>
        <w:t>En virtud de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w:t>
      </w:r>
    </w:p>
    <w:p w:rsidR="00CF03FA" w:rsidRDefault="00CF03FA" w:rsidP="00CF03FA">
      <w:pPr>
        <w:pStyle w:val="TextoNormal"/>
      </w:pPr>
    </w:p>
    <w:p w:rsidR="00CF03FA" w:rsidRDefault="00CF03FA" w:rsidP="00CF03FA">
      <w:pPr>
        <w:pStyle w:val="TextoNormal"/>
      </w:pPr>
      <w:r>
        <w:t>Madrid, a veintidós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81" w:name="AUTO_2008_20"/>
      <w:r>
        <w:lastRenderedPageBreak/>
        <w:t>AUTO 20/2008, de 22 de enero de 2008</w:t>
      </w:r>
    </w:p>
    <w:bookmarkEnd w:id="81"/>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ECLI:ES:TC:2008:20A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Jorge Rodríguez-Zapata Pérez, don Ramón Rodríguez Arribas, don Pascual Sala Sánchez y don Manuel Aragón Reyes.</w:t>
      </w:r>
    </w:p>
    <w:p w:rsidR="00CF03FA" w:rsidRDefault="00CF03FA" w:rsidP="00CF03FA">
      <w:pPr>
        <w:pStyle w:val="SntesisDescriptiva"/>
      </w:pPr>
    </w:p>
    <w:p w:rsidR="00CF03FA" w:rsidRDefault="00CF03FA" w:rsidP="00CF03FA">
      <w:pPr>
        <w:pStyle w:val="SntesisDescriptiva"/>
      </w:pPr>
      <w:r>
        <w:t>Deniega una abstención en la cuestión de inconstitucionalidad 8638-2006, planteada por el Tribunal Superior de Justicia de Cataluña en relación con el artículo 3.4 del Real Decreto-ley 16/1977, de 25 de febrero, por el que se regulan los aspectos penales, administrativos y fiscales de los juegos de suerte, envite o azar y apuestas. Votos particulares.</w:t>
      </w:r>
    </w:p>
    <w:p w:rsidR="00CF03FA" w:rsidRDefault="00CF03FA" w:rsidP="00CF03FA">
      <w:pPr>
        <w:pStyle w:val="SntesisDescriptiva"/>
      </w:pPr>
    </w:p>
    <w:p w:rsidR="00CF03FA" w:rsidRDefault="00CF03FA" w:rsidP="00CF03FA">
      <w:pPr>
        <w:pStyle w:val="SntesisAnaltica"/>
      </w:pPr>
      <w:r>
        <w:t>Abstención de magistrados del Tribunal Constitucional, deniega. Votos particulares: formulados tres.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Registrada con el núm. 8638-2006, se sigue ante este Tribunal Constitucional la presente cuestión de inconstitucionalidad, suscitada en relación con el apartado a) del número dos del art. 3.4 del Real Decreto-ley 16/1977, de 25 de febrero, en la redacción dada por los arts. 38.2.1 de la Ley 5/1990, de 29 de junio, 67.2 de la Ley 12/1996, de 30 de diciembre, y 73.5 de la Ley 65/1997, de 30 de diciembre, por posible vulneración de los arts. 1.1, 9.3, 14, 31.1, 33, 38, 40.1 y 130.1 de la Constitución. La cuestión ha sido planteada por la Sección Primera de la Sala de lo Contencioso-Administrativo del Tribunal Superior de Justicia de Cataluña, mediante Auto de 19 de julio de 2006, recaído en los recursos acumulados núms. 1138-2001, 1148-2001 y 1149-2001.</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escrito fechado el 12 de diciembre de 2007 el Magistrado don Eugeni Gay Montalvo comunicó al Pleno a los efectos oportunos que, de conformidad con lo previsto en el art. 80 de la Ley Orgánica del Tribunal Constitucional, y en relación con las causas 6ª, 13ª y 16ª del art. 219 de la Ley Orgánica del Poder Judicial (LOPJ), se abstenía de intervenir en la presente cuestión de inconstitucionalidad, toda vez que en su día fue “abogado, asesor y letrado de diversas empresas que desarrollaban su actividad en las máquinas de juego automáticas denominadas de tipo “B”, en asuntos idénticos y similares al aquí planteado”.</w:t>
      </w:r>
    </w:p>
    <w:p w:rsidR="00CF03FA" w:rsidRDefault="00CF03FA" w:rsidP="00CF03FA">
      <w:pPr>
        <w:pStyle w:val="TextoNormal"/>
      </w:pPr>
    </w:p>
    <w:p w:rsidR="00CF03FA" w:rsidRDefault="00CF03FA" w:rsidP="00CF03FA">
      <w:pPr>
        <w:pStyle w:val="TextoNormalNegritaCentrado"/>
        <w:keepNext/>
      </w:pPr>
      <w:r>
        <w:lastRenderedPageBreak/>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Como ya señaláramos en nuestro ATC 456/2006, de 14 de diciembre, FJ 1, aunque este Tribunal mantiene estrictamente el principio de imparcialidad al que le obligan la Constitución y el art. 22 de su Ley Orgánica, y desearía atender los escrúpulos de sus miembros, debe atenerse a razones objetivas al apreciar las causas de abstención y recusación. No debe olvidarse que el deber de imparcialidad de los Magistrados nunca debe ir en detrimento del derecho fundamental al juez ordinario predeterminado por la ley (art. 24.2 CE) ni perjudicar el ejercicio de la jurisdicción constitucional. No cabe olvidar tampoco, como hemos señalado en el ATC 383/2006, de 2 de noviembre, FJ 3, que, “en la medida en que las causas de abstención o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 Por ello, la ley, que define las causas tasadas de abstención o recusación procurando un equilibrio entre estos distintos intereses constitucionales, no permite al Tribunal Constitucional que estime justificada la abstención en este caso, toda vez que la circunstancia alegada por el Magistrado don Eugeni Gay Montalvo no puede encontrar acomodo en ninguna de las causas contempladas en el art. 219 de la Ley Orgánica del Poder Judicial (LOPJ).</w:t>
      </w:r>
    </w:p>
    <w:p w:rsidR="00CF03FA" w:rsidRDefault="00CF03FA" w:rsidP="00CF03FA">
      <w:pPr>
        <w:pStyle w:val="TextoNormal"/>
      </w:pPr>
    </w:p>
    <w:p w:rsidR="00CF03FA" w:rsidRDefault="00CF03FA" w:rsidP="00CF03FA">
      <w:pPr>
        <w:pStyle w:val="TextoNormal"/>
      </w:pPr>
      <w:r w:rsidRPr="00CF03FA">
        <w:rPr>
          <w:rStyle w:val="NumeroAFNegritaCaracter"/>
        </w:rPr>
        <w:t>2</w:t>
      </w:r>
      <w:r>
        <w:t>. En efecto, el hecho de que el Magistrado don Eugeni Gay Montalvo haya asumido en el pasado el asesoramiento y la defensa de los intereses de diversas empresas que desarrollaban su actividad en las máquinas de juego automáticas denominadas de tipo “B”, “en asuntos idénticos y similares al aquí planteado”, no puede traducirse en su inidoneidad para enjuiciar la cuestión debatida en este proceso constitucional, derivado de un procedimiento judicial en el que el Magistrado don Eugeni Gay Montalvo no ha intervenido como Letrado antes de acceder al cargo de Magistrado del Tribunal Constitucional. No concurre pues, en este caso, la causa 6ª del citado art. 219 LOPJ, pues no ha sido el Magistrado “defensor o representante de alguna de las partes” ni ha “emitido dictamen sobre el pleito o causa como letrado”. Tampoco resulta de aplicación la causa 13ª del mismo precepto legal, pues el Magistrado no ha participado directa o indirectamente en el asunto objeto del pleito relacionado con la presente cuestión de inconstitucionalidad. De igual modo ha de excluirse que resulte aplicable la causa 16ª, pues la circunstancia invocada por el Magistrado don Eugeni Gay Montalvo no supone que haya ocupado “cargo público o administrativo con ocasión del cual haya podido tener conocimiento del litigio y formar criterio en detrimento de la debida imparcialidad”.</w:t>
      </w:r>
    </w:p>
    <w:p w:rsidR="00CF03FA" w:rsidRDefault="00CF03FA" w:rsidP="00CF03FA">
      <w:pPr>
        <w:pStyle w:val="TextoNormal"/>
      </w:pPr>
      <w:r>
        <w:t>Por otro lado, de admitirse que pudiera ser causa de abstención y recusación una relación como aquélla a la que hace referencia el escrito de abstención, la consecuencia, como hemos señalado en ATC 380/2006, de 24 de octubre, FJ único, sería hacer imposible el acceso a la magistratura constitucional de juristas que hayan acreditado como Abogados la reconocida competencia profesional exigida por el art. 159.2 CE, pues será, por principio, muy difícil que dicha competencia no se haya aquilatado con su implicación profesional en los más diversos sectores del ordenamiento, para cuya defensa desde este Tribunal quedarían inhabilitados de admitirse que precisamente esa experiencia profesional se traduce en un prejuicio excluyente de toda imparcialidad.</w:t>
      </w:r>
    </w:p>
    <w:p w:rsidR="00CF03FA" w:rsidRDefault="00CF03FA" w:rsidP="00CF03FA">
      <w:pPr>
        <w:pStyle w:val="TextoNormal"/>
      </w:pPr>
      <w:r>
        <w:lastRenderedPageBreak/>
        <w:t>No existe, en suma, riesgo para la imparcialidad del Magistrado don Eugeni Gay Montalvo por su intervención en la presente cuestión de inconstitucionalidad. Por el contrario, “existe un interés constitucional prevalente en mantener, salvo que resulte imposible, la composición del Pleno de este Tribunal en los términos establecidos directa y categóricamente por la propia Constitución, en su art. 159” (AATC 456/2006, de 14 de diciembre, FJ 2, y 289/2007, de 19 de junio, FJ 2).</w:t>
      </w:r>
    </w:p>
    <w:p w:rsidR="00CF03FA" w:rsidRDefault="00CF03FA" w:rsidP="00CF03FA">
      <w:pPr>
        <w:pStyle w:val="TextoNormal"/>
      </w:pPr>
    </w:p>
    <w:p w:rsidR="00CF03FA" w:rsidRDefault="00CF03FA" w:rsidP="00CF03FA">
      <w:pPr>
        <w:pStyle w:val="TextoNormal"/>
      </w:pPr>
      <w:r>
        <w:t>En consecuencia,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No estimar justificada la abstención del Magistrado don Eugeni Gay Montalvo en la cuestión de inconstitucionalidad núm. 8638-2006.</w:t>
      </w:r>
    </w:p>
    <w:p w:rsidR="00CF03FA" w:rsidRDefault="00CF03FA" w:rsidP="00CF03FA">
      <w:pPr>
        <w:pStyle w:val="TextoNormal"/>
      </w:pPr>
    </w:p>
    <w:p w:rsidR="00CF03FA" w:rsidRDefault="00CF03FA" w:rsidP="00CF03FA">
      <w:pPr>
        <w:pStyle w:val="TextoNormal"/>
      </w:pPr>
      <w:r>
        <w:t>Madrid, a veintidós de enero de dos mil ocho.</w:t>
      </w:r>
    </w:p>
    <w:p w:rsidR="00CF03FA" w:rsidRDefault="00CF03FA" w:rsidP="00CF03FA">
      <w:pPr>
        <w:pStyle w:val="ParrafoNormal"/>
      </w:pPr>
    </w:p>
    <w:p w:rsidR="00CF03FA" w:rsidRDefault="00CF03FA" w:rsidP="00CF03FA">
      <w:pPr>
        <w:pStyle w:val="TextoNormalNegritaCentrado"/>
        <w:keepNext/>
      </w:pPr>
      <w:r>
        <w:t>Voto particular que formula el Magistrado don Javier Delgado Barrio respecto del Auto de 22 de enero de 2008 dictado en la cuestión de inconstitucionalidad núm. 8638-2006.</w:t>
      </w:r>
    </w:p>
    <w:p w:rsidR="00CF03FA" w:rsidRDefault="00CF03FA" w:rsidP="00CF03FA">
      <w:pPr>
        <w:pStyle w:val="TextoNormalNegritaCentrado"/>
        <w:keepNext/>
      </w:pPr>
    </w:p>
    <w:p w:rsidR="00CF03FA" w:rsidRDefault="00CF03FA" w:rsidP="00CF03FA">
      <w:pPr>
        <w:pStyle w:val="TextoNormal"/>
      </w:pPr>
      <w:r>
        <w:t>Con el respeto que siempre me merece la opinión de mis compañeros, creo procedente formular este Voto particular para manifestar mi discrepancia del acuerdo de la mayoría.</w:t>
      </w:r>
    </w:p>
    <w:p w:rsidR="00CF03FA" w:rsidRDefault="00CF03FA" w:rsidP="00CF03FA">
      <w:pPr>
        <w:pStyle w:val="TextoNormal"/>
      </w:pPr>
      <w:r>
        <w:t>El art. 219.13 LOPJ, en relación con el art. 80 LOTC, establece como causa de abstención “haber ... ejercido profesión” con ocasión de la cual “haya participado directa o indirectamente en el asunto objeto del pleito o causa o en otro relacionado con el mismo”. Creo que dentro del concepto legal de asunto “relacionado” con el “objeto del pleito” hay que incluir aquellos casos en los que el Abogado ha ejercido su profesión en asuntos idénticos, aunque sea con diferentes partes, al que es objeto del proceso, pues ello implica, evidentemente, una participación indirecta en éste.</w:t>
      </w:r>
    </w:p>
    <w:p w:rsidR="00CF03FA" w:rsidRDefault="00CF03FA" w:rsidP="00CF03FA">
      <w:pPr>
        <w:pStyle w:val="TextoNormal"/>
      </w:pPr>
      <w:r>
        <w:t>Es así que el Magistrado que se abstiene había ejercido su profesión de Abogado en asuntos idénticos al que aquí se debate,</w:t>
      </w:r>
    </w:p>
    <w:p w:rsidR="00CF03FA" w:rsidRDefault="00CF03FA" w:rsidP="00CF03FA">
      <w:pPr>
        <w:pStyle w:val="TextoNormal"/>
      </w:pPr>
      <w:r>
        <w:t>Ergo hubiera debido estimarse justificada la abstención que rechaza el Auto del que discrepo.</w:t>
      </w:r>
    </w:p>
    <w:p w:rsidR="00CF03FA" w:rsidRDefault="00CF03FA" w:rsidP="00CF03FA">
      <w:pPr>
        <w:pStyle w:val="TextoNormal"/>
      </w:pPr>
      <w:r>
        <w:t>Y este es mi parecer, del que dejo constancia con el máximo respeto a mis compañeros.</w:t>
      </w:r>
    </w:p>
    <w:p w:rsidR="00CF03FA" w:rsidRDefault="00CF03FA" w:rsidP="00CF03FA">
      <w:pPr>
        <w:pStyle w:val="TextoNormal"/>
      </w:pPr>
      <w:r>
        <w:t>Madrid, a veintidós de enero de dos mil ocho.</w:t>
      </w:r>
    </w:p>
    <w:p w:rsidR="00CF03FA" w:rsidRDefault="00CF03FA" w:rsidP="00CF03FA">
      <w:pPr>
        <w:pStyle w:val="TextoNormal"/>
      </w:pPr>
    </w:p>
    <w:p w:rsidR="00CF03FA" w:rsidRDefault="00CF03FA" w:rsidP="00CF03FA">
      <w:pPr>
        <w:pStyle w:val="TextoNormalNegritaCentrado"/>
        <w:keepNext/>
      </w:pPr>
      <w:r>
        <w:t>Voto particular que formula el Magistrado don Ramón Rodríguez Arribas, en el Auto dictado en la cuestión de inconstitucionalidad núm.8638-2006, sobre la abstención formulada por el Excmo. Sr. Magistrado don Eugeni Gay Montalvo.</w:t>
      </w:r>
    </w:p>
    <w:p w:rsidR="00CF03FA" w:rsidRDefault="00CF03FA" w:rsidP="00CF03FA">
      <w:pPr>
        <w:pStyle w:val="TextoNormalNegritaCentrado"/>
        <w:keepNext/>
      </w:pPr>
    </w:p>
    <w:p w:rsidR="00CF03FA" w:rsidRDefault="00CF03FA" w:rsidP="00CF03FA">
      <w:pPr>
        <w:pStyle w:val="TextoNormal"/>
      </w:pPr>
      <w:r>
        <w:t>Haciendo uso de la facultad atribuida a los Magistrados del Tribunal Constitucional por el apartado 2 del art. 90 LOTC expreso en este Voto particular y con pleno respeto a la opinión de la mayoría, mi discrepancia, que fundo en la siguiente consideración:</w:t>
      </w:r>
    </w:p>
    <w:p w:rsidR="00CF03FA" w:rsidRDefault="00CF03FA" w:rsidP="00CF03FA">
      <w:pPr>
        <w:pStyle w:val="TextoNormal"/>
      </w:pPr>
      <w:r>
        <w:lastRenderedPageBreak/>
        <w:t>Única: Nuestro compañero Excmo. Sr. don Eugeni Gay Montalvo, formuló su abstención manifestando que había sido “abogado, asesor y letrado de diversas empresas que desarrollaban su actividad en las máquinas de juego automáticas denominadas del tipo B, en asuntos indénticos y similares al aquí planteado” invocando, entre otras, la causa 13ª del art. 219 LOPJ, aplicable por la remisión del art. 80 LOTC, que considera incurso en abstención o recusación al Juez que ejerciendo una profesión “haya participado directa o indirectamente en el asunto objeto del pleito o causa o en otro relacionado con el mismo”, resultando evidente para mí, con reiteración del respeto que me merece la opinión contraria, que quien ha ejercido profesionalmente las funciones de “abogado, asesor y letrado” de empresas que se dedicaban a la explotación de máquinas de juego automáticas del tipo B, en relación con los problemas de su tributación en la tasa de juego, ha incurrido, no en un solo concepto si no en tres, en la causa de abstención descrita e invocada y por lo tanto debió declararse la procedencia de la misma.</w:t>
      </w:r>
    </w:p>
    <w:p w:rsidR="00CF03FA" w:rsidRDefault="00CF03FA" w:rsidP="00CF03FA">
      <w:pPr>
        <w:pStyle w:val="TextoNormal"/>
      </w:pPr>
      <w:r>
        <w:t>Madrid, a veintidós de enero de dos mil ocho.</w:t>
      </w:r>
    </w:p>
    <w:p w:rsidR="00CF03FA" w:rsidRDefault="00CF03FA" w:rsidP="00CF03FA">
      <w:pPr>
        <w:pStyle w:val="TextoNormal"/>
      </w:pPr>
    </w:p>
    <w:p w:rsidR="00CF03FA" w:rsidRDefault="00CF03FA" w:rsidP="00CF03FA">
      <w:pPr>
        <w:pStyle w:val="TextoNormalNegritaCentrado"/>
        <w:keepNext/>
      </w:pPr>
      <w:r>
        <w:t>Voto particular que formula el Magistrado don Jorge Rodríguez-Zapata Pérez al Auto del Pleno de 23 de enero de 2008, dictado en la cuestión de inconstitucionalidad núm. 8638-2006.</w:t>
      </w:r>
    </w:p>
    <w:p w:rsidR="00CF03FA" w:rsidRDefault="00CF03FA" w:rsidP="00CF03FA">
      <w:pPr>
        <w:pStyle w:val="TextoNormalNegritaCentrado"/>
        <w:keepNext/>
      </w:pPr>
    </w:p>
    <w:p w:rsidR="00CF03FA" w:rsidRDefault="00CF03FA" w:rsidP="00CF03FA">
      <w:pPr>
        <w:pStyle w:val="TextoNormal"/>
      </w:pPr>
      <w:r>
        <w:t>1. Considero que el Auto aprobado, que acuerda no estimar justificada la abstención del Excmo. Sr. Magistrado don Eugenio Gay Montalvo, no pondera adecuadamente las singulares circunstancias que concurren en el presente caso, que, a mi juicio, debieron llevar a estimar como justificada su abstención.</w:t>
      </w:r>
    </w:p>
    <w:p w:rsidR="00CF03FA" w:rsidRDefault="00CF03FA" w:rsidP="00CF03FA">
      <w:pPr>
        <w:pStyle w:val="TextoNormal"/>
      </w:pPr>
      <w:r>
        <w:t>El Magistrado don Eugenio Gay Montalvo manifiesta en su escrito que ha sido “abogado, asesor y letrado de diversas empresas que desarrollaban su actividad en las máquinas de juego automáticas denominadas de tipo B, en asuntos idénticos y similares al aquí planteado”.</w:t>
      </w:r>
    </w:p>
    <w:p w:rsidR="00CF03FA" w:rsidRDefault="00CF03FA" w:rsidP="00CF03FA">
      <w:pPr>
        <w:pStyle w:val="TextoNormal"/>
      </w:pPr>
      <w:r>
        <w:t>Como es sabido, la actividad del juego desarrollada a través de máquinas recreativas del tipo B está sometida a una específica normativa tributaria en cuya interpretación se han producido reiteradas discrepancias entre la Administración tributaria y las sociedades mercantiles dedicadas a esa actividad. Si tenemos en cuenta el limitado número de empresas o sociedades explotadoras de esa modalidad del juego y, al tiempo, la considerable importancia económica de tal actividad, se comprenderá en seguida que quien manifiesta haber sido “abogado, asesor y letrado” de diversas empresas que la desarrollan y que como tal ha defendido sus intereses “en asuntos idénticos y similares al aquí planteado”, debe abstenerse de juzgar sobre la cuestión.</w:t>
      </w:r>
    </w:p>
    <w:p w:rsidR="00CF03FA" w:rsidRDefault="00CF03FA" w:rsidP="00CF03FA">
      <w:pPr>
        <w:pStyle w:val="TextoNormal"/>
      </w:pPr>
      <w:r>
        <w:t>2. Añadidamente diré que no creo que deba minusvalorarse el criterio del propio Magistrado que reflexivamente adopta su decisión de abstenerse en el conocimiento de un asunto, por considerar, él mismo, que pueda estar comprometida su imparcialidad o que pueda resultar menoscabada la necesaria apariencia de imparcialidad; la suya propia y, por ello, la del Tribunal mismo.</w:t>
      </w:r>
    </w:p>
    <w:p w:rsidR="00CF03FA" w:rsidRDefault="00CF03FA" w:rsidP="00CF03FA">
      <w:pPr>
        <w:pStyle w:val="TextoNormal"/>
      </w:pPr>
      <w:r>
        <w:t>Recientemente —ATC 387/2007, de 16 de octubre— hemos estimado como justificadas las abstenciones de la Presidenta y del Vicepresidente del Tribunal en el recurso de inconstitucionalidad núm. 6729-2007, y hemos dicho que aunque los motivos legales de abstención y recusación son los mismos, hay “una diferencia relevante entre ellas, cual es que mientras en la abstención la iniciativa es del propio Magistrado, en la recusación corres</w:t>
      </w:r>
      <w:r>
        <w:lastRenderedPageBreak/>
        <w:t>ponde a una de las partes procesales” y que “en el caso de la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podrá quizás suceder con la recusación”. Por ello, añadimos entonces,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Y hemos reconocido “la sensibilidad demostrada por los Magistrados abstenidos respecto a la importancia que tiene siempre la apariencia de imparcialidad” recordando “la especial trascendencia que a la misma atribuyen, tanto nuestra jurisprudencia, como la del Tribunal Europeo de Derechos Humanos porque lo que está en juego es la confianza que los Tribunales deben inspirar a los ciudadanos en una sociedad democrática”.</w:t>
      </w:r>
    </w:p>
    <w:p w:rsidR="00CF03FA" w:rsidRDefault="00CF03FA" w:rsidP="00CF03FA">
      <w:pPr>
        <w:pStyle w:val="TextoNormal"/>
      </w:pPr>
      <w:r>
        <w:t>En efecto, nuestro legislador ha optado por un modelo de Juez constitucional rodeado de la apariencia de imparcialidad, no sólo en la realidad de su desconexión con las partes y con el objeto del proceso, sino también en su imagen, eliminando cualquier sombra al respecto cuando existan elementos objetivos que puedan justificar una apariencia de parcialidad. El Juez imparcial no es sólo un derecho fundamental de las partes de un litigio, es también una garantía institucional de un Estado de Derecho establecida en beneficio de todos los ciudadanos y de la imagen de la Justicia, como pilar de la democracia (ATC 26/2007, de 5 de febrero).</w:t>
      </w:r>
    </w:p>
    <w:p w:rsidR="00CF03FA" w:rsidRDefault="00CF03FA" w:rsidP="00CF03FA">
      <w:pPr>
        <w:pStyle w:val="TextoNormal"/>
      </w:pPr>
      <w:r>
        <w:t>El valor de la imparcialidad o de la imagen que de su imparcialidad proyecta el Tribunal hacia la sociedad, no es cuestión menor. Me parece claro que en un eventual conflicto entre la composición del Tribunal y el respeto a la garantía de su imparcialidad, debe prevalecer esta última, no ya porque así deba ser en cualquier Estado de Derecho, sino porque así lo ha querido expresamente el legislador. La participación de todos los miembros que integran este Tribunal en los procesos constitucionales no es un objetivo que deba excluir la apreciación de una causa de abstención, como lo evidencia la previsión misma de la posibilidad de constitución del Pleno, de las Salas y de las Secciones de este Tribunal sin la totalidad de sus componentes, sino con el quórum de presencia que resulta del art. 14 LOTC. Y el mandato del art. 22 LOTC de que los Magistrados ejerzan su función de acuerdo con el principio de imparcialidad, no contiene salvedad respecto de los procesos objetivos de control de constitucionalidad ni de ninguno de los procesos de que conoce este Tribunal (ATC 226/2002, de 20 de noviembre, FJ 3).</w:t>
      </w:r>
    </w:p>
    <w:p w:rsidR="00CF03FA" w:rsidRDefault="00CF03FA" w:rsidP="00CF03FA">
      <w:pPr>
        <w:pStyle w:val="TextoNormal"/>
      </w:pPr>
      <w:r>
        <w:t>Madrid, a veintitrés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82" w:name="AUTO_2008_21"/>
      <w:r>
        <w:lastRenderedPageBreak/>
        <w:t>AUTO 21/2008, de 22 de enero de 2008</w:t>
      </w:r>
    </w:p>
    <w:bookmarkEnd w:id="82"/>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ECLI:ES:TC:2008:21A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Jorge Rodríguez-Zapata Pérez, don Ramón Rodríguez Arribas, don Pascual Sala Sánchez y don Manuel Aragón Reyes.</w:t>
      </w:r>
    </w:p>
    <w:p w:rsidR="00CF03FA" w:rsidRDefault="00CF03FA" w:rsidP="00CF03FA">
      <w:pPr>
        <w:pStyle w:val="SntesisDescriptiva"/>
      </w:pPr>
    </w:p>
    <w:p w:rsidR="00CF03FA" w:rsidRDefault="00CF03FA" w:rsidP="00CF03FA">
      <w:pPr>
        <w:pStyle w:val="SntesisDescriptiva"/>
      </w:pPr>
      <w:r>
        <w:t>Deniega una abstención en la cuestión de inconstitucionalidad 9545-2006, planteada por el Tribunal Superior de Justicia de Cataluña en relación con el artículo 3.4 del Real Decreto-ley 16/1997, de 25 de febrero, por el que se regulan los aspectos penales, administrativos y fiscales de los juegos de suerte, envite o azar y apuestas.</w:t>
      </w:r>
    </w:p>
    <w:p w:rsidR="00CF03FA" w:rsidRDefault="00CF03FA" w:rsidP="00CF03FA">
      <w:pPr>
        <w:pStyle w:val="SntesisDescriptiva"/>
      </w:pPr>
    </w:p>
    <w:p w:rsidR="00CF03FA" w:rsidRDefault="00CF03FA" w:rsidP="00CF03FA">
      <w:pPr>
        <w:pStyle w:val="SntesisAnaltica"/>
      </w:pPr>
      <w:r>
        <w:t>Cuestión de inconstitucionalidad: ATC 20/2008. Votos particulares.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Registrada con el núm. 9545-2006, se sigue ante este Tribunal Constitucional la presente cuestión de inconstitucionalidad, suscitada en relación con el apartado a) del número dos del art. 3º.4 del Real Decreto-ley 16/1977, de 25 de febrero, en la redacción dada por los arts. 38.2.1 de la Ley 5/1990, de 29 de junio, 67.2 de la Ley 12/1996, de 30 de diciembre, y 73.5 de la Ley 65/1997, de 30 de diciembre, por posible vulneración de los arts. 1.1, 9.3, 14, 31.1, 33, 38, 40.1 y 130.1 de la Constitución. La cuestión ha sido planteada por la Sección Primera de la Sala de lo Contencioso-Administrativo del Tribunal Superior de Justicia de Cataluña, mediante Auto de 31 de julio de 2006, recaído en el recurso núm. 1221-2002.</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escrito fechado el 12 de diciembre de 2007 el Magistrado don Eugeni Gay Montalvo, comunicó al Pleno a los efectos oportunos que, de conformidad con lo previsto en el art. 80 de la Ley Orgánica del Tribunal Constitucional, y en relación con las causas 6ª, 13ª y 16ª del art. 219 de la Ley Orgánica del Poder Judicial (LOPJ), se abstenía de intervenir en la presente cuestión de inconstitucionalidad, toda vez que en su día fue “abogado, asesor y letrado de diversas empresas que desarrollaban su actividad en las máquinas de juego automáticas denominadas de tipo “B”, en asuntos idénticos y similares al aquí planteado”.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Como ya señaláramos en nuestro ATC 456/2006, de 14 de diciembre, FJ 1, aunque este Tribunal mantiene estrictamente el principio de imparcialidad al que le obligan la Constitución y el art. 22 de su Ley Orgánica, y desearía atender los escrúpulos de sus miembros, debe atenerse a razones objetivas al apreciar las causas de abstención y recusación. No debe </w:t>
      </w:r>
      <w:r>
        <w:lastRenderedPageBreak/>
        <w:t>olvidarse que el deber de imparcialidad de los Magistrados nunca debe ir en detrimento del derecho fundamental al juez ordinario predeterminado por la ley (art. 24.2 CE) ni perjudicar el ejercicio de la jurisdicción constitucional. No cabe olvidar tampoco, como hemos señalado en el ATC 383/2006, de 2 de noviembre, FJ 3, que, “en la medida en que las causas de abstención o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 Por ello, la ley, que define las causas tasadas de abstención o recusación procurando un equilibrio entre estos distintos intereses constitucionales, no permite al Tribunal Constitucional que estime justificada la abstención en este caso, toda vez que la circunstancia alegada por el Magistrado don Eugeni Gay Montalvo no puede encontrar acomodo en ninguna de las causas contempladas en el art. 219 de la Ley Orgánica del Poder Judicial (LOPJ).</w:t>
      </w:r>
    </w:p>
    <w:p w:rsidR="00CF03FA" w:rsidRDefault="00CF03FA" w:rsidP="00CF03FA">
      <w:pPr>
        <w:pStyle w:val="TextoNormal"/>
      </w:pPr>
    </w:p>
    <w:p w:rsidR="00CF03FA" w:rsidRDefault="00CF03FA" w:rsidP="00CF03FA">
      <w:pPr>
        <w:pStyle w:val="TextoNormal"/>
      </w:pPr>
      <w:r w:rsidRPr="00CF03FA">
        <w:rPr>
          <w:rStyle w:val="NumeroAFNegritaCaracter"/>
        </w:rPr>
        <w:t>2</w:t>
      </w:r>
      <w:r>
        <w:t>. En efecto, el hecho de que el Magistrado don Eugeni Gay Montalvo haya asumido en el pasado el asesoramiento y la defensa de los intereses de diversas empresas que desarrollaban su actividad en las máquinas de juego automáticas denominadas de tipo “B”, “en asuntos idénticos y similares al aquí planteado”, no puede traducirse en su inidoneidad para enjuiciar la cuestión debatida en este proceso constitucional, derivado de un procedimiento judicial en el que el Magistrado don Eugeni Gay Montalvo no ha intervenido como Letrado antes de acceder al cargo de Magistrado del Tribunal Constitucional. No concurre pues, en este caso, la causa 6ª del citado art. 219 LOPJ, pues no ha sido el Magistrado “defensor o representante de alguna de las partes” ni ha “emitido dictamen sobre el pleito o causa como letrado”. Tampoco resulta de aplicación la causa 13ª del mismo precepto legal, pues el Magistrado no ha participado directa o indirectamente en el asunto objeto del pleito relacionado con la presente cuestión de inconstitucionalidad. De igual modo ha de excluirse que resulte aplicable la causa 16ª, pues la circunstancia invocada por el Magistrado don Eugeni Gay Montalvo no supone que haya ocupado “cargo público o administrativo con ocasión del cual haya podido tener conocimiento del litigio y formar criterio en detrimento de la debida imparcialidad”.</w:t>
      </w:r>
    </w:p>
    <w:p w:rsidR="00CF03FA" w:rsidRDefault="00CF03FA" w:rsidP="00CF03FA">
      <w:pPr>
        <w:pStyle w:val="TextoNormal"/>
      </w:pPr>
      <w:r>
        <w:t>Por otro lado, de admitirse que pudiera ser causa de abstención y recusación una relación como aquélla a la que hace referencia el escrito de abstención, la consecuencia, como hemos señalado en ATC 380/2006, de 24 de octubre, FJ único, sería hacer imposible el acceso a la magistratura constitucional de juristas que hayan acreditado como Abogados la reconocida competencia profesional exigida por el art. 159.2 CE, pues será, por principio, muy difícil que dicha competencia no se haya aquilatado con su implicación profesional en los más diversos sectores del ordenamiento, para cuya defensa desde este Tribunal quedarían inhabilitados de admitirse que precisamente esa experiencia profesional se traduce en un prejuicio excluyente de toda imparcialidad.</w:t>
      </w:r>
    </w:p>
    <w:p w:rsidR="00CF03FA" w:rsidRDefault="00CF03FA" w:rsidP="00CF03FA">
      <w:pPr>
        <w:pStyle w:val="TextoNormal"/>
      </w:pPr>
      <w:r>
        <w:t>No existe, en suma, riesgo para la imparcialidad del Magistrado don Eugeni Gay Montalvo por su intervención en la presente cuestión de inconstitucionalidad. Por el contrario, “existe un interés constitucional prevalente en mantener, salvo que resulte imposible, la composición del Pleno de este Tribunal en los términos establecidos directa y categóricamente por la propia Constitución, en su art. 159” (AATC 456/2006, de 14 de diciembre, FJ 2, y ATC 289/2007, de 19 de junio, FJ 2).</w:t>
      </w:r>
    </w:p>
    <w:p w:rsidR="00CF03FA" w:rsidRDefault="00CF03FA" w:rsidP="00CF03FA">
      <w:pPr>
        <w:pStyle w:val="TextoNormal"/>
      </w:pPr>
    </w:p>
    <w:p w:rsidR="00CF03FA" w:rsidRDefault="00CF03FA" w:rsidP="00CF03FA">
      <w:pPr>
        <w:pStyle w:val="TextoNormal"/>
      </w:pPr>
      <w:r>
        <w:t>En consecuencia,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No estimar justificada la abstención del Magistrado don Eugeni Gay Montalvo en la cuestión de inconstitucionalidad núm. 9545-2006.</w:t>
      </w:r>
    </w:p>
    <w:p w:rsidR="00CF03FA" w:rsidRDefault="00CF03FA" w:rsidP="00CF03FA">
      <w:pPr>
        <w:pStyle w:val="TextoNormal"/>
      </w:pPr>
    </w:p>
    <w:p w:rsidR="00CF03FA" w:rsidRDefault="00CF03FA" w:rsidP="00CF03FA">
      <w:pPr>
        <w:pStyle w:val="TextoNormal"/>
      </w:pPr>
      <w:r>
        <w:t>Madrid, a veintidós de enero de dos mil ocho.</w:t>
      </w:r>
    </w:p>
    <w:p w:rsidR="00CF03FA" w:rsidRDefault="00CF03FA" w:rsidP="00CF03FA">
      <w:pPr>
        <w:pStyle w:val="ParrafoNormal"/>
      </w:pPr>
    </w:p>
    <w:p w:rsidR="00CF03FA" w:rsidRDefault="00CF03FA" w:rsidP="00CF03FA">
      <w:pPr>
        <w:pStyle w:val="TextoNormalNegritaCentrado"/>
        <w:keepNext/>
      </w:pPr>
      <w:r>
        <w:t>Voto particular que formula el Magistrado don Javier Delgado Barrio respecto del Auto de de de 2008 dictado en la cuestión de inconstitucionalidad núm. 9545-2006</w:t>
      </w:r>
    </w:p>
    <w:p w:rsidR="00CF03FA" w:rsidRDefault="00CF03FA" w:rsidP="00CF03FA">
      <w:pPr>
        <w:pStyle w:val="TextoNormalNegritaCentrado"/>
        <w:keepNext/>
      </w:pPr>
    </w:p>
    <w:p w:rsidR="00CF03FA" w:rsidRDefault="00CF03FA" w:rsidP="00CF03FA">
      <w:pPr>
        <w:pStyle w:val="TextoNormal"/>
      </w:pPr>
      <w:r>
        <w:t>Con el respeto que siempre me merece la opinión de mis compañeros, creo procedente formular este Voto particular para manifestar mi discrepancia del acuerdo de la mayoría.</w:t>
      </w:r>
    </w:p>
    <w:p w:rsidR="00CF03FA" w:rsidRDefault="00CF03FA" w:rsidP="00CF03FA">
      <w:pPr>
        <w:pStyle w:val="TextoNormal"/>
      </w:pPr>
      <w:r>
        <w:t>El art. 219.13ª LOPJ, en relación con el art. 80 LOTC, establece como causa de abstención “haber ...ejercido profesión” con ocasión de la cual “haya participado directa o indirectamente en el asunto objeto del pleito o causa o en otro relacionado con el mismo”. Creo que dentro del concepto legal de asunto “relacionado” con el “objeto del pleito” hay que incluir aquellos casos en los que el Abogado ha ejercido su profesión en asuntos idénticos, aunque sea con diferentes partes, al que es objeto del proceso, pues ello implica, evidentemente, una participación indirecta en éste.</w:t>
      </w:r>
    </w:p>
    <w:p w:rsidR="00CF03FA" w:rsidRDefault="00CF03FA" w:rsidP="00CF03FA">
      <w:pPr>
        <w:pStyle w:val="TextoNormal"/>
      </w:pPr>
      <w:r>
        <w:t>Es así que el Magistrado que se abstiene había ejercido su profesión de Abogado en asuntos idénticos al que aquí se debate,</w:t>
      </w:r>
    </w:p>
    <w:p w:rsidR="00CF03FA" w:rsidRDefault="00CF03FA" w:rsidP="00CF03FA">
      <w:pPr>
        <w:pStyle w:val="TextoNormal"/>
      </w:pPr>
      <w:r>
        <w:t>Ergo hubiera debido estimarse justificada la abstención que rechaza el Auto del que discrepo.</w:t>
      </w:r>
    </w:p>
    <w:p w:rsidR="00CF03FA" w:rsidRDefault="00CF03FA" w:rsidP="00CF03FA">
      <w:pPr>
        <w:pStyle w:val="TextoNormal"/>
      </w:pPr>
      <w:r>
        <w:t>Y este es mi parecer, del que dejo constancia con el máximo respeto a mis compañeros.</w:t>
      </w:r>
    </w:p>
    <w:p w:rsidR="00CF03FA" w:rsidRDefault="00CF03FA" w:rsidP="00CF03FA">
      <w:pPr>
        <w:pStyle w:val="TextoNormal"/>
      </w:pPr>
      <w:r>
        <w:t>Madrid, a veintidós de enero de dos mil ocho.</w:t>
      </w:r>
    </w:p>
    <w:p w:rsidR="00CF03FA" w:rsidRDefault="00CF03FA" w:rsidP="00CF03FA">
      <w:pPr>
        <w:pStyle w:val="TextoNormal"/>
      </w:pPr>
    </w:p>
    <w:p w:rsidR="00CF03FA" w:rsidRDefault="00CF03FA" w:rsidP="00CF03FA">
      <w:pPr>
        <w:pStyle w:val="TextoNormalNegritaCentrado"/>
        <w:keepNext/>
      </w:pPr>
      <w:r>
        <w:t>Voto particular que formula el Magistrado don Ramón Rodriguez Arribas, en el Auto dictado en la cuestión de inconstitucionalidad núm.9545-2006. Sobre la abstención formulada por el Excmo. Sr. Magistrado don Eugeni Gay Montalvo.</w:t>
      </w:r>
    </w:p>
    <w:p w:rsidR="00CF03FA" w:rsidRDefault="00CF03FA" w:rsidP="00CF03FA">
      <w:pPr>
        <w:pStyle w:val="TextoNormalNegritaCentrado"/>
        <w:keepNext/>
      </w:pPr>
    </w:p>
    <w:p w:rsidR="00CF03FA" w:rsidRDefault="00CF03FA" w:rsidP="00CF03FA">
      <w:pPr>
        <w:pStyle w:val="TextoNormal"/>
      </w:pPr>
      <w:r>
        <w:t>Haciendo uso de la facultad atribuida a los Magistrados del Tribunal Constitucional por el apartado 2 del art. 90 LOTC expreso en este voto particular y con pleno respeto a la opinión de la mayoría, mi discrepancia , que fundo en la siguiente consideración:</w:t>
      </w:r>
    </w:p>
    <w:p w:rsidR="00CF03FA" w:rsidRDefault="00CF03FA" w:rsidP="00CF03FA">
      <w:pPr>
        <w:pStyle w:val="TextoNormal"/>
      </w:pPr>
      <w:r>
        <w:t xml:space="preserve">Unica: Nuestro compañero Excmo. Sr. don Eugeni Gay Montalvo, formuló su abstención manifestando que había sido “abogado, asesor y letrado de diversas empresas que desarrollaban su actividad en las máquinas de juego automáticas denominadas del tipo B, en asuntos indénticos y similares al aquí planteado” invocando, entre otras, la causa 13ª Ley Orgánica del Poder Judicial (LOPJ), aplicable por la remisión del art. 80 LOTC, que considera incurso en abstención o recusación al Juez que ejerciendo una profesión “ haya participado directa o indirectamente en el asunto objeto del pleito o causa o en otro relacionado con el mismo”, resultando evidente para mí, con reiteración del respeto que me merece la opinión contraria, que quien ha ejercido profesionalmente las funciones de “abogado, asesor y letrado” de empresas que se dedicaban a la explotación de maquinas de juego automáticas del </w:t>
      </w:r>
      <w:r>
        <w:lastRenderedPageBreak/>
        <w:t>tipo B, en relación con los problemas de su tributación en la Tasa de juego, ha incurrido, no en un solo concepto si no en tres, en la causa de abstención descrita e invocada y por lo tanto debió declararse la procedencia de la misma.</w:t>
      </w:r>
    </w:p>
    <w:p w:rsidR="00CF03FA" w:rsidRDefault="00CF03FA" w:rsidP="00CF03FA">
      <w:pPr>
        <w:pStyle w:val="TextoNormal"/>
      </w:pPr>
      <w:r>
        <w:t>Madrid, a veintidós de enero de dos mil ocho</w:t>
      </w:r>
    </w:p>
    <w:p w:rsidR="00CF03FA" w:rsidRDefault="00CF03FA" w:rsidP="00CF03FA">
      <w:pPr>
        <w:pStyle w:val="TextoNormal"/>
      </w:pPr>
    </w:p>
    <w:p w:rsidR="00CF03FA" w:rsidRDefault="00CF03FA" w:rsidP="00CF03FA">
      <w:pPr>
        <w:pStyle w:val="TextoNormalNegritaCentrado"/>
        <w:keepNext/>
      </w:pPr>
      <w:r>
        <w:t>Voto particular que formula el Magistrado don Jorge Rodríguez-Zapata Pérez al Auto del Pleno de 23 de enero de 2008, dictado en la cuestión de inconstitucionalidad núm. 9545-2006.</w:t>
      </w:r>
    </w:p>
    <w:p w:rsidR="00CF03FA" w:rsidRDefault="00CF03FA" w:rsidP="00CF03FA">
      <w:pPr>
        <w:pStyle w:val="TextoNormalNegritaCentrado"/>
        <w:keepNext/>
      </w:pPr>
    </w:p>
    <w:p w:rsidR="00CF03FA" w:rsidRDefault="00CF03FA" w:rsidP="00CF03FA">
      <w:pPr>
        <w:pStyle w:val="TextoNormal"/>
      </w:pPr>
      <w:r>
        <w:t>1. Considero que el Auto aprobado, que acuerda no estimar justificada la abstención del Excmo. Sr. Magistrado don Eugenio Gay Montalvo, no pondera adecuadamente las singulares circunstancias que concurren en el presente caso, que, a mi juicio, debieron llevar a estimar como justificada su abstención.</w:t>
      </w:r>
    </w:p>
    <w:p w:rsidR="00CF03FA" w:rsidRDefault="00CF03FA" w:rsidP="00CF03FA">
      <w:pPr>
        <w:pStyle w:val="TextoNormal"/>
      </w:pPr>
      <w:r>
        <w:t>El Magistrado don Eugenio Gay Montalvo manifiesta en su escrito que ha sido “abogado, asesor y letrado de diversas empresas que desarrollaban su actividad en las máquinas de juego automáticas denominadas de tipo B, en asuntos idénticos y similares al aquí planteado”.</w:t>
      </w:r>
    </w:p>
    <w:p w:rsidR="00CF03FA" w:rsidRDefault="00CF03FA" w:rsidP="00CF03FA">
      <w:pPr>
        <w:pStyle w:val="TextoNormal"/>
      </w:pPr>
      <w:r>
        <w:t>Como es sabido, la actividad del juego desarrollada a través de máquinas recreativas del tipo B está sometida a una específica normativa tributaria en cuya interpretación se han producido reiteradas discrepancias entre la Administración tributaria y las sociedades mercantiles dedicadas a esa actividad. Si tenemos en cuenta el limitado número de empresas o sociedades explotadoras de esa modalidad del juego y, al tiempo, la considerable importancia económica de tal actividad, se comprenderá en seguida que quien manifiesta haber sido “abogado, asesor y letrado” de diversas empresas que la desarrollan y que como tal ha defendido sus intereses “en asuntos idénticos y similares al aquí planteado”, debe abstenerse de juzgar sobre la cuestión.</w:t>
      </w:r>
    </w:p>
    <w:p w:rsidR="00CF03FA" w:rsidRDefault="00CF03FA" w:rsidP="00CF03FA">
      <w:pPr>
        <w:pStyle w:val="TextoNormal"/>
      </w:pPr>
      <w:r>
        <w:t>2. Añadidamente diré que no creo que deba minusvalorarse el criterio del propio Magistrado que reflexivamente adopta su decisión de abstenerse en el conocimiento de un asunto, por considerar, él mismo, que pueda estar comprometida su imparcialidad o que pueda resultar menoscabada la necesaria apariencia de imparcialidad; la suya propia y, por ello, la del Tribunal mismo.</w:t>
      </w:r>
    </w:p>
    <w:p w:rsidR="00CF03FA" w:rsidRDefault="00CF03FA" w:rsidP="00CF03FA">
      <w:pPr>
        <w:pStyle w:val="TextoNormal"/>
      </w:pPr>
      <w:r>
        <w:t xml:space="preserve">Recientemente -ATC 387/2007, de 16 de octubre- hemos estimado como justificadas las abstenciones de la Presidenta y del Vicepresidente del Tribunal en el recurso de inconstitucionalidad núm. 6729-2007, y hemos dicho que aunque los motivos legales de abstención y recusación son los mismos, hay “una diferencia relevante entre ellas, cual es que mientras en la abstención la iniciativa es del propio Magistrado, en la recusación corresponde a una de las partes procesales” y que “en el caso de la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podrá quizás suceder con la recusación”. Por ello, añadimos entonces,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Y hemos reconocido “la sensibilidad demostrada por los Magistrados abstenidos respecto a la importancia que tiene siempre la apariencia de imparcialidad” </w:t>
      </w:r>
      <w:r>
        <w:lastRenderedPageBreak/>
        <w:t>recordando “la especial trascendencia que a la misma atribuyen, tanto nuestra jurisprudencia, como la del Tribunal Europeo de Derechos Humanos (TEDH) porque lo que está en juego es la confianza que los Tribunales deben inspirar a los ciudadanos en una sociedad democrática”.</w:t>
      </w:r>
    </w:p>
    <w:p w:rsidR="00CF03FA" w:rsidRDefault="00CF03FA" w:rsidP="00CF03FA">
      <w:pPr>
        <w:pStyle w:val="TextoNormal"/>
      </w:pPr>
      <w:r>
        <w:t>En efecto, nuestro legislador ha optado por un modelo de Juez constitucional rodeado de la apariencia de imparcialidad, no sólo en la realidad de su desconexión con las partes y con el objeto del proceso, sino también en su imagen, eliminando cualquier sombra al respecto cuando existan elementos objetivos que puedan justificar una apariencia de parcialidad. El Juez imparcial no es sólo un derecho fundamental de las partes de un litigio, es también una garantía institucional de un Estado de Derecho establecida en beneficio de todos los ciudadanos y de la imagen de la Justicia, como pilar de la democracia (ATC 26/2007, de 5 de febrero).</w:t>
      </w:r>
    </w:p>
    <w:p w:rsidR="00CF03FA" w:rsidRDefault="00CF03FA" w:rsidP="00CF03FA">
      <w:pPr>
        <w:pStyle w:val="TextoNormal"/>
      </w:pPr>
      <w:r>
        <w:t>El valor de la imparcialidad o de la imagen que de su imparcialidad proyecta el Tribunal hacia la sociedad, no es cuestión menor. Me parece claro que en un eventual conflicto entre la composición del Tribunal y el respeto a la garantía de su imparcialidad, debe prevalecer esta última, no ya porque así deba ser en cualquier Estado de Derecho, sino porque así lo ha querido expresamente el legislador. La participación de todos los miembros que integran este Tribunal en los procesos constitucionales no es un objetivo que deba excluir la apreciación de una causa de abstención, como lo evidencia la previsión misma de la posibilidad de constitución del Pleno, de las Salas y de las Secciones de este Tribunal sin la totalidad de sus componentes, sino con el quórum de presencia que resulta del art. 14 LOTC. Y el mandato del art. 22 LOTC de que los Magistrados ejerzan su función de acuerdo con el principio de imparcialidad, no contiene salvedad respecto de los procesos objetivos de control de constitucionalidad ni de ninguno de los procesos de que conoce este Tribunal (ATC 226/2002, de 20 de noviembre, FJ 3).</w:t>
      </w:r>
    </w:p>
    <w:p w:rsidR="00CF03FA" w:rsidRDefault="00CF03FA" w:rsidP="00CF03FA">
      <w:pPr>
        <w:pStyle w:val="TextoNormal"/>
      </w:pPr>
      <w:r>
        <w:t>Madrid, a veintitrés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83" w:name="AUTO_2008_22"/>
      <w:r>
        <w:lastRenderedPageBreak/>
        <w:t>AUTO 22/2008, de 22 de enero de 2008</w:t>
      </w:r>
    </w:p>
    <w:bookmarkEnd w:id="83"/>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ECLI:ES:TC:2008:22A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CF03FA" w:rsidRDefault="00CF03FA" w:rsidP="00CF03FA">
      <w:pPr>
        <w:pStyle w:val="SntesisDescriptiva"/>
      </w:pPr>
    </w:p>
    <w:p w:rsidR="00CF03FA" w:rsidRDefault="00CF03FA" w:rsidP="00CF03FA">
      <w:pPr>
        <w:pStyle w:val="SntesisDescriptiva"/>
      </w:pPr>
      <w:r>
        <w:t>Acuerda el desistimiento en el recurso de inconstitucionalidad 2250-2007, planteado por la Comunidad Foral de Navarra en relación con la Ley 39/2006, de 14 de diciembre, de promoción de la autonomía personal y atención a personas en situación de dependencia.</w:t>
      </w:r>
    </w:p>
    <w:p w:rsidR="00CF03FA" w:rsidRDefault="00CF03FA" w:rsidP="00CF03FA">
      <w:pPr>
        <w:pStyle w:val="SntesisDescriptiva"/>
      </w:pPr>
    </w:p>
    <w:p w:rsidR="00CF03FA" w:rsidRDefault="00CF03FA" w:rsidP="00CF03FA">
      <w:pPr>
        <w:pStyle w:val="SntesisAnaltica"/>
      </w:pPr>
      <w:r>
        <w:t>Desistimiento en procesos constitucionales: recurso de inconstitucionalidad, procede.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presentado en el Registro de este Tribunal el día 13 de marzo de 2007, el Letrado de la Comunidad Foral de Navarra, en la representación que legalmente ostenta, promueve recurso de inconstitucionalidad contra los arts 5.4; 8.2, letras a),b),c),d),e) y g); 10; 11.1; 14, apartados 3, 5 y 7; 16.1; 17 a 21; 27.1; 28.5; 32.3, párrafo segundo; 33.3; 34, apartados 2 y 3; 35; 42 a 47 y disposiciones finales cuarta y quinta de la Ley 39/2006, de 14 de diciembre, de promoción de la autonomía personal y atención a personas en situación de dependencia. </w:t>
      </w:r>
    </w:p>
    <w:p w:rsidR="00CF03FA" w:rsidRDefault="00CF03FA" w:rsidP="00CF03FA">
      <w:pPr>
        <w:pStyle w:val="TextoNormal"/>
      </w:pPr>
      <w:r>
        <w:t>Admitido a trámite el recurso de inconstitucionalidad por providencia de la Sección Segunda del Tribunal Constitucional, de fecha 27 de marzo de 2007, el Abogado del Estado presentó sus alegaciones el día 7 de mayo de 2007 solicitando la desestimación del recurso interpuesto.</w:t>
      </w:r>
    </w:p>
    <w:p w:rsidR="00CF03FA" w:rsidRDefault="00CF03FA" w:rsidP="00CF03FA">
      <w:pPr>
        <w:pStyle w:val="TextoNormal"/>
      </w:pPr>
    </w:p>
    <w:p w:rsidR="00CF03FA" w:rsidRDefault="00CF03FA" w:rsidP="00CF03FA">
      <w:pPr>
        <w:pStyle w:val="TextoNormal"/>
      </w:pPr>
      <w:r w:rsidRPr="00CF03FA">
        <w:rPr>
          <w:rStyle w:val="NumeroAFNegritaCaracter"/>
        </w:rPr>
        <w:t>2</w:t>
      </w:r>
      <w:r>
        <w:t>. Con fecha 15 de noviembre de 2007, el Letrado de la Comunidad Foral de Navarra presentó en este Tribunal Constitucional un escrito en el que expuso que, debidamente autorizado en virtud del acuerdo del Gobierno de Navarra de 12 de noviembre de 2007, solicita tener por desistido a éste en el presente recurso de inconstitucionalidad.</w:t>
      </w:r>
    </w:p>
    <w:p w:rsidR="00CF03FA" w:rsidRDefault="00CF03FA" w:rsidP="00CF03FA">
      <w:pPr>
        <w:pStyle w:val="TextoNormal"/>
      </w:pPr>
    </w:p>
    <w:p w:rsidR="00CF03FA" w:rsidRDefault="00CF03FA" w:rsidP="00CF03FA">
      <w:pPr>
        <w:pStyle w:val="TextoNormal"/>
      </w:pPr>
      <w:r w:rsidRPr="00CF03FA">
        <w:rPr>
          <w:rStyle w:val="NumeroAFNegritaCaracter"/>
        </w:rPr>
        <w:t>3</w:t>
      </w:r>
      <w:r>
        <w:t>. El Pleno del Tribunal Constitucional, por providencia de 12 de diciembre de 2007, acordó incorporar a los autos el escrito presentado por la representación procesal de la Comunidad Foral de Navarra y oír al Abogado del Estado en relación con la solicitud de desistimiento formulada en dicho escrito, otorgando al efecto un plazo de diez días.</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4</w:t>
      </w:r>
      <w:r>
        <w:t>. El día 21 de diciembre de 2007 el Abogado del Estado dirigió un escrito al Tribunal Constitucional en el que manifiesta que no se opone a la solicitud de desistimiento formulada por el Gobierno de Navarra.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(LEC) para la regulación</w:t>
      </w:r>
    </w:p>
    <w:p w:rsidR="00CF03FA" w:rsidRDefault="00CF03FA" w:rsidP="00CF03FA">
      <w:pPr>
        <w:pStyle w:val="TextoNormal"/>
      </w:pPr>
      <w:r>
        <w:t>con carácter supletorio de este acto procesal (arts. 19.1 y 3 y 20.2 y 3 LEC), que puede ser parcial, cuando afecta a alguna de las pretensiones en caso de pluralidad del objeto, y total, cuando se refiere a todas o a la única pretensión (SSTC 96/1990,</w:t>
      </w:r>
    </w:p>
    <w:p w:rsidR="00CF03FA" w:rsidRDefault="00CF03FA" w:rsidP="00CF03FA">
      <w:pPr>
        <w:pStyle w:val="TextoNormal"/>
      </w:pPr>
      <w:r>
        <w:t>de 24 de mayo, FJ 1 y 237/1992, de 15 de diciembre; AATC 33/1993, de 26 de enero y 173/1997, de 20 de mayo). Así pues, en virtud de los citados preceptos puede estimarse como forma admitida para poner fin a un recurso de inconstitucionalidad o a un</w:t>
      </w:r>
    </w:p>
    <w:p w:rsidR="00CF03FA" w:rsidRDefault="00CF03FA" w:rsidP="00CF03FA">
      <w:pPr>
        <w:pStyle w:val="TextoNormal"/>
      </w:pPr>
      <w:r>
        <w:t>conflicto positivo de competencia, total o parcialmente, la manifestación de la voluntad de desistir, siempre que, según reiterada doctrina de este Tribunal, no se opongan las demás partes personadas a través de un motivo declarado válido por este</w:t>
      </w:r>
    </w:p>
    <w:p w:rsidR="00CF03FA" w:rsidRDefault="00CF03FA" w:rsidP="00CF03FA">
      <w:pPr>
        <w:pStyle w:val="TextoNormal"/>
      </w:pPr>
      <w:r>
        <w:t>Tribunal y no se advierta interés constitucional que justifique la prosecución del proceso hasta su finalización por Sentencia (AATC, por todos, 233/1993, de 26 de enero; 173/1997, de 20 de mayo, 278/2001, de 30 de octubre; 129/2002, de 16 de julio y</w:t>
      </w:r>
    </w:p>
    <w:p w:rsidR="00CF03FA" w:rsidRDefault="00CF03FA" w:rsidP="00CF03FA">
      <w:pPr>
        <w:pStyle w:val="TextoNormal"/>
      </w:pPr>
      <w:r>
        <w:t>43/2004, de 10 de febrero).</w:t>
      </w:r>
    </w:p>
    <w:p w:rsidR="00CF03FA" w:rsidRDefault="00CF03FA" w:rsidP="00CF03FA">
      <w:pPr>
        <w:pStyle w:val="TextoNormal"/>
      </w:pPr>
      <w:r>
        <w:t>El Letrado de la Comunidad Foral de Navarra, debidamente autorizado, según certificación del Acuerdo adoptado al efecto por el Gobierno de Navarra, pide que se le tenga por desistido del presente recurso de inconstitucionalidad. El Abogado del Estado no se opone a ello, sin que se advierta interés constitucional que aconseje la prosecución del recurso hasta su finalización por Sentencia.</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Tener por desistido al Letrado de la Comunidad Foral de Navarra, en la representación que legalmente ostenta, del recurso de inconstitucionalidad núm. 2250-2007 interpuesto contra diversos preceptos de la Ley 39/2006, de 14 de diciembre, de promoción de</w:t>
      </w:r>
    </w:p>
    <w:p w:rsidR="00CF03FA" w:rsidRDefault="00CF03FA" w:rsidP="00CF03FA">
      <w:pPr>
        <w:pStyle w:val="TextoNormal"/>
      </w:pPr>
      <w:r>
        <w:t>la autonomía personal y atención a personas en situación de dependencia, declarando extinguido el proceso.</w:t>
      </w:r>
    </w:p>
    <w:p w:rsidR="00CF03FA" w:rsidRDefault="00CF03FA" w:rsidP="00CF03FA">
      <w:pPr>
        <w:pStyle w:val="TextoNormal"/>
      </w:pPr>
    </w:p>
    <w:p w:rsidR="00CF03FA" w:rsidRDefault="00CF03FA" w:rsidP="00CF03FA">
      <w:pPr>
        <w:pStyle w:val="TextoNormal"/>
      </w:pPr>
      <w:r>
        <w:t>Madrid, a veintidós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84" w:name="AUTO_2008_23"/>
      <w:r>
        <w:lastRenderedPageBreak/>
        <w:t>AUTO 23/2008, de 22 de enero de 2008</w:t>
      </w:r>
    </w:p>
    <w:bookmarkEnd w:id="84"/>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ECLI:ES:TC:2008:23A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Eugeni Gay Montalvo, don Roberto García-Calvo y Montiel, don Jorge Rodríguez-Zapata Pérez, don Ramón Rodríguez Arribas, don Pascual Sala Sánchez y don Manuel Aragón Reyes.</w:t>
      </w:r>
    </w:p>
    <w:p w:rsidR="00CF03FA" w:rsidRDefault="00CF03FA" w:rsidP="00CF03FA">
      <w:pPr>
        <w:pStyle w:val="SntesisDescriptiva"/>
      </w:pPr>
    </w:p>
    <w:p w:rsidR="00CF03FA" w:rsidRDefault="00CF03FA" w:rsidP="00CF03FA">
      <w:pPr>
        <w:pStyle w:val="SntesisDescriptiva"/>
      </w:pPr>
      <w:r>
        <w:t>Inadmite a trámite la cuestión de inconstitucionalidad 6896-2007, planteada por el Juzgado de lo Contencioso-Administrativo núm. 4 de Córdoba en relación con la Ley de Andalucía 18/2003, de 29 de diciembre, de medidas fiscales y administrativas, en lo relativo al impuesto sobre depósito de residuos radioactivos.</w:t>
      </w:r>
    </w:p>
    <w:p w:rsidR="00CF03FA" w:rsidRDefault="00CF03FA" w:rsidP="00CF03FA">
      <w:pPr>
        <w:pStyle w:val="SntesisDescriptiva"/>
      </w:pPr>
    </w:p>
    <w:p w:rsidR="00CF03FA" w:rsidRDefault="00CF03FA" w:rsidP="00CF03FA">
      <w:pPr>
        <w:pStyle w:val="SntesisAnaltica"/>
      </w:pPr>
      <w:r>
        <w:t>Cuestión de inconstitucionalidad: ATC 8/2008.</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6 de agosto de 2007 tuvo entrada en el Registro General de este Tribunal un escrito del Juzgado de lo Contencioso-Administrativo núm. 4 de Córdoba al que se acompaña, junto con el testimonio del correspondiente procedimiento, el Auto de 30 de julio de 2007, en el que se acuerda plantear cuestión de inconstitucionalidad en relación con los arts. 56 a 64 de la Ley de Andalucía 18/2003, de 29 de diciembre, de medidas fiscales y administrativas, por posible vulneración de los arts. 133, 139.2, 149.1.14, 156 y 157.2 CE en relación con los arts. 6.2 y 9 de la Ley Orgánica 8/1980, de 22 de septiembre, de financiación de las Comunidades Autónomas.</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de la cuestión son los siguientes: </w:t>
      </w:r>
    </w:p>
    <w:p w:rsidR="00CF03FA" w:rsidRDefault="00CF03FA" w:rsidP="00CF03FA">
      <w:pPr>
        <w:pStyle w:val="TextoNormal"/>
      </w:pPr>
      <w:r>
        <w:t xml:space="preserve">a) La Empresa Nacional de Residuos Radioactivos, S.A., (en adelante, Enresa) interpuso recurso contencioso-administrativo (tramitado por el procedimiento abreviado con el núm. 743-2006) contra la Resolución de la Junta Provincial de Hacienda de Córdoba por la que estima la reclamación económico-administrativa 1169/2005,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w:t>
      </w:r>
      <w:r>
        <w:lastRenderedPageBreak/>
        <w:t xml:space="preserve">septiembre, de financiación de las Comunidades Autónomas, (en adelante, LOFCA) y el principio de interdicción de la arbitrariedad en la actuación de los poderes públicos derivado del art. 9.3 CE </w:t>
      </w:r>
    </w:p>
    <w:p w:rsidR="00CF03FA" w:rsidRDefault="00CF03FA" w:rsidP="00CF03FA">
      <w:pPr>
        <w:pStyle w:val="TextoNormal"/>
      </w:pPr>
      <w:r>
        <w:t xml:space="preserve">b) El 29 de marzo de 2007 se celebró la vista del recurso declarándose los autos conclusos para sentencia. </w:t>
      </w:r>
    </w:p>
    <w:p w:rsidR="00CF03FA" w:rsidRDefault="00CF03FA" w:rsidP="00CF03FA">
      <w:pPr>
        <w:pStyle w:val="TextoNormal"/>
      </w:pPr>
      <w:r>
        <w:t xml:space="preserve">c) El 4 de junio de 2007 el Juzgado de lo Contencioso-Administrativo núm. 4 de Córdoba dictó providencia en los términos siguientes: “De conformidad con lo dispuesto en el art. 35.2 de la Ley Orgánica. del Tribunal Constitucional, óigase a las partes codemandadas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00CF03FA" w:rsidRDefault="00CF03FA" w:rsidP="00CF03FA">
      <w:pPr>
        <w:pStyle w:val="TextoNormal"/>
      </w:pPr>
      <w:r>
        <w:t xml:space="preserve">c) La parte codemandada, Unión Fenosa Generación, S.A., manifestó su parecer favorable al planteamiento de la cuestión de inconstitucionalidad por entender vulnerados, por un lado, el art. 156 en relación con el 149.1.25 CE y , por otro, el art. 6.3 LOFCA. La Junta de Andalucía se opuso al planteamiento de la cuestión de inconstitucionalidad. La demandante Enresa solicitó el planteamiento de la cuestión de inconstitucionalidad por los motivos ya expresados en su escrito de demanda en el proceso a quo. Por su parte, el Ministerio Fiscal estimó procedente el planteamiento de la cuestión por estimar que la regulación del IDRR vulneraba el art. 149.1.25 CE y el art. 6.3 LOFCA. </w:t>
      </w:r>
    </w:p>
    <w:p w:rsidR="00CF03FA" w:rsidRDefault="00CF03FA" w:rsidP="00CF03FA">
      <w:pPr>
        <w:pStyle w:val="TextoNormal"/>
      </w:pPr>
      <w:r>
        <w:t>d) El órgano judicial dictó el Auto de 30 de julio de 2007 planteando la cuestión de inconstitucionalidad en relación con los arts. 56 a 64 de la Ley del Parlamento de Andalucía 18/2003, de 29 de diciembre, de medidas fiscales y administrativas, por posible vulneración de los arts. 133, 139.2, 149.1.14, 156 y 157.2 CE en relación con los arts. 6.3 y 9 LOFCA.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cuanto al contenido del Auto de planteamiento interesa destacar lo siguiente: </w:t>
      </w:r>
    </w:p>
    <w:p w:rsidR="00CF03FA" w:rsidRDefault="00CF03FA" w:rsidP="00CF03FA">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en su día interpuesto. </w:t>
      </w:r>
    </w:p>
    <w:p w:rsidR="00CF03FA" w:rsidRDefault="00CF03FA" w:rsidP="00CF03FA">
      <w:pPr>
        <w:pStyle w:val="TextoNormal"/>
      </w:pPr>
      <w:r>
        <w:t xml:space="preserve">b) Tras ello señala las normas con fuerza de Ley cuya constitucionalidad se cuestiona, los arts. 56 a 64 de la Ley 18/2003, así como los preceptos constitucionales que se reputan vulnerados, arts. 133, 139.2, 149.1.14, 156, 157.2 CE en relación con los arts. 6.2 y 9 LOFCA,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CF03FA" w:rsidRDefault="00CF03FA" w:rsidP="00CF03FA">
      <w:pPr>
        <w:pStyle w:val="TextoNormal"/>
      </w:pPr>
      <w:r>
        <w:t xml:space="preserve">c) En cuanto a los concretos motivos que determinan el planteamiento de la cuestión de inconstitucionalidad, en el Auto 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w:t>
      </w:r>
      <w:r>
        <w:lastRenderedPageBreak/>
        <w:t xml:space="preserve">tienen por finalidad el establecimiento de una exacción extrafiscal por el hecho del almacenamiento de tales residuos, sin que limite o condicione el régimen de producción energética, lo que determina que no se vulnere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por recaer sobre la misma actividad del IAE, epígrafe 143.3 almacenamiento de residuos radiactivos, por lo que considera que el tributo autonómico puede ser contrario al art. 6.2 LOFCA (en realidad 6.3 LOFCA) en relación con el art. 133.2 CE. También se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CF03FA" w:rsidRDefault="00CF03FA" w:rsidP="00CF03FA">
      <w:pPr>
        <w:pStyle w:val="TextoNormal"/>
      </w:pPr>
      <w:r>
        <w:t xml:space="preserve">d) 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 </w:t>
      </w:r>
    </w:p>
    <w:p w:rsidR="00CF03FA" w:rsidRDefault="00CF03FA" w:rsidP="00CF03FA">
      <w:pPr>
        <w:pStyle w:val="TextoNormal"/>
      </w:pPr>
      <w:r>
        <w:t>El Auto termina disponiendo el planteamiento al Tribunal Constitucional de la posible inconstitucionalidad de los arts. 56, 57, 58, 59, 60, 61, 62, 63 y 64 de la Ley del Parlamento de Andalucía 18/2003, de 29 de diciembre, de medidas fiscales y administrativas, por poder ser contrarios a los arts. 133, 139.2, 149.1.14, 156 y 157.2 CE en relación con los arts. 6.3 y 9 LOFCA.</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Primera de este Tribunal Constitucional, de fecha 25 de septiembre de 2007, se acordó oír al Fiscal General del Estado para que, en el plazo de diez días, alegara lo que considerara conveniente acerca de la admisibilidad de la presente cuestión de inconstitucionalidad.</w:t>
      </w:r>
    </w:p>
    <w:p w:rsidR="00CF03FA" w:rsidRDefault="00CF03FA" w:rsidP="00CF03FA">
      <w:pPr>
        <w:pStyle w:val="TextoNormal"/>
      </w:pPr>
    </w:p>
    <w:p w:rsidR="00CF03FA" w:rsidRDefault="00CF03FA" w:rsidP="00CF03FA">
      <w:pPr>
        <w:pStyle w:val="TextoNormal"/>
      </w:pPr>
      <w:r w:rsidRPr="00CF03FA">
        <w:rPr>
          <w:rStyle w:val="NumeroAFNegritaCaracter"/>
        </w:rPr>
        <w:t>5</w:t>
      </w:r>
      <w:r>
        <w:t>. El 29 de octubre de 2007 el Fiscal General del Estado presentó su escrito de alegaciones en el que señala que, tratándose de un supuesto idéntico al que se refería la cuestión de inconstitucionalidad núm. 6895/2007, planteada por el mismo órgano judicial, se remite a lo manifestado en aquella interesando la inadmisión de la cuestión.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Juzgado de lo Contencioso-Administrativo núm. 4 de Córdoba plantea cuestión de inconstitucionalidad en relación con los arts. 56 a 64 de la Ley del Parlamento de Andalucía 18/2003, de 29 de diciembre, de medidas fiscales y administrativas,</w:t>
      </w:r>
    </w:p>
    <w:p w:rsidR="00CF03FA" w:rsidRDefault="00CF03FA" w:rsidP="00CF03FA">
      <w:pPr>
        <w:pStyle w:val="TextoNormal"/>
      </w:pPr>
      <w:r>
        <w:t>preceptos que regulan el denominado Impuesto sobre depósito de residuos radiactivos.</w:t>
      </w:r>
    </w:p>
    <w:p w:rsidR="00CF03FA" w:rsidRDefault="00CF03FA" w:rsidP="00CF03FA">
      <w:pPr>
        <w:pStyle w:val="TextoNormal"/>
      </w:pPr>
      <w:r>
        <w:lastRenderedPageBreak/>
        <w:t>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Ambas circunstancias concurren en el presente caso, dado que la misma no satisface las exigencias que para su promoción se derivan de los arts. 163 CE y 35 a 37 LOTC y resulta, además, notoriamente infundada.</w:t>
      </w:r>
    </w:p>
    <w:p w:rsidR="00CF03FA" w:rsidRDefault="00CF03FA" w:rsidP="00CF03FA">
      <w:pPr>
        <w:pStyle w:val="TextoNormal"/>
      </w:pPr>
      <w:r>
        <w:t>Por lo que hace, en primer lugar, a la verificación del cumplimiento de los requisitos procesales establecidos en el art. 35.2 LOTC, es de apreciar que no se han cumplido las exigencias de la necesaria audiencia a las partes y al Ministerio Fiscal previamente a la elaboración del Auto de planteamiento de la cuestión de inconstitucionalidad por parte del órgano judicial promotor de la misma. En efecto, en el presente caso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 en el Auto de planteamiento.</w:t>
      </w:r>
    </w:p>
    <w:p w:rsidR="00CF03FA" w:rsidRDefault="00CF03FA" w:rsidP="00CF03FA">
      <w:pPr>
        <w:pStyle w:val="TextoNormal"/>
      </w:pPr>
      <w:r>
        <w:t>Sobre la incidencia que ambas cuestiones tienen en la adecuada realización del preceptivo trámite de audiencia a las partes y al Ministerio Fiscal nos hemos pronunciado ya en el ATC de 12 de diciembre (FFJJ 2 y 3) dictado como consecuencia de la cuestión de inconstitucionalidad núm. 6895-2007, planteada por el propio Juzgado de lo Contencioso-Administrativo núm. 4 de Córdoba, en el que estimamos que el citado trámite de audiencia hubiera sido realizado correctamente si el órgano judicial, apreciada la duda de constitucionalidad suscitada en el proceso, la hubiera efectivamente compartido y trasladado de forma autónoma a las partes y al Ministerio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CF03FA" w:rsidRDefault="00CF03FA" w:rsidP="00CF03FA">
      <w:pPr>
        <w:pStyle w:val="TextoNormal"/>
      </w:pPr>
      <w:r>
        <w:t>Por otra parte, la duda de constitucionalidad planteada por el órgano judicial ha sido ya resuelta por el referido ATC de 12 de diciembre, en el que este Tribunal ha considerado que la citada cuestión se encontraba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y de acuerdo con las razones expuestas en el ya citado ATC de 12 de diciembre, a cuyos fundamentos jurídicos 4 a 8 procede remitirse íntegramente, la misma consideración ha de merecer la presente cuestión de inconstitucionalidad.</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cuestión de inconstitucionalidad núm. 6896-2007, planteada por el Juzgado de lo Contencioso-Administrativo núm. 4 de Córdoba.</w:t>
      </w:r>
    </w:p>
    <w:p w:rsidR="00CF03FA" w:rsidRDefault="00CF03FA" w:rsidP="00CF03FA">
      <w:pPr>
        <w:pStyle w:val="TextoNormal"/>
      </w:pPr>
    </w:p>
    <w:p w:rsidR="00CF03FA" w:rsidRDefault="00CF03FA" w:rsidP="00CF03FA">
      <w:pPr>
        <w:pStyle w:val="TextoNormal"/>
      </w:pPr>
      <w:r>
        <w:t>Madrid, a veintidós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lastRenderedPageBreak/>
        <w:br w:type="page"/>
      </w:r>
    </w:p>
    <w:p w:rsidR="00CF03FA" w:rsidRDefault="00CF03FA" w:rsidP="00CF03FA">
      <w:pPr>
        <w:pStyle w:val="TtuloResolucin"/>
      </w:pPr>
      <w:bookmarkStart w:id="85" w:name="AUTO_2008_24"/>
      <w:r>
        <w:lastRenderedPageBreak/>
        <w:t>AUTO 24/2008, de 22 de enero de 2008</w:t>
      </w:r>
    </w:p>
    <w:bookmarkEnd w:id="85"/>
    <w:p w:rsidR="00CF03FA" w:rsidRDefault="00CF03FA" w:rsidP="00CF03FA">
      <w:pPr>
        <w:pStyle w:val="TtuloResolucin"/>
      </w:pPr>
      <w:r>
        <w:t>Pleno</w:t>
      </w:r>
    </w:p>
    <w:p w:rsidR="00CF03FA" w:rsidRDefault="00CF03FA" w:rsidP="00CF03FA">
      <w:pPr>
        <w:pStyle w:val="TtuloResolucin"/>
      </w:pPr>
    </w:p>
    <w:p w:rsidR="00CF03FA" w:rsidRDefault="00CF03FA" w:rsidP="00CF03FA">
      <w:pPr>
        <w:pStyle w:val="TtuloBOE"/>
      </w:pPr>
      <w:r>
        <w:t>("BOE" núm. 52, de 29 de febrero de 2008)</w:t>
      </w:r>
    </w:p>
    <w:p w:rsidR="00CF03FA" w:rsidRDefault="00CF03FA" w:rsidP="00CF03FA">
      <w:pPr>
        <w:pStyle w:val="TtuloBOE"/>
      </w:pPr>
    </w:p>
    <w:p w:rsidR="00CF03FA" w:rsidRDefault="00CF03FA" w:rsidP="00CF03FA">
      <w:pPr>
        <w:pStyle w:val="SntesisDescriptiva"/>
      </w:pPr>
      <w:r>
        <w:t>ECLI:ES:TC:2008:24A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CF03FA" w:rsidRDefault="00CF03FA" w:rsidP="00CF03FA">
      <w:pPr>
        <w:pStyle w:val="SntesisDescriptiva"/>
      </w:pPr>
    </w:p>
    <w:p w:rsidR="00CF03FA" w:rsidRDefault="00CF03FA" w:rsidP="00CF03FA">
      <w:pPr>
        <w:pStyle w:val="SntesisDescriptiva"/>
      </w:pPr>
      <w:r>
        <w:t>Inadmite a trámite la cuestión de inconstitucionalidad 7319-2007, planteada por el Juzgado de lo Contencioso-Administrativo núm. 3 de Madrid en relación con el artículo 16.3 de la Ley de la Comunidad de Madrid 20/1998, de 27 de noviembre, de ordenación y coordinación de los transportes urbanos de Madrid.</w:t>
      </w:r>
    </w:p>
    <w:p w:rsidR="00CF03FA" w:rsidRDefault="00CF03FA" w:rsidP="00CF03FA">
      <w:pPr>
        <w:pStyle w:val="SntesisDescriptiva"/>
      </w:pPr>
    </w:p>
    <w:p w:rsidR="00CF03FA" w:rsidRDefault="00CF03FA" w:rsidP="00CF03FA">
      <w:pPr>
        <w:pStyle w:val="SntesisAnaltica"/>
      </w:pPr>
      <w:r>
        <w:t>Cuestión de inconstitucionalidad: juicio de relevancia formulado erróneamente. Transporte terrestre: taxis.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18 de septiembre de 2007 se registró en este Tribunal Constitucional un escrito del Juzgado de lo Contencioso-Administrativo núm. 3 de Madrid, del anterior día 11, al que se acompaña Auto del mismo órgano jurisdiccional, de 13 de julio de 2007, por el cual se plantea cuestión de inconstitucionalidad en relación con el art. 16.3 de la Ley de la Comunidad de Madrid 20/1998, de 27 de noviembre, de ordenación y coordinación de los transportes urbanos de Madrid, por supuesta infracción del art. 25.1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procesales de la presente cuestión son, sucintamente expuestos, los siguientes: </w:t>
      </w:r>
    </w:p>
    <w:p w:rsidR="00CF03FA" w:rsidRDefault="00CF03FA" w:rsidP="00CF03FA">
      <w:pPr>
        <w:pStyle w:val="TextoNormal"/>
      </w:pPr>
      <w:r>
        <w:t xml:space="preserve">a) Con fecha 26 de diciembre de 2005 don José Ángel Fernández Montenegro interpuso recurso contencioso-administrativo contra resolución del Ayuntamiento de Madrid en la que se le imponía una sanción de 4.600 € y suspensión del permiso para conducir durante un periodo de seis meses por infracción del art. 140.15.2 de la Ley 29/2003, de 8 de octubre, de mejora de las condiciones de transporte por carretera, y art. 16.3 de la Ley 20/1998, de 27 de noviembre, de ordenación y coordinación de los transportes urbanos de la Comunidad de Madrid, en relación con el art. 51.II m) de la Ordenanza reguladora del servicio de vehículos de alquiler con aparato taxímetro del Ayuntamiento de Madrid, de 27 de junio de 1980, publicada en “Boletín Oficial del Ayuntamiento de Madrid” de 24 de julio de 1980. </w:t>
      </w:r>
    </w:p>
    <w:p w:rsidR="00CF03FA" w:rsidRDefault="00CF03FA" w:rsidP="00CF03FA">
      <w:pPr>
        <w:pStyle w:val="TextoNormal"/>
      </w:pPr>
      <w:r>
        <w:lastRenderedPageBreak/>
        <w:t xml:space="preserve">b) Formulada la demanda y contestada por el Letrado del Ayuntamiento de Madrid se acordó el recibimiento del proceso a prueba, tras lo cual formularon las partes sus respectivos escritos de conclusiones. </w:t>
      </w:r>
    </w:p>
    <w:p w:rsidR="00CF03FA" w:rsidRDefault="00CF03FA" w:rsidP="00CF03FA">
      <w:pPr>
        <w:pStyle w:val="TextoNormal"/>
      </w:pPr>
      <w:r>
        <w:t xml:space="preserve">c) Con fecha 21 de marzo de 2007 el órgano judicial dictó providencia acordando dar audiencia a las partes y al Ministerio público para que alegasen lo que desearan sobre la pertinencia de plantear cuestión de inconstitucionalidad, en relación con el art. 25 CE, respecto del art. 16.3 de la Ley 20/1998, de 27 de noviembre, de ordenación y coordinación de los transportes urbanos de la Comunidad de Madrid, a la vista de la amplia remisión que contiene respecto de la tipificación de infracciones relativas al servicio del taxi. </w:t>
      </w:r>
    </w:p>
    <w:p w:rsidR="00CF03FA" w:rsidRDefault="00CF03FA" w:rsidP="00CF03FA">
      <w:pPr>
        <w:pStyle w:val="TextoNormal"/>
      </w:pPr>
      <w:r>
        <w:t xml:space="preserve">Este proveído fue recurrido en súplica por el Fiscal, quien, mediante escrito de 30 de marzo de 2007, interesó su revocación y el dictado de una nueva providencia en la que se determinara y concretase en qué consiste la duda que albergaba el juzgador respecto del precepto supuestamente inconstitucional y la adecuada relación existente entre la norma cuestionada y el fallo del procedimiento en el que se suscita la duda. </w:t>
      </w:r>
    </w:p>
    <w:p w:rsidR="00CF03FA" w:rsidRDefault="00CF03FA" w:rsidP="00CF03FA">
      <w:pPr>
        <w:pStyle w:val="TextoNormal"/>
      </w:pPr>
      <w:r>
        <w:t xml:space="preserve">Por providencia de 26 de abril de 2007 se dio traslado a las partes del recurso de súplica formulado por el Ministerio público para que, en el plazo común de tres días, alegaran los que a su derecho conviniera. </w:t>
      </w:r>
    </w:p>
    <w:p w:rsidR="00CF03FA" w:rsidRDefault="00CF03FA" w:rsidP="00CF03FA">
      <w:pPr>
        <w:pStyle w:val="TextoNormal"/>
      </w:pPr>
      <w:r>
        <w:t xml:space="preserve">d) El Letrado del Ayuntamiento de Madrid manifestó, el 22 de mayo de 2007, que no deseaba impugnar el recurso de súplica ni oponerse a los términos en los que se planteó por el Fiscal, al tiempo que solicitaba la continuación del proceso sin promover cuestión de inconstitucionalidad por las razones expuestas en escrito de 13 de abril de 2007. </w:t>
      </w:r>
    </w:p>
    <w:p w:rsidR="00CF03FA" w:rsidRDefault="00CF03FA" w:rsidP="00CF03FA">
      <w:pPr>
        <w:pStyle w:val="TextoNormal"/>
      </w:pPr>
      <w:r>
        <w:t xml:space="preserve">e) Con fecha 8 de mayo de 2007 la parte actora expresó su opinión favorable al planteamiento de la cuestión de inconstitucionalidad. </w:t>
      </w:r>
    </w:p>
    <w:p w:rsidR="00CF03FA" w:rsidRDefault="00CF03FA" w:rsidP="00CF03FA">
      <w:pPr>
        <w:pStyle w:val="TextoNormal"/>
      </w:pPr>
      <w:r>
        <w:t xml:space="preserve">f) Por Auto de 25 de junio de 2007 se estimó el recurso de súplica interpuesto por el Ministerio público contra la providencia de 21 de marzo de 2007, confiriendo un nuevo plazo de diez días a las partes y al Fiscal para que formularan alegaciones. </w:t>
      </w:r>
    </w:p>
    <w:p w:rsidR="00CF03FA" w:rsidRDefault="00CF03FA" w:rsidP="00CF03FA">
      <w:pPr>
        <w:pStyle w:val="TextoNormal"/>
      </w:pPr>
      <w:r>
        <w:t xml:space="preserve">g) El Fiscal, mediante escrito de 9 de julio de 2007, evacuó el trámite conferido manifestando que no se oponía al planteamiento de la cuestión de inconstitucionalidad. </w:t>
      </w:r>
    </w:p>
    <w:p w:rsidR="00CF03FA" w:rsidRDefault="00CF03FA" w:rsidP="00CF03FA">
      <w:pPr>
        <w:pStyle w:val="TextoNormal"/>
      </w:pPr>
      <w:r>
        <w:t xml:space="preserve">Con fecha 11 de julio de 2007 la representación procesal de la parte actora indicó que no concurre uno de los requisitos necesarios para poder plantear cuestión de inconstitucionalidad, cual es el de que de la validez del precepto legal dependa el fallo, habida cuenta de que el art. 51.II m) de la Ordenanza reguladora del servicio de vehículos de alquiler con aparato taxímetro, aprobada por Acuerdo plenario de 28 de diciembre de 1979, fue anulado por el Tribunal Superior de Justicia de Madrid. </w:t>
      </w:r>
    </w:p>
    <w:p w:rsidR="00CF03FA" w:rsidRDefault="00CF03FA" w:rsidP="00CF03FA">
      <w:pPr>
        <w:pStyle w:val="TextoNormal"/>
      </w:pPr>
      <w:r>
        <w:t xml:space="preserve">El Letrado del Ayuntamiento de Madrid se ratificó en las manifestaciones expresadas en su escrito de 13 de abril de 2007. </w:t>
      </w:r>
    </w:p>
    <w:p w:rsidR="00CF03FA" w:rsidRDefault="00CF03FA" w:rsidP="00CF03FA">
      <w:pPr>
        <w:pStyle w:val="TextoNormal"/>
      </w:pPr>
      <w:r>
        <w:t>h) Finalmente, el 13 de julio de 2007, se dictó Auto de planteamiento de la presente cuestión de inconstitucionalidad.</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la parte argumentativa del Auto, tras reproducir los preceptos legales y el de la Ordenanza de aplicación al caso, y después de hacer algunas consideraciones generales sobre la potestad reglamentaria de las entidades locales, el órgano judicial promotor de la cuestión de inconstitucionalidad reconoce que el principio de tipicidad de las infracciones y sanciones es menos exigente en el campo del derecho administrativo sancionador que en el del derecho penal. Sin embargo en este caso se trata de una pura remisión en blanco a las diferentes ordenanzas municipales, “por lo que en realidad el principio de tipicidad está siendo materialmente ignorado, si bien puede alegarse que tiene una cobertura meramente </w:t>
      </w:r>
      <w:r>
        <w:lastRenderedPageBreak/>
        <w:t xml:space="preserve">formal en dicha remisión tan general que en realidad permite calificar como infracción cualquier conducta y fijar toda clase de sanciones”. </w:t>
      </w:r>
    </w:p>
    <w:p w:rsidR="00CF03FA" w:rsidRDefault="00CF03FA" w:rsidP="00CF03FA">
      <w:pPr>
        <w:pStyle w:val="TextoNormal"/>
      </w:pPr>
      <w:r>
        <w:t>Con respecto a las alegaciones formuladas por la parte actora acerca de la falta de concurrencia del requisito de relevancia por haber sido declarado ilegal el precepto de la Ordenanza municipal del Ayuntamiento de Madrid se afirma en el Auto que “de lo que se trata no es de la nulidad de la Ordenanza o de algunos de sus preceptos, con ser esto importante para el demandante, sino si puede el art. 16.3 de la Ley 20/1998, de 27 de noviembre, de ordenación y coordinación de los transportes urbanos de la Comunidad de Madrid, disponer una tan amplia delegación en la norma reglamentaria como a juicio del firmante ocurre, y es lo que motiva la elevación de esta cuestión al Tribunal Constitucional”.</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23 de octubre de 2007 la Sección Tercera de este Tribunal Constitucional acordó oír al Fiscal General del Estado para que, en el plazo de diez días, alegara lo que considerase conveniente acerca de la admisibilidad de la presente cuestión de inconstitucionalidad, por si fuese notoriamente infundada.</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El Fiscal General del Estado presentó su escrito de alegaciones el 19 de noviembre de 2007, interesando la inadmisión de la presente cuestión de inconstitucionalidad por las razones que seguidamente se sintetizan. </w:t>
      </w:r>
    </w:p>
    <w:p w:rsidR="00CF03FA" w:rsidRDefault="00CF03FA" w:rsidP="00CF03FA">
      <w:pPr>
        <w:pStyle w:val="TextoNormal"/>
      </w:pPr>
      <w:r>
        <w:t xml:space="preserve">Tras exponer pormenorizadamente los antecedentes procesales y el contenido del Auto de planteamiento de esta cuestión de inconstitucionalidad, destaca algunos de los aspectos más relevantes de la doctrina elaborada por este Tribunal Constitucional en torno al art. 25.1 CE. Hecho esto señala la naturaleza sancionadora de la resolución administrativa objeto del proceso judicial a quo, ya que la misma “se dicta con una finalidad represiva, es limitativa de derechos al estar basada en una valoración negativa de la conducta del infractor de la Ordenanza aplicada”. </w:t>
      </w:r>
    </w:p>
    <w:p w:rsidR="00CF03FA" w:rsidRDefault="00CF03FA" w:rsidP="00CF03FA">
      <w:pPr>
        <w:pStyle w:val="TextoNormal"/>
      </w:pPr>
      <w:r>
        <w:t xml:space="preserve">Sentado esto pasa a examinar si la Ordenanza reguladora del servicio de vehículos de alquiler con aparato taxímetro del Ayuntamiento de Madrid encuentra suficiente cobertura en el art. 16.3 de la Ley de la Asamblea de Madrid 20/1998, de 27 de noviembre, de ordenación y coordinación de los transportes urbanos. A este respecto señala que “es evidente que no cabe prever, de la dicción del precepto, con criterios lógicos, técnicos o de experiencia, de una manera razonable y sencilla, con suficiente seguridad, cuáles son las características y naturaleza de las conductas reprobadas y sus consecuencias”. Ahora bien, la constatación de estas insuficiencias no es razón suficiente para acordar la admisión de la presente cuestión de inconstitucionalidad a la vista de los términos en los que el órgano judicial promotor de la misma ha realizado el juicio de relevancia. </w:t>
      </w:r>
    </w:p>
    <w:p w:rsidR="00CF03FA" w:rsidRDefault="00CF03FA" w:rsidP="00CF03FA">
      <w:pPr>
        <w:pStyle w:val="TextoNormal"/>
      </w:pPr>
      <w:r>
        <w:t>A este respecto recuerda que el art. 16.3 de la Ley de ordenación y coordinación de los transportes urbanos de la Comunidad de Madrid es posterior en el tiempo a la Ordenanza del Ayuntamiento de Madrid, no siendo posible, en consecuencia, que aquella dé cobertura legal ex post facto a las infracciones tipificadas y a las sanciones contenidas en la norma reglamentaria. Siendo ello así no resulta determinante para la resolución del caso concreto dilucidar la constitucionalidad del precepto legal cuestionado. El órgano judicial bien podía haber apreciado por sí mismo, en uso de las facultades de control de la legalidad de los reglamentos que le atribuye la Ley reguladora de la jurisdicción contencioso-administrativa, la falta de cobertura legal del precepto reglamentario aplicado por el Ayuntamiento de Madrid. Al no concurrir los requisitos que permitan acreditar que se ha efectuado adecuadamente el juicio de relevancia resulta inadmisible la cuestión de inconstitucionalidad pues los términos de su planteamiento sugieren que se ha presentado ad cautelam.</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Según se ha expuesto en los antecedentes de esta resolución el Juzgado de lo Contencioso- Administrativo núm. 3 de Madrid plantea cuestión de inconstitucionalidad respecto del art.  16.3 de la Ley de la Comunidad de Madrid 20/1998, de 27 de noviembre, de ordenación y coordinación de los transportes urbanos de Madrid, por posible infracción del art. 25.1 CE. Esta cuestión de inconstitucionalidad debe ser inadmitida por las razones que seguidamente se exponen.</w:t>
      </w:r>
    </w:p>
    <w:p w:rsidR="00CF03FA" w:rsidRDefault="00CF03FA" w:rsidP="00CF03FA">
      <w:pPr>
        <w:pStyle w:val="TextoNormal"/>
      </w:pPr>
    </w:p>
    <w:p w:rsidR="00CF03FA" w:rsidRDefault="00CF03FA" w:rsidP="00CF03FA">
      <w:pPr>
        <w:pStyle w:val="TextoNormal"/>
      </w:pPr>
      <w:r w:rsidRPr="00CF03FA">
        <w:rPr>
          <w:rStyle w:val="NumeroAFNegritaCaracter"/>
        </w:rPr>
        <w:t>2</w:t>
      </w:r>
      <w:r>
        <w:t>. El art. 16 de la Ley de ordenación y coordinación de los transportes urbanos de la Comunidad de Madrid concreta la normativa reguladora del régimen sancionador en este sector. Concretamente en su apartado primero se declara de aplicación lo dispuesto en los arts. 138 a 144 de la Ley 16/1987, de 30 de julio, de ordenación de los transportes terrestres, y en sus normas de desarrollo en materia de régimen sancionador y de control de los transportes por carretera así como de las actividades auxiliares y complementarias de éstos. Seguidamente, en su apartado segundo, se introducen algunas precisiones “en orden a la aplicación de la citada normativa”. Y, finalmente, en el apartado tercero, objeto de esta cuestión de inconstitucionalidad, se dispone que “en relación con el transporte urbano de viajeros en automóviles de turismo amparado en licencias de auto-taxi, la enunciación de las infracciones contenidas en los puntos anteriores se entenderá sin perjuicio de las que, de acuerdo con lo dispuesto en la Ley reguladora de las bases del régimen local y demás preceptos legales aplicables, puedan desarrollar las ordenanzas o reglamentos municipales por incumplimiento de sus preceptos y que pudieran afectar a la configuración de la naturaleza del servicio, a la delimitación de su ámbito o a los requisitos exigidos para su otorgamiento y realización”.</w:t>
      </w:r>
    </w:p>
    <w:p w:rsidR="00CF03FA" w:rsidRDefault="00CF03FA" w:rsidP="00CF03FA">
      <w:pPr>
        <w:pStyle w:val="TextoNormal"/>
      </w:pPr>
      <w:r>
        <w:t>Por su parte la Ordenanza reguladora del servicio de vehículos de alquiler con aparato taxímetro del Ayuntamiento de Madrid tipifica en su art. 51.II m), como infracción muy grave, la conducta consistente en “buscar viajeros en estaciones y aeropuertos fuera de las paradas o situados habilitados al efecto”, estableciéndose para este supuesto la imposición de una sanción de suspensión del permiso municipal de conductor de tres a seis meses [art. 52 B)].</w:t>
      </w:r>
    </w:p>
    <w:p w:rsidR="00CF03FA" w:rsidRDefault="00CF03FA" w:rsidP="00CF03FA">
      <w:pPr>
        <w:pStyle w:val="TextoNormal"/>
      </w:pPr>
      <w:r>
        <w:t>Tanto la Administración local autora de la resolución objeto del recurso contencioso- administrativo como el órgano judicial que conoce del mismo y promueve esta cuestión de inconstitucionalidad entienden que la cobertura legal de la tipificación contenida en la Ordenanza municipal ha de buscarse en el art. 16.3 de la Ley de ordenación y coordinación de los transportes urbanos de la Comunidad de Madrid antes transcrito.  Partiendo de esta premisa en el Auto de planteamiento se achaca al precepto legal su carácter excesivamente abierto, hasta el punto de ver en él una remisión en blanco a la tipificación reglamentaria de infracciones administrativas, lo que resulta contrario a la doctrina establecida por este Tribunal Constitucional acerca de la garantía formal de la reserva de Ley en el ámbito sancionador, sintetizada en las SSTC 100/2003, de 2 de junio, FJ 3, y 242/2005, de 10 de octubre, a las que ahora nos remitimos.</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Expuestos los términos en los que se ha planteado la cuestión de inconstitucionalidad debemos recordar que en el trámite de audiencia a las partes y al Ministerio Fiscal, conferido en aplicación de lo dispuesto en el art. 35.2 LOTC, la actora adujo que el art. 51.II m) de la </w:t>
      </w:r>
      <w:r>
        <w:lastRenderedPageBreak/>
        <w:t>Ordenanza reguladora del servicio de vehículos de alquiler con aparato taxímetro del Ayuntamiento de Madrid ya no se encuentra vigente, al haber sido anulado por el Tribunal Superior de Justicia de la Comunidad de Madrid. Para acreditar esta afirmación la parte demandante aportó en ese mismo trámite copia de la Sentencia de la Sala de lo Contencioso-Administrativo (Sección Segunda) del Tribunal Superior de Justicia de Madrid de 24 de mayo de 2007, dictada en el recurso de apelación núm. 42-2007, en cuyo fundamento de derecho segundo se señala literalmente que:</w:t>
      </w:r>
    </w:p>
    <w:p w:rsidR="00CF03FA" w:rsidRDefault="00CF03FA" w:rsidP="00CF03FA">
      <w:pPr>
        <w:pStyle w:val="TextoNormal"/>
      </w:pPr>
      <w:r>
        <w:t>“La Ordenanza reguladora del servicio de vehículos de alquiler con aparato taxímetro considera en su art. 51-II-m) como infracción grave ‘Buscar viajeros en estaciones y aeropuertos fuera de las paradas o situados habilitados al efecto’. Respecto de esta concreta infracción el Tribunal entiende que no puede fundamentarse una sanción en dicha infracción ya que el citado artículo 51-II-m) de la Ordenanza reguladora del servicio de vehículos de alquiler con aparato taxímetro, aprobada por acuerdo plenario de 28 de diciembre de 1979 no existe pues ha sido anulado por este Tribunal en Sentencias de 18 de diciembre de 1997, y otras posteriores como la de 18 de noviembre de 1998, 16 de septiembre de 1999, 14 de diciembre de 2000, y 3 y 24 de abril de 2001 y 14 de mayo de 2002”.</w:t>
      </w:r>
    </w:p>
    <w:p w:rsidR="00CF03FA" w:rsidRDefault="00CF03FA" w:rsidP="00CF03FA">
      <w:pPr>
        <w:pStyle w:val="TextoNormal"/>
      </w:pPr>
      <w:r>
        <w:t>Esta alegación ha sido respondida en el Auto de planteamiento de la presente cuestión de inconstitucionalidad en los siguientes términos: “la parte actora señala que el art. 51.II.m) de la Ordenanza municipal reguladora del servicio de vehículos de alquiler con aparato taxímetro (es decir, Taxis en lenguaje normal) ha sido declarado contrario a la Ley por diversas Sentencias del Tribunal Superior de Justicia de Madrid; ahora bien, de lo que se trata no es de la nulidad de la Ordenanza o de algunos de sus preceptos, con ser esto importante para el demandante, sino si puede el art. 16.3 de la Ley 20/1998, de 27 de noviembre, de ordenación y coordinación de los transportes urbanos de la Comunidad de Madrid, disponer una tan amplia delegación reglamentaria como a juicio del firmante ocurre, y es lo que motiva la elevación de esta cuestión al Tribunal Constitucional”.</w:t>
      </w:r>
    </w:p>
    <w:p w:rsidR="00CF03FA" w:rsidRDefault="00CF03FA" w:rsidP="00CF03FA">
      <w:pPr>
        <w:pStyle w:val="TextoNormal"/>
      </w:pPr>
    </w:p>
    <w:p w:rsidR="00CF03FA" w:rsidRDefault="00CF03FA" w:rsidP="00CF03FA">
      <w:pPr>
        <w:pStyle w:val="TextoNormal"/>
      </w:pPr>
      <w:r w:rsidRPr="00CF03FA">
        <w:rPr>
          <w:rStyle w:val="NumeroAFNegritaCaracter"/>
        </w:rPr>
        <w:t>4</w:t>
      </w:r>
      <w:r>
        <w:t>. La respuesta dada por el órgano judicial a la alegación formulada en su día por la parte actora pone de manifiesto una inadecuada formulación del juicio de relevancia, determinante ahora de la inadmisión de la presente cuestión de inconstitucionalidad.</w:t>
      </w:r>
    </w:p>
    <w:p w:rsidR="00CF03FA" w:rsidRDefault="00CF03FA" w:rsidP="00CF03FA">
      <w:pPr>
        <w:pStyle w:val="TextoNormal"/>
      </w:pPr>
      <w:r>
        <w:t>Al respecto debemos señalar que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31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 AATC 24/2003, de 28 de enero, FJ 3; 25/2003, de 28 de enero, FJ 3, y 206/2005, de 10 de mayo, 206/2005, de 10 de mayo, FJ 3, entre otros)” (STC 166/2007, de 4 de julio, FJ 7).</w:t>
      </w:r>
    </w:p>
    <w:p w:rsidR="00CF03FA" w:rsidRDefault="00CF03FA" w:rsidP="00CF03FA">
      <w:pPr>
        <w:pStyle w:val="TextoNormal"/>
      </w:pPr>
      <w:r>
        <w:t xml:space="preserve">En esta ocasión el órgano judicial promotor de la cuestión de inconstitucionalidad sostiene que lo relevante no es si el precepto reglamentario se encuentra efectivamente vigente, </w:t>
      </w:r>
      <w:r>
        <w:lastRenderedPageBreak/>
        <w:t>“sino si puede el art. 16.3 de la Ley 20/1998, de 27 de noviembre, de ordenación y coordinación de los transportes urbanos de la Comunidad de Madrid, disponer una tan amplia delegación en la norma reglamentaria”. Esta forma de razonar es propia de un control abstracto de constitucionalidad, para plantear el cual, como hemos recordado, los órganos judiciales carecen de legitimación.</w:t>
      </w:r>
    </w:p>
    <w:p w:rsidR="00CF03FA" w:rsidRDefault="00CF03FA" w:rsidP="00CF03FA">
      <w:pPr>
        <w:pStyle w:val="TextoNormal"/>
      </w:pPr>
      <w:r>
        <w:t>Así, discutiéndose en el proceso contencioso-administrativo a quo la conformidad a Derecho de la resolución administrativa impugnada, sobre cuyo carácter sancionador no albergan dudas las partes comparecientes ni el Juzgado de lo Contencioso-Administrativo núm. 3 de Madrid, resulta capital determinar si la norma en la que se contiene la tipificación del ilícito administrativo cuya comisión por el demandante ha determinado la imposición de la sanción se encontraba vigente al momento de producirse los hechos. Esta norma no es otra que el art. 51.II m) de la Ordenanza municipal reguladora del servicio de vehículos de alquiler con aparato taxímetro del Ayuntamiento de Madrid, pues es evidente que el art. 16.3 de la Ley de ordenación y coordinación de los transportes urbanos de la Comunidad de Madrid no define infracción administrativa alguna.</w:t>
      </w:r>
    </w:p>
    <w:p w:rsidR="00CF03FA" w:rsidRDefault="00CF03FA" w:rsidP="00CF03FA">
      <w:pPr>
        <w:pStyle w:val="TextoNormal"/>
      </w:pPr>
      <w:r>
        <w:t>Si en el momento de cometerse los hechos no existía norma que los tipificara como un ilícito administrativo, porque la Ordenanza municipal había sido judicialmente anulada, el art. 16.3 de la Ley autonómica no resultará en absoluto aplicable al caso, pues ya hemos advertido que no contiene una tipificación de conductas merecedoras de una sanción administrativa. De suerte que la duda planteada por el órgano judicial no versa sobre una norma con rango legal relevante para la resolución del caso sometido a su conocimiento y de cuya validez dependa el fallo que haya de emitir. Lo que pone de relieve el carácter manifiestamente abstracto de esa duda y determina la inadmisión a trámite de la presente cuestión de inconstitucionalidad.</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presente cuestión de inconstitucionalidad.</w:t>
      </w:r>
    </w:p>
    <w:p w:rsidR="00CF03FA" w:rsidRDefault="00CF03FA" w:rsidP="00CF03FA">
      <w:pPr>
        <w:pStyle w:val="TextoNormal"/>
      </w:pPr>
    </w:p>
    <w:p w:rsidR="00CF03FA" w:rsidRDefault="00CF03FA" w:rsidP="00CF03FA">
      <w:pPr>
        <w:pStyle w:val="TextoNormal"/>
      </w:pPr>
      <w:r>
        <w:t>Publíquese en el “Boletín Oficial del Estado”.</w:t>
      </w:r>
    </w:p>
    <w:p w:rsidR="00CF03FA" w:rsidRDefault="00CF03FA" w:rsidP="00CF03FA">
      <w:pPr>
        <w:pStyle w:val="TextoNormal"/>
      </w:pPr>
      <w:r>
        <w:t>Madrid, a veintidós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86" w:name="AUTO_2008_25"/>
      <w:r>
        <w:lastRenderedPageBreak/>
        <w:t>AUTO 25/2008, de 23 de enero de 2008</w:t>
      </w:r>
    </w:p>
    <w:bookmarkEnd w:id="86"/>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ECLI:ES:TC:2008:25A</w:t>
      </w:r>
    </w:p>
    <w:p w:rsidR="00CF03FA" w:rsidRDefault="00CF03FA" w:rsidP="00CF03FA">
      <w:pPr>
        <w:pStyle w:val="SntesisDescriptiva"/>
      </w:pPr>
    </w:p>
    <w:p w:rsidR="00CF03FA" w:rsidRDefault="00CF03FA" w:rsidP="00CF03FA">
      <w:pPr>
        <w:pStyle w:val="SntesisDescriptiva"/>
      </w:pPr>
      <w:r>
        <w:t>Excms. Srs.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Acepta una abstención en el recurso de amparo 7647-2005, promovido por doña Josefa Rodríguez Prada.</w:t>
      </w:r>
    </w:p>
    <w:p w:rsidR="00CF03FA" w:rsidRDefault="00CF03FA" w:rsidP="00CF03FA">
      <w:pPr>
        <w:pStyle w:val="SntesisDescriptiva"/>
      </w:pPr>
    </w:p>
    <w:p w:rsidR="00CF03FA" w:rsidRDefault="00CF03FA" w:rsidP="00CF03FA">
      <w:pPr>
        <w:pStyle w:val="SntesisAnaltica"/>
      </w:pPr>
      <w:r>
        <w:t>Abstención de magistrados del Tribunal Constitucional, acepta.</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19 de abril de 2006, doña Josefa Rodríguez Prada, representada por la Procuradora doña Mónica Paloma Fente Delgado y asistida por el Letrado don José Luis Mazón Costa, interpuso demanda de amparo constitucional contra Sentencia y Auto de la Sección Primera Sala de lo Contencioso- Administrativo del Tribunal Superior de Justicia de Murcia recaída en procedimiento ordinario 1569-2001.</w:t>
      </w:r>
    </w:p>
    <w:p w:rsidR="00CF03FA" w:rsidRDefault="00CF03FA" w:rsidP="00CF03FA">
      <w:pPr>
        <w:pStyle w:val="TextoNormal"/>
      </w:pPr>
    </w:p>
    <w:p w:rsidR="00CF03FA" w:rsidRDefault="00CF03FA" w:rsidP="00CF03FA">
      <w:pPr>
        <w:pStyle w:val="TextoNormal"/>
      </w:pPr>
      <w:r w:rsidRPr="00CF03FA">
        <w:rPr>
          <w:rStyle w:val="NumeroAFNegritaCaracter"/>
        </w:rPr>
        <w:t>2</w:t>
      </w:r>
      <w:r>
        <w:t>. Por escrito de 9 de octubre de 2007, el Excmo. Sr. don Roberto García-Calvo y Montiel, Magistrado de la Sala Primera del Tribunal Constitucional, manifestó formalmente su voluntad de abstenerse en el conocimiento del recurso por entender que concurría en su persona la causa 9ª del art. 219 LOPJ, enemistad manifiesta, hacia el Letrado que suscribe el recurso.</w:t>
      </w:r>
    </w:p>
    <w:p w:rsidR="00CF03FA" w:rsidRDefault="00CF03FA" w:rsidP="00CF03FA">
      <w:pPr>
        <w:pStyle w:val="TextoNormal"/>
      </w:pPr>
    </w:p>
    <w:p w:rsidR="00CF03FA" w:rsidRDefault="00CF03FA" w:rsidP="00CF03FA">
      <w:pPr>
        <w:pStyle w:val="TextoNormal"/>
      </w:pPr>
      <w:r w:rsidRPr="00CF03FA">
        <w:rPr>
          <w:rStyle w:val="NumeroAFNegritaCaracter"/>
        </w:rPr>
        <w:t>3</w:t>
      </w:r>
      <w:r>
        <w:t>. Por Acuerdo de fecha 11 de octubre de 2007 de la Excma. Sra. Presidenta del Tribunal Constitucional, se designó como sustituto al Excmo. Sr. don Manuel Aragón Reyes, para resolver sobre la abstención formulada y, en su caso, sobre la admisibilidad del mencionado recurso.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De acuerdo con lo previsto en el art. 219.9 de la Ley Orgánica del Poder Judicial (LOPJ), que resulta de aplicación a los procesos constitucionales en virtud de lo dispuesto en el art. 80 LOTC, es causa de abstención y, en su caso de recusación, la "amistad íntima o la enemistad manifiesta con cualquiera de las partes". Como se ha indicado en los antecedentes, el Excmo. Sr. don Roberto García-Calvo y Montiel dirigió un escrito a la Presidenta del Tribunal por el que ponía de manifiesto su voluntad de abstenerse en el recurso de amparo núm. 7647-2005 al considerar que, al existir una enemistad manifiesta con el Letrado que asiste al demandante de amparo en este recurso, este motivo le permitía invocar la causa </w:t>
      </w:r>
      <w:r>
        <w:lastRenderedPageBreak/>
        <w:t>de abstención alegada con el fin de preservar la imparcialidad que debe presidir la actuación jurisdiccional.</w:t>
      </w:r>
    </w:p>
    <w:p w:rsidR="00CF03FA" w:rsidRDefault="00CF03FA" w:rsidP="00CF03FA">
      <w:pPr>
        <w:pStyle w:val="TextoNormal"/>
      </w:pPr>
      <w:r>
        <w:t>Este Tribunal ha tenido ocasión de pronunciarse sobre si la enemistad manifiesta o la amistad íntima afecta a la imparcialidad judicial cuando la misma se aduce no en relación con la parte, sino con el Letrado de ésta (AATC 265/1988, de 29 de febrero; 117/1997, de 23 de abril; 204/1998, de 29 de septiembre) o con el Juez instructor de la causa penal en la que recayó la Sentencia impugnada en amparo (AATC 115/2002, de 10 de julio; 136/2002, de 22 de julio) y ha descartado que, en estos casos, pueda vulnerarse el derecho fundamental al Juez imparcial al entender que "la imparcialidad lo es respecto de quien solicita la tutela judicial y no en relación con quienes, colaborando con la justicia, representan y defienden a los justiciables" (ATC 117/1997, de 23 de abril, FJ único). De ahí que se haya sostenido que como el "Letrado ni es parte ni es justiciable, sino asesor técnico de quien es una y otra cosa ... el legislador no incumple ni viola ningún mandato constitucional al no reconocerle el derecho a recusar" (ATC 265/1988, de 29 de febrero), y que también se haya afirmado "que la falta de previsión legal, como motivo de recusación, de la enemistad manifiesta de los Jueces y Magistrados con los Letrados de las partes que intervengan en el pleito o causa no supone lesión alguna del derecho fundamental a la imparcialidad del juez, que sólo asiste al justiciable" (ATC 204/1998, de 29 de septiembre, FJ 4).</w:t>
      </w:r>
    </w:p>
    <w:p w:rsidR="00CF03FA" w:rsidRDefault="00CF03FA" w:rsidP="00CF03FA">
      <w:pPr>
        <w:pStyle w:val="TextoNormal"/>
      </w:pPr>
      <w:r>
        <w:t>De acuerdo con la doctrina expuesta es claro que la amistad íntima o la enemistad manifiesta del Juez con los Letrados de las partes o con otros sujetos que intervengan o hayan podido intervenir en el proceso no conlleva, en sí misma, una pérdida de su imparcialidad, pues la existencia de tales relaciones no determina que el Juez no vaya enjuiciar el asunto con la ecuanimidad que le exige el ejercicio de su función. Por esta razón la falta de previsión legal de esta causa de abstención y recusación no puede considerarse contraria al derecho al juez imparcial que garantiza el art. 24.2 CE. Ahora bien, de ello no cabe deducir que la existencia de tales relaciones no pueda, en ciertos casos, determinar la pérdida de imparcialidad subjetiva del Juez.  La imparcialidad subjetiva -entendiendo este concepto en el sentido que lo emplea el Tribunal Europeo de Derechos Humanos, como la convicción personal del juez, lo que piensa en su fuero interno, a fin de excluir que internamente haya tomado partido o vaya a basar su decisión en prejuicios indebidos-, salvo que se pruebe lo contrario, se presume (STC 162/1999, de 27 de septiembre, FJ 5; SSTEDH de 1 octubre de 1982, caso Piersack, § 30; 26 de octubre de 1984, caso De Cubber, § 24, por todas). De ahí que sólo en los supuestos en los que existan circunstancias que puedan hacer surgir el legítimo temor de que la amistad íntima o enemistad manifiesta del Juez con otros sujetos que intervienen en el proceso pueda conllevar que el criterio de juicio no sea la imparcial aplicación del ordenamiento jurídico -circunstancias que deberán ser examinadas en cada caso concreto- podrá considerarse que el Juez no reúne las condiciones de idoneidad subjetiva y que, por tanto, el derecho de la parte al juez imparcial le impide conocer del asunto.</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En el presente caso, como ya se ha indicado, no estamos ante una recusación sino ante una abstención ya que es el Magistrado don Roberto García-Calvo y Montiel, quien ha manifestado formalmente su voluntad de abstenerse en el conocimiento del recurso de amparo núm. 7647-2005 y en todas sus incidencias aduciendo su enemistad manifiesta con el Letrado de la parte recurrente. Este motivo, como también se ha señalado, no constituye una causa de abstención legalmente prevista. Ahora bien, ello no impide que en este caso deba considerarse justificada la abstención formulada. La declaración efectuada por el Sr. García-Calvo por la que manifiesta su voluntad de abstenerse en el conocimiento de este recurso de amparo evidencia que el propio Magistrado expresa su falta de idoneidad para poder </w:t>
      </w:r>
      <w:r>
        <w:lastRenderedPageBreak/>
        <w:t>enjuiciar este asunto con ecuanimidad, por lo que ante la duda de que la enemistad manifiesta del Magistrado con el Letrado de la parte le impida ejercer su función imparcialmente -duda implícitamente formulada por el propio Magistrado al manifestar su voluntad de abstenerse por este motivo-, la abstención formulada debe entenderse justificada.</w:t>
      </w:r>
    </w:p>
    <w:p w:rsidR="00CF03FA" w:rsidRDefault="00CF03FA" w:rsidP="00CF03FA">
      <w:pPr>
        <w:pStyle w:val="TextoNormal"/>
      </w:pPr>
    </w:p>
    <w:p w:rsidR="00CF03FA" w:rsidRDefault="00CF03FA" w:rsidP="00CF03FA">
      <w:pPr>
        <w:pStyle w:val="TextoNormal"/>
      </w:pPr>
      <w:r w:rsidRPr="00CF03FA">
        <w:rPr>
          <w:rStyle w:val="NumeroAFNegritaCaracter"/>
        </w:rPr>
        <w:t>3</w:t>
      </w:r>
      <w:r>
        <w:t>. La anterior doctrina ya ha sido aplicada por este Tribunal en Autos 380/2005, de 25 de octubre, y 244/2005, de 7 de junio.</w:t>
      </w:r>
    </w:p>
    <w:p w:rsidR="00CF03FA" w:rsidRDefault="00CF03FA" w:rsidP="00CF03FA">
      <w:pPr>
        <w:pStyle w:val="TextoNormal"/>
      </w:pPr>
    </w:p>
    <w:p w:rsidR="00CF03FA" w:rsidRDefault="00CF03FA" w:rsidP="00CF03FA">
      <w:pPr>
        <w:pStyle w:val="TextoNormal"/>
      </w:pPr>
      <w:r>
        <w:t>Por todo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Declarar justificada la abstención para el conocimiento del recurso de amparo núm. 7647- 2005 formulada por el Excmo. Sr. don Roberto García-Calvo y Montiel, quedando definitivamente apartado del referido recurso y de todas sus incidencias.</w:t>
      </w:r>
    </w:p>
    <w:p w:rsidR="00CF03FA" w:rsidRDefault="00CF03FA" w:rsidP="00CF03FA">
      <w:pPr>
        <w:pStyle w:val="TextoNormal"/>
      </w:pPr>
      <w:r>
        <w:t>Contra esta resolución no cabe interponer recurso alguno de conformidad con lo dispuesto en el art. 221.4 LOPJ.</w:t>
      </w:r>
    </w:p>
    <w:p w:rsidR="00CF03FA" w:rsidRDefault="00CF03FA" w:rsidP="00CF03FA">
      <w:pPr>
        <w:pStyle w:val="TextoNormal"/>
      </w:pPr>
    </w:p>
    <w:p w:rsidR="00CF03FA" w:rsidRDefault="00CF03FA" w:rsidP="00CF03FA">
      <w:pPr>
        <w:pStyle w:val="TextoNormal"/>
      </w:pPr>
      <w:r>
        <w:t>Madrid, a veintitrés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87" w:name="AUTO_2008_26"/>
      <w:r>
        <w:lastRenderedPageBreak/>
        <w:t>AUTO 26/2008, de 23 de enero de 2008</w:t>
      </w:r>
    </w:p>
    <w:bookmarkEnd w:id="87"/>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ECLI:ES:TC:2008:26A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Acuerda el desistimiento parcial en el recurso de amparo 1209-2007.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88" w:name="AUTO_2008_27"/>
      <w:r>
        <w:lastRenderedPageBreak/>
        <w:t>AUTO 27/2008, de 28 de enero de 2008</w:t>
      </w:r>
    </w:p>
    <w:bookmarkEnd w:id="88"/>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ECLI:ES:TC:2008:27A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Inadmite a trámite el recurso de amparo 3553-2004, promovido por don Luis Miguel Suárez Lema y otro en pleito sobre herencia.</w:t>
      </w:r>
    </w:p>
    <w:p w:rsidR="00CF03FA" w:rsidRDefault="00CF03FA" w:rsidP="00CF03FA">
      <w:pPr>
        <w:pStyle w:val="SntesisDescriptiva"/>
      </w:pPr>
    </w:p>
    <w:p w:rsidR="00CF03FA" w:rsidRDefault="00CF03FA" w:rsidP="00CF03FA">
      <w:pPr>
        <w:pStyle w:val="SntesisAnaltica"/>
      </w:pPr>
      <w:r>
        <w:t>Inadmisión de recurso de amparo: causas de inadmisión. Intangibilidad de las sentencias: cosa juzgada material. Sucesiones: testamento. Derecho a la tutela judicial efectiva: intangibilidad de las sentencias, respetado.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2 de junio de 2004 doña María Luisa Noya Otero, Procuradora de los Tribunales, en nombre y representación de don Luis Miguel y don Fernando Suárez Lema, interpuso recurso de amparo contra la Sentencia de 7 de mayo de 2004 de la Audiencia Provincial de A Coruña en el rollo de apelación núm. 539-2004 que estima el recurso de apelación formulado por los hermanos Sar Romero contra la Sentencia dictada por el Juzgado de Primera Instancia e Instrucción núm. 1 de Corcubión de fecha 26 de diciembre de 2003, así como la providencia de 21 de mayo de 2004 del mismo órgano judicial desestimando el recurso de aclaración intentado contra la misma.</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en que se fundamenta la pretensión de amparo son, en síntesis, los siguientes: </w:t>
      </w:r>
    </w:p>
    <w:p w:rsidR="00CF03FA" w:rsidRDefault="00CF03FA" w:rsidP="00CF03FA">
      <w:pPr>
        <w:pStyle w:val="TextoNormal"/>
      </w:pPr>
      <w:r>
        <w:t xml:space="preserve">a) Don José Luis Romero Castelo falleció el día 18 de junio de 1993 bajo testamento de 13 de agosto de 1992, en el que instituyó como legatarios de sus bienes a sus tres sobrinos Francisco Javier, Wenceslao y Aureliana Sar Romero, y como herederos por iguales partes a sus sobrinos Francisco Javier y Wenceslao Sar Romero, con cláusula de sustitución a los legatarios y herederos nombrados por sus respectivos descendientes, y señalando expresamente que de su matrimonio con doña Dolores Muiño Sambade, de la que se había divorciado, carece de descendientes. </w:t>
      </w:r>
    </w:p>
    <w:p w:rsidR="00CF03FA" w:rsidRDefault="00CF03FA" w:rsidP="00CF03FA">
      <w:pPr>
        <w:pStyle w:val="TextoNormal"/>
      </w:pPr>
      <w:r>
        <w:t xml:space="preserve">b) A instancia de los hermanos Fernando y Luis Suárez Lema, hoy recurrentes en amparo, se siguió contra los hermanos Sar Romero juicio declarativo de menor cuantía núm. 189-1994, ante el Juzgado de Primera Instancia núm. 1 de Corcubión. Los actores formulaban demanda de reclamación de filiación extramatrimonial y de nulidad de las disposiciones de carácter patrimonial del testamento del Sr. Romero Castelo por preterición no intencional de todos los hijos o descendientes. En Sentencia de 8 de agosto de 1995 se desestima la demanda. </w:t>
      </w:r>
    </w:p>
    <w:p w:rsidR="00CF03FA" w:rsidRDefault="00CF03FA" w:rsidP="00CF03FA">
      <w:pPr>
        <w:pStyle w:val="TextoNormal"/>
      </w:pPr>
      <w:r>
        <w:lastRenderedPageBreak/>
        <w:t xml:space="preserve">Interpuesto recurso de apelación, la Audiencia Provincial de A Coruña dicta Sentencia en fecha 28 de julio de 1999, revocando la anterior Sentencia y estimando el recurso de apelación. La Sentencia de apelación parte de la base, expresamente consignada en su FJ 4, de que se acreditó la preterición no intencional de todos los hijos, y decretó la nulidad de las disposiciones patrimoniales del testamento del causante. </w:t>
      </w:r>
    </w:p>
    <w:p w:rsidR="00CF03FA" w:rsidRDefault="00CF03FA" w:rsidP="00CF03FA">
      <w:pPr>
        <w:pStyle w:val="TextoNormal"/>
      </w:pPr>
      <w:r>
        <w:t xml:space="preserve">Se interpuso recurso de casación por los hermanos Sar Romero, que fue inadmitido por Auto del Tribunal Supremo de fecha 18 de febrero de 2003. </w:t>
      </w:r>
    </w:p>
    <w:p w:rsidR="00CF03FA" w:rsidRDefault="00CF03FA" w:rsidP="00CF03FA">
      <w:pPr>
        <w:pStyle w:val="TextoNormal"/>
      </w:pPr>
      <w:r>
        <w:t xml:space="preserve">c) Igualmente, a instancia de don José Luis Castiñeiras Lires, se tramitó ante el Juzgado de Primera Instancia núm. 1 de Corcubión el juicio declarativo de menor cuantía núm. 35-1995, al que se acumuló el de igual clase 87-1995. En la demanda, dirigida contra los hermanos Sar Romero y contra los hermanos Suárez Lema, el Sr. Castiñeiras formuló reclamación de paternidad y del tercio de legítima y mejora en la herencia. Este procedimiento finalizó por Sentencia dictada por el Juzgado de Primera Instancia núm. 1 de Corcubión el día 30 de junio de 1999, que estimó parcialmente la demanda. Dicha Sentencia fue parcialmente revocada por la dictada en fecha 27 de septiembre de 2000 por la Sección Segunda de la Audiencia Provincial de A Coruña, que declara que el Sr. Castiñeiras Lires, como hijo no matrimonial de don José Luis Romero Castelo es heredero forzoso del mismo y que, como tal, tiene derecho a percibir la institución de heredero en proporción a la parte de legítima estricta en la masa computable y, que, de ser necesario, se reducirán los legados, mandas y demás disposiciones testamentarias, manteniéndose el resto de los pronunciamientos de la Sentencia de instancia. </w:t>
      </w:r>
    </w:p>
    <w:p w:rsidR="00CF03FA" w:rsidRDefault="00CF03FA" w:rsidP="00CF03FA">
      <w:pPr>
        <w:pStyle w:val="TextoNormal"/>
      </w:pPr>
      <w:r>
        <w:t xml:space="preserve">d) En el procedimiento que ahora se trae ante este Tribunal Constitucional, los Sres. Suárez Lema, recurrentes en amparo, interpusieron frente a los hermanos Sar Romero y al Sr. Castiñeiras demanda de juicio ordinario — núm. 131-2003, sustanciado ante el Juzgado de Primera Instancia núm. 1 de Corcubión— por el que se ejercitaba una “acción declarativa de dominio, de nulidad de las escrituras de aceptación de la herencia, división horizontal, adjudicación y partición de la herencia de José Luis Romero Castelo, de 4 de febrero de 1994, otorgada por los hermanos Sar Romero, así como de las inscripciones de dominio sobre los bienes del caudal relicto del causante practicadas a favor de los mismos, instando su condena a cesar en el uso, ocupación y disposición de los bienes muebles e inmuebles integrantes de la herencia y su entrega a los actores, herencia yacente y comunidad hereditaria”. </w:t>
      </w:r>
    </w:p>
    <w:p w:rsidR="00CF03FA" w:rsidRDefault="00CF03FA" w:rsidP="00CF03FA">
      <w:pPr>
        <w:pStyle w:val="TextoNormal"/>
      </w:pPr>
      <w:r>
        <w:t xml:space="preserve">Los demandantes mantienen que los codemandados, hermanos Sar Romero, carecen de derecho hereditario alguno sobre la herencia del causante, ya que así lo estableció la Sentencia de la Sección Tercera de la Audiencia Provincial de A Coruña de 28 de julio de 1999, cuando, después de reconocerles la cualidad de hijos no matrimoniales de don José Luis Romero, decretó la nulidad de las cláusulas patrimoniales contenidas en su testamento. </w:t>
      </w:r>
    </w:p>
    <w:p w:rsidR="00CF03FA" w:rsidRDefault="00CF03FA" w:rsidP="00CF03FA">
      <w:pPr>
        <w:pStyle w:val="TextoNormal"/>
      </w:pPr>
      <w:r>
        <w:t xml:space="preserve">Los hermanos Sar Romero no comparten tal argumentación y sostienen que, pese a dicho pronunciamiento, la Sentencia de la Sección Segunda de la Audiencia Provincial de A Coruña de 17 de septiembre de 2000 reconoció a don José Luis Castiñeiras Lires la cualidad de hijo de don José Luis Romero Castelo y de heredero forzoso de él, sin afectar a los restantes pronunciamientos de la Sentencia de primera instancia de 30 de junio de 1999, que mantenía la institución de heredero efectuada a favor de los hermanos Sar Romero, con reducción de los legados, mandas y demás disposiciones testamentarias, y que ello significa que mantienen su cualidad de herederos respecto del tercio de libre disposición de los bienes relictos, sin perjuicio de las legítimas de los tres hijos del fallecido Sr. Romero Castelo. </w:t>
      </w:r>
    </w:p>
    <w:p w:rsidR="00CF03FA" w:rsidRDefault="00CF03FA" w:rsidP="00CF03FA">
      <w:pPr>
        <w:pStyle w:val="TextoNormal"/>
      </w:pPr>
      <w:r>
        <w:t xml:space="preserve">e) Convocadas las partes a la celebración de la audiencia previa, se alegó por los codemandados, los hermanos Sar Romero, la excepción de cosa juzgada, ya que entendían que </w:t>
      </w:r>
      <w:r>
        <w:lastRenderedPageBreak/>
        <w:t xml:space="preserve">la cuestión sobre su cualidad hereditaria y su consiguiente derecho de propiedad sobre los bienes de la herencia del difunto causante era una cuestión discutida y decidida en anteriores procesos judiciales y que, por consiguiente, no puede volver a ser discutida al impedirlo el instituto de la cosa juzgada. Por Auto del Juzgado de Primera Instancia núm. 1 de Corcubión de 23 de septiembre de 2003 se desestimó la excepción de cosa juzgada, acordándose la continuación del juicio, resolución contra la que se interpuso recurso de reposición, que fue desestimado por Auto de 27 de octubre de 2003. </w:t>
      </w:r>
    </w:p>
    <w:p w:rsidR="00CF03FA" w:rsidRDefault="00CF03FA" w:rsidP="00CF03FA">
      <w:pPr>
        <w:pStyle w:val="TextoNormal"/>
      </w:pPr>
      <w:r>
        <w:t xml:space="preserve">f) Continuado el procedimiento, el Juzgado dictó Sentencia el 26 de diciembre de 2003 estimando la demanda interpuesta por los Sres. Suárez Lema. La Sentencia declara que los demandados Sar Romero no son herederos ni legatarios de don José Luis Romero Castelo y carecen de derechos de propiedad sobre los bienes de la herencia al haber sido declaradas nulas, por la Sentencia de la Audiencia Provincial de A Coruña de 27 de julio de 1999, las disposiciones del testamento del causante que servían de soporte jurídico a su derecho, por lo que considera que quedan sin cobertura igualmente los negocios jurídicos otorgados por los hermanos Sar Romero sobre los bienes que trajeron causa del instrumento sucesorio anulado. </w:t>
      </w:r>
    </w:p>
    <w:p w:rsidR="00CF03FA" w:rsidRDefault="00CF03FA" w:rsidP="00CF03FA">
      <w:pPr>
        <w:pStyle w:val="TextoNormal"/>
      </w:pPr>
      <w:r>
        <w:t xml:space="preserve">g) Interpuesto recurso por los hermanos Sar Romero se dicta por la Sección Cuarta de la Audiencia Provincial de A Coruña Sentencia de 7 de mayo de 2004, ahora recurrida en amparo. La Sentencia declara que se ha “de resolver sobre el acierto de la Sentencia apelada, cuando atribuyendo eficacia de cosa juzgada a la Sentencia dictada por la Sección Tercera de la Audiencia Provincial, de efectos más radicales y primera en el tiempo, no en la firmeza, considera que debe declararse que son nulas las disposiciones de contenido patrimonial del testamento del causante, lo que necesariamente, según la tesis del Juzgado, afecta al otro proceso seguido entre las partes en virtud de la fuerza expansiva de cosa juzgada”. </w:t>
      </w:r>
    </w:p>
    <w:p w:rsidR="00CF03FA" w:rsidRDefault="00CF03FA" w:rsidP="00CF03FA">
      <w:pPr>
        <w:pStyle w:val="TextoNormal"/>
      </w:pPr>
      <w:r>
        <w:t xml:space="preserve">La Sala desestima la cuestión de la cosa juzgada por entender que no concurren los elementos identitarios que componen la naturaleza de la institución. A continuación procede a la integración de las referidas dos Sentencias de la Audiencia Provincial y en su fallo establece los bienes que integran la comunidad hereditaria del difunto don José Luis Romero Castelo; señala que don Luis Miguel y don Fernando Suárez Lema, así como don José Luis Castiñeira, son herederos forzosos del causante, en su condición de herederos legítimos del mismo en los tercios de legítima estricta y mejora; y anula la institución de heredero efectuada en el testamento del causante de 13 de agosto de 1992, aunque preservando la validez de las mandas, legados y disposiciones testamentarias dejadas a favor de los hermanos Francisco Javier, Wenceslao y Aurelia Sar Romero en cuanto no sean inoficiosas y, por lo tanto, no lesionen la legítima de los hijos no matrimoniales del causante. </w:t>
      </w:r>
    </w:p>
    <w:p w:rsidR="00CF03FA" w:rsidRDefault="00CF03FA" w:rsidP="00CF03FA">
      <w:pPr>
        <w:pStyle w:val="TextoNormal"/>
      </w:pPr>
      <w:r>
        <w:t>h) Los hermanos Suárez Lema intentaron la aclaración de la Sentencia por no indicarse si el señor Castiñeiras participaba sólo en la legítima estricta, como declaraba la Sentencia anterior, o si ahora su participación se extendía al tercio de mejora, en contra de lo que, a su juicio, había dispuesto la Audiencia Provincial el 27 de septiembre de 2000. Por providencia de 21 de mayo de 2004 se desestima la aclaración, remitiendo al texto de la Sentencia dictada al estar resuelto lo planteado en el fallo, letra b), y en los fundamentos 3 a 5.</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Los hermanos Suárez Lema interponen recurso de amparo contra la Sentencia de 7 de mayo de 2004, por vulneración del derecho a la tutela judicial efectiva (arts. 24.1 CE) en su vertiente de derecho a la ejecución de las resoluciones judiciales en sus propios términos, lo que se conecta con el instituto de la cosa juzgada. Aunque no se señale expresamente en la demanda de amparo, debe incluirse en este objeto del recurso la providencia de 21 de </w:t>
      </w:r>
      <w:r>
        <w:lastRenderedPageBreak/>
        <w:t xml:space="preserve">mayo de 2004 dictada por la mentada Sección desestimando el recurso de aclaración intentado contra la Sentencia de apelación. </w:t>
      </w:r>
    </w:p>
    <w:p w:rsidR="00CF03FA" w:rsidRDefault="00CF03FA" w:rsidP="00CF03FA">
      <w:pPr>
        <w:pStyle w:val="TextoNormal"/>
      </w:pPr>
      <w:r>
        <w:t xml:space="preserve">Para los demandantes de amparo la Sentencia recurrida no respeta la intangibilidad del fallo de las Sentencias firmes precedentes y declara una nueva situación hereditaria contraria a la nulidad del testamento y a la preterición intencional del tercer hijo extramatrimonial. </w:t>
      </w:r>
    </w:p>
    <w:p w:rsidR="00CF03FA" w:rsidRDefault="00CF03FA" w:rsidP="00CF03FA">
      <w:pPr>
        <w:pStyle w:val="TextoNormal"/>
      </w:pPr>
      <w:r>
        <w:t xml:space="preserve">En particular señalan que la Sentencia de la Audiencia Provincial de A Coruña, de 28 de julio de 1999, declaraba la nulidad de pleno derecho de toda las disposiciones testamentarias de contenido patrimonial a favor de los sobrinos, que esta Sentencia es firme y produce efectos de cosa juzgada, ya que fue dictada frente a los hermanos Sar Romero y afecta al tercer hijo no litigante, el Sr. Castiñeiras Lires, por aplicación del art. 1252 CC, vigente cuando se dictó. Del mismo modo la demanda de amparo afirma que la Sentencia hoy recurrida en amparo se aparta igualmente de la Sentencia de la Audiencia Provincial de A Coruña de fecha 27 de septiembre de 2000 —también firme— que declara que el Sr. Castiñeiras sólo tiene una participación en el tercio de legítima estricta. </w:t>
      </w:r>
    </w:p>
    <w:p w:rsidR="00CF03FA" w:rsidRDefault="00CF03FA" w:rsidP="00CF03FA">
      <w:pPr>
        <w:pStyle w:val="TextoNormal"/>
      </w:pPr>
      <w:r>
        <w:t>Frente a lo establecido en las dos resoluciones judiciales referidas la Sentencia recurrida en amparo obvia la declaración de nulidad de pleno derecho del testamento y reparte la herencia con quienes aparecen citados como legatarios en el mismo, aumentando la participación de don José Luis Castiñeiras.</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4 de julio de 2006 la Sección Tercera de este Tribunal acordó, de conformidad con lo dispuesto en el art. 50.3 LOTC, conceder a la parte demandante de amparo y al Ministerio Fiscal plazo común de 10 días para que formularan las alegaciones que estimasen pertinentes en relación con la causa de inadmisión de carencia manifiesta de contenido constitucional de la demanda —art. 50.1 c) LOTC—.</w:t>
      </w:r>
    </w:p>
    <w:p w:rsidR="00CF03FA" w:rsidRDefault="00CF03FA" w:rsidP="00CF03FA">
      <w:pPr>
        <w:pStyle w:val="TextoNormal"/>
      </w:pPr>
    </w:p>
    <w:p w:rsidR="00CF03FA" w:rsidRDefault="00CF03FA" w:rsidP="00CF03FA">
      <w:pPr>
        <w:pStyle w:val="TextoNormal"/>
      </w:pPr>
      <w:r w:rsidRPr="00CF03FA">
        <w:rPr>
          <w:rStyle w:val="NumeroAFNegritaCaracter"/>
        </w:rPr>
        <w:t>5</w:t>
      </w:r>
      <w:r>
        <w:t>. El 19 de julio de 2006 los recurrentes en amparo interpusieron escrito reiterando las vulneraciones y los argumentos contenidos en la demanda original, si bien añadiendo que la Sentencia de la Audiencia Provincial produce asimismo una nueva vulneración del art. 24.1 CE al incurrir en el vicio de incongruencia extra petita, pues se pronuncia sobre cosa distinta incrementando la participación del heredero don José Luis Castiñeiras, pasando de la legítima estricta a la legítima amplia sin que nadie hubiere introducido esta petición en el proceso y declarando nulos de pleno derecho los legados cuando nadie postuló su validez.</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6 de septiembre de 2006 el Ministerio Fiscal registró en este Tribunal escrito interesando la inadmisión del presente recurso de amparo por carencia manifiesta de contenido. Tras repasar la jurisprudencia constitucional sobre el alcance de la cosa juzgada, el Ministerio Fiscal afirma que la decisión adoptada por la Sentencia ahora recurrida en amparo sobre la inexistencia de cosa juzgada resulta razonada y razonable, así como también lo es la decisión de fondo. Considera el Ministerio Público que, si bien la Sentencia recurrida altera lo dispuesto en las dos Sentencias de la Audiencia Provincial de A Coruña de 28 de julio de 1999 y 27 de septiembre de 2000, así lo hace tras afirmar la carencia de identidad entre los elementos que habrían hecho posible la concurrencia de la excepción procesal de cosa juzgada, por lo que en este punto resulta razonada y razonable. A juicio del Ministerio Fiscal también es razonada y razonable la decisión de fondo que contiene la Sentencia hoy recurrida en amparo; decisión que consiste en integrar las posiciones bien diferenciadas entre dos decisiones judiciales ciertamente contradictorias, la de declarar herederos preteridos no intencionales a los demandantes de amparo y heredero preterido intencional a otro hijo </w:t>
      </w:r>
      <w:r>
        <w:lastRenderedPageBreak/>
        <w:t>extramatrimonial que acudió a la vía judicial. La Sentencia considera que para la anulación de todas las disposiciones testamentarias resultaba necesario que todos los herederos fueran preteridos no intencionalmente, lo que no se daba en el caso de autos. Este razonamiento, en opinión del Ministerio Fiscal, no resulta arbitrario ni carente de razonabilidad, por lo que no puede entenderse que la Sentencia de la Audiencia Provincial de A Coruña del día 7 de mayo de 2004 haya vulnerado el derecho a la intangibilidad de las resoluciones, ex cosa juzgada material, que tutela el art. 24.1 CE.</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Los demandantes de amparo alegan la vulneración del derecho a una tutela judicial efectiva (art. 24.1 CE) en su vertiente de intangibilidad de las resoluciones firmes por entender que la Sentencia de 7 de mayo de 2004 de la Audiencia Provincial de A Coruña establece una nueva situación hereditaria contraria a la nulidad del testamento declarada judicialmente y a la preterición intencional del tercer hijo extramatrimonial y contraria al establecimiento previo de la participación hereditaria de éste.</w:t>
      </w:r>
    </w:p>
    <w:p w:rsidR="00CF03FA" w:rsidRDefault="00CF03FA" w:rsidP="00CF03FA">
      <w:pPr>
        <w:pStyle w:val="TextoNormal"/>
      </w:pPr>
      <w:r>
        <w:t>Del mismo modo consideran, en fase de alegaciones, que la Sentencia ha realizado afirmaciones sobre extremos no discutidos, en concreto, el porcentaje de participación en la herencia del Sr. Castiñeiras Lires, señalando así el vicio de incongruencia extra petita.</w:t>
      </w:r>
    </w:p>
    <w:p w:rsidR="00CF03FA" w:rsidRDefault="00CF03FA" w:rsidP="00CF03FA">
      <w:pPr>
        <w:pStyle w:val="TextoNormal"/>
      </w:pPr>
      <w:r>
        <w:t>El Ministerio público interesa la inadmisión del presente recurso de amparo al considerar que no se produce ninguna de las vulneraciones aducidas y que, en definitiva, la Sentencia impugnada ha dado una respuesta motivada y conforme con el Derecho a la tutela judicial efectiva del art. 24 CE al no haber apreciado la cosa juzgada de modo razonado y razonable.</w:t>
      </w:r>
    </w:p>
    <w:p w:rsidR="00CF03FA" w:rsidRDefault="00CF03FA" w:rsidP="00CF03FA">
      <w:pPr>
        <w:pStyle w:val="TextoNormal"/>
      </w:pPr>
    </w:p>
    <w:p w:rsidR="00CF03FA" w:rsidRDefault="00CF03FA" w:rsidP="00CF03FA">
      <w:pPr>
        <w:pStyle w:val="TextoNormal"/>
      </w:pPr>
      <w:r w:rsidRPr="00CF03FA">
        <w:rPr>
          <w:rStyle w:val="NumeroAFNegritaCaracter"/>
        </w:rPr>
        <w:t>2</w:t>
      </w:r>
      <w:r>
        <w:t>. Con carácter previo al examen de fondo de las vulneraciones alegadas, debemos rechazar desde este momento el examen sobre la incongruencia extra petita que los demandantes de amparo consideran producida pero que realizan como queja constitucional por vez primera en fase de alegaciones. A estos efectos proceder reiterar la doctrina establecida por este Tribunal, que mantiene que deben quedar descartados los fundamentos introducidos de modo novedoso en el escrito de alegaciones del trámite del art.  52.1 LOTC, por cuanto la Sentencia ha de resolver “las vulneraciones constitucionales denunciadas en la demanda, en la que queda acotada la pretensión, sin que quepa dotarse a ésta de un fundamento que no haya sido suficientemente debatido por haber sido extemporáneamente aportado” (STC 51/1985, de 10 de abril, FJ 8, entre otras), sin que se pueda aprovechar la fase de conclusiones para incorporar nuevas pretensiones de amparo, ya que “dicho proceder ocasionaría una mutatio libelli o transformación de la demanda expresamente proscrita por este Tribunal” (entre otras muchas, SSTC 209/1988, de 10 de noviembre, FJ 3; 5/1995, de 10 de enero, FJ 2).</w:t>
      </w:r>
    </w:p>
    <w:p w:rsidR="00CF03FA" w:rsidRDefault="00CF03FA" w:rsidP="00CF03FA">
      <w:pPr>
        <w:pStyle w:val="TextoNormal"/>
      </w:pPr>
    </w:p>
    <w:p w:rsidR="00CF03FA" w:rsidRDefault="00CF03FA" w:rsidP="00CF03FA">
      <w:pPr>
        <w:pStyle w:val="TextoNormal"/>
      </w:pPr>
      <w:r w:rsidRPr="00CF03FA">
        <w:rPr>
          <w:rStyle w:val="NumeroAFNegritaCaracter"/>
        </w:rPr>
        <w:t>3</w:t>
      </w:r>
      <w:r>
        <w:t>. El examen queda, de este modo, ceñido a la vulneración del principio de intangibilidad de las Sentencias firmes que la demanda de amparo dice vulnerado.</w:t>
      </w:r>
    </w:p>
    <w:p w:rsidR="00CF03FA" w:rsidRDefault="00CF03FA" w:rsidP="00CF03FA">
      <w:pPr>
        <w:pStyle w:val="TextoNormal"/>
      </w:pPr>
      <w:r>
        <w:t xml:space="preserve">La demanda de amparo considera que existe cosa juzgada respecto de dos procesos anteriores. Las Sentencias de la Audiencia Provincial de A Coruña que pusieron fin a estos procesos —Sentencias firmes— han establecido los dos aspectos siguientes: en primer lugar, se ha producido una preterición intencional de todos los hijos que aboca a la nulidad de las disposiciones de contenido patrimonial del testamento del Sr. Romero Castelo; y, en segundo lugar, la participación hereditaria del Sr.  Castiñeiras se limita a la legítima estricta. </w:t>
      </w:r>
      <w:r>
        <w:lastRenderedPageBreak/>
        <w:t>Según sostienen los demandantes de amparo la Sentencia ahora recurrida no puede concluir, por lo tanto, que dichas disposiciones no son nulas ni puede tampoco declarar que la participación del Sr.  Castiñeiras alcanza a la legítima estricta y a la mejora.</w:t>
      </w:r>
    </w:p>
    <w:p w:rsidR="00CF03FA" w:rsidRDefault="00CF03FA" w:rsidP="00CF03FA">
      <w:pPr>
        <w:pStyle w:val="TextoNormal"/>
      </w:pPr>
    </w:p>
    <w:p w:rsidR="00CF03FA" w:rsidRDefault="00CF03FA" w:rsidP="00CF03FA">
      <w:pPr>
        <w:pStyle w:val="TextoNormal"/>
      </w:pPr>
      <w:r w:rsidRPr="00CF03FA">
        <w:rPr>
          <w:rStyle w:val="NumeroAFNegritaCaracter"/>
        </w:rPr>
        <w:t>4</w:t>
      </w:r>
      <w:r>
        <w:t>. Desde la perspectiva constitucional que ahora nos interesa es preciso recordar nuestra doctrina constitucional en la concreta materia de cosa juzgada. La STC 204/2003, de 1 de diciembre, FJ 3, realiza una síntesis de esta reiterada doctrina de este Tribunal, que constituye ya un cuerpo jurisprudencial consolidado, sobre el derecho a la intangibilidad, invariabilidad o inmodificabilidad de las resoluciones judiciales como vertiente del derecho a la tutela judicial efectiva, el cual “actúa como límite que impide a los Jueces y Tribunales variar o revisar las resoluciones judiciales firmes al margen de los supuestos y casos taxativamente previstos por la Ley”. En efecto,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al margen del correspondiente recurso establecido al efecto por el legislador quedaría vulnerado el derecho a la tutela judicial efectiva, puesto que la protección judicial carecería de eficacia si se permitiese reabrir un proceso ya resuelto por Sentencia firme”.</w:t>
      </w:r>
    </w:p>
    <w:p w:rsidR="00CF03FA" w:rsidRDefault="00CF03FA" w:rsidP="00CF03FA">
      <w:pPr>
        <w:pStyle w:val="TextoNormal"/>
      </w:pPr>
      <w:r>
        <w:t>Queda de esta forma protegida y garantizada por el art. 24.1 CE “la eficacia de la cosa juzgada material, en su aspecto positivo o prejudicial, impidiendo que los Tribunales, en un proceso seguido entre los mismos sujetos, puedan desconocer o contradecir las situaciones jurídicas declaradas o reconocidas en una Sentencia que haya adquirido firmeza, efecto que se produce cuando se desconoce lo resuelto en Sentencia firme, en el marco de procesos que examinan cuestiones que guardan con aquéllas un relación de estricta dependencia. No se trata sólo de una cuestión que afecte a la libertad interpretativa de los órganos jurisdiccionales, sino de salvaguardar la eficacia de una resolución judicial firme (STC 163/2003, de 29 de septiembre, FJ 4), debiendo tenerse muy presente, por lo demás,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La cuestión a dilucidar en el presente recurso de amparo consiste precisamente en determinar si los argumentos empleados por los órganos judiciales están o no incursos en los reproches recién mencionados. Ya se ha expuesto que, en primera instancia, el Juzgado de Primera Instancia núm. 1 de Corcubión de 23 de septiembre de 2003 desestimó la excepción de cosa juzgada, acordándose la continuación del juicio. En dicho Auto se alega que las Sentencias que se esgrimen contienen pronunciamientos relativos a la filiación y derechos hereditarios respecto del difunto don José Luis Romero Castelo en procesos en los que fueron parte, junto con otras personas, quienes lo son en éste, pero precisa que sus “objetos procesales no pueden impedir la continuación del presente procedimiento, pues no existe la identidad de objeto —causa petendi y petitum— que requiere la institución para vedar la continuación de este proceso. Este juicio no sólo se limita a la declaración hereditaria pretendida en el apartado quinto de la súplica de la demanda rectora de la litis, sino que contiene otros pedimentos que no guardan la necesaria identidad con los debatidos en los procesos indicados y que, por ello, impide aplicar el efecto negativo de la cosa juzgada material. En todo caso, los pronunciamientos contenidos en la Sentencia firme indicada deberán ser tenidos en cuenta para la decisión que, en su caso, recaiga en este proceso en cumplimiento </w:t>
      </w:r>
      <w:r>
        <w:lastRenderedPageBreak/>
        <w:t>del efecto positivo expresamente previsto en el párrafo cuarto del artículo 222 indicado, pero sin que puedan excluir la continuación de este procedimiento”.</w:t>
      </w:r>
    </w:p>
    <w:p w:rsidR="00CF03FA" w:rsidRDefault="00CF03FA" w:rsidP="00CF03FA">
      <w:pPr>
        <w:pStyle w:val="TextoNormal"/>
      </w:pPr>
      <w:r>
        <w:t>Con posterioridad, interpuesto recurso de reposición, el Auto del Juzgado de 27 de octubre de 2003 confirmó los anteriores argumentos aunque insistiendo en que en la demanda existen pretensiones que ya fueron decididas, que pueden desplegar el efecto positivo de la cosa juzgada, pero que existen otras de naturaleza declarativa y de condena que no han sido planteadas con anterioridad y que, por consiguiente, “deben ser objeto de enjuiciamiento en el pleito impidiendo la conclusión inmediata del presente juicio ordinario ya que, por poner un ejemplo, el hecho de que la parte demandada considere que las pretensiones contenidas en los números uno a cuatro —relativas a la determinación del caudal hereditario— sean innecesarias porque la parte demandada no las discute, no deja de ser una alegación de dicha parte que deberá ser resuelta en la Sentencia que ponga fin al procedimiento, sin olvidar que la demanda contiene otras pretensiones de condena que deben ser igualmente examinadas y resueltas conforme al curso ordinario del procedimiento. Por otra parte, la existencia de dos procesos concluidos por sentencias firmes sobre objetos procesales parcialmente coincidentes no puede ser motivo para acordar la conclusión de este proceso por aplicación del instituto de la cosa juzgada”.</w:t>
      </w:r>
    </w:p>
    <w:p w:rsidR="00CF03FA" w:rsidRDefault="00CF03FA" w:rsidP="00CF03FA">
      <w:pPr>
        <w:pStyle w:val="TextoNormal"/>
      </w:pPr>
    </w:p>
    <w:p w:rsidR="00CF03FA" w:rsidRDefault="00CF03FA" w:rsidP="00CF03FA">
      <w:pPr>
        <w:pStyle w:val="TextoNormal"/>
      </w:pPr>
      <w:r w:rsidRPr="00CF03FA">
        <w:rPr>
          <w:rStyle w:val="NumeroAFNegritaCaracter"/>
        </w:rPr>
        <w:t>6</w:t>
      </w:r>
      <w:r>
        <w:t>. Por su parte la Sentencia de la Audiencia Provincial de A Coruña de 1999 retoma la cuestión de la existencia o no de cosa juzgada en su FJ 4. La Sentencia rechaza su existencia y sustenta su rechazo porque los sujetos intervinientes no fueron los mismos (con respecto al primer proceso) y porque no coincide la causa petendi (en relación con el segundo proceso). Asimismo la Audiencia Provincial precisa que, pese a que el primer proceso se inició con antelación en el tiempo, su firmeza fue posterior como consecuencia del recurso de casación interpuesto.</w:t>
      </w:r>
    </w:p>
    <w:p w:rsidR="00CF03FA" w:rsidRDefault="00CF03FA" w:rsidP="00CF03FA">
      <w:pPr>
        <w:pStyle w:val="TextoNormal"/>
      </w:pPr>
      <w:r>
        <w:t>A mayor abundamiento procede señalar que la Sentencia que ahora se impugna se enmarca en el contexto de un proceso ordinario declarativo en el que los recurrentes de amparo pretenden poner en orden también la situación generada por la sobrevenida aparición de hijos extramatrimoniales, dándose la concurrencia de paralelos juicios con diferentes causas de pedir y diversos resultados. En este marco la Sentencia toma en consideración un hecho imprevisto y extraordinario posterior a la misma, la intangibilidad de cuyo fallo se considera violentada. Este hecho —el reconocimiento del Sr. Castiñeiras como hijo extramatrimonial preterido intencionalmente—, aunque adquirió firmeza antes que las resoluciones del primer proceso por el juego de los legítimos recursos, no fue considerado en el primer pleito, donde se declara la nulidad de las disposiciones testamentarias sobre la base de la preterición no intencional de todos los hijos extramatrimoniales, entre los que no se toma en cuenta al Sr.  Castiñeiras por no ser parte, pero quien, en proceso propio y autónomo, obtiene la declaración de ser hijo extramatrimonial preterido intencionalmente y heredero forzoso del finado. Al integrar este elemento en la decisión judicial la Sala se apoya en la jurisprudencia del Tribunal Supremo.</w:t>
      </w:r>
    </w:p>
    <w:p w:rsidR="00CF03FA" w:rsidRDefault="00CF03FA" w:rsidP="00CF03FA">
      <w:pPr>
        <w:pStyle w:val="TextoNormal"/>
      </w:pPr>
    </w:p>
    <w:p w:rsidR="00CF03FA" w:rsidRDefault="00CF03FA" w:rsidP="00CF03FA">
      <w:pPr>
        <w:pStyle w:val="TextoNormal"/>
      </w:pPr>
      <w:r w:rsidRPr="00CF03FA">
        <w:rPr>
          <w:rStyle w:val="NumeroAFNegritaCaracter"/>
        </w:rPr>
        <w:t>7</w:t>
      </w:r>
      <w:r>
        <w:t xml:space="preserve">. En suma, la Sentencia considera que en el presente caso no concurren las condiciones requeridas para apreciar la existencia de cosa juzgada porque, o bien los sujetos son distintos y la extensión de los efectos a terceros, de acuerdo con la doctrina y jurisprudencia, sólo es factible cuando en el proceso en el que se decreta la nulidad se encuentran presentes todos los herederos o legatarios del causante, porque no cabe incluir en el concepto de tercero a quien debió ser parte legítima para la válida constitución de la relación jurídico procesal, </w:t>
      </w:r>
      <w:r>
        <w:lastRenderedPageBreak/>
        <w:t>como es el heredero omitido, o bien porque se considera que no existe coincidencia en la causa petendi.</w:t>
      </w:r>
    </w:p>
    <w:p w:rsidR="00CF03FA" w:rsidRDefault="00CF03FA" w:rsidP="00CF03FA">
      <w:pPr>
        <w:pStyle w:val="TextoNormal"/>
      </w:pPr>
      <w:r>
        <w:t>Sin duda esta argumentación no puede ser tildada de arbitraria, entendido como un actuar judicial sin razones formales ni materiales y que resulta de una simple expresión de la voluntad (STC 51/1982, de 19 de julio, FJ 3; STC 164/2002, de 17 de septiembre, FJ 4), o incursa en quiebras lógicas de tal magnitud que las conclusiones alcanzadas no pueden considerarse basadas en ninguna de las razones aducidas (STC 214/1999, de 29 de noviembre, FJ 4; 164/2002, 17 de septiembre, FJ 4).</w:t>
      </w:r>
    </w:p>
    <w:p w:rsidR="00CF03FA" w:rsidRDefault="00CF03FA" w:rsidP="00CF03FA">
      <w:pPr>
        <w:pStyle w:val="TextoNormal"/>
      </w:pPr>
    </w:p>
    <w:p w:rsidR="00CF03FA" w:rsidRDefault="00CF03FA" w:rsidP="00CF03FA">
      <w:pPr>
        <w:pStyle w:val="TextoNormal"/>
      </w:pPr>
      <w:r w:rsidRPr="00CF03FA">
        <w:rPr>
          <w:rStyle w:val="NumeroAFNegritaCaracter"/>
        </w:rPr>
        <w:t>8</w:t>
      </w:r>
      <w:r>
        <w:t>. Por otra parte el planteamiento de los demandantes de amparo se basa en la afirmación de que la Sentencia recurrida se aparta de la Sentencia de la Audiencia Provincial de A Coruña de fecha 27 de septiembre de 2000 —también firme— que declaraba que el Sr. Castiñeiras sólo tiene una participación en el tercio de legítima estricta, siendo así que la Sentencia hoy recurrida en amparo aumenta la participación de don José Luis Castiñeiras en el reparto de la herencia.</w:t>
      </w:r>
    </w:p>
    <w:p w:rsidR="00CF03FA" w:rsidRDefault="00CF03FA" w:rsidP="00CF03FA">
      <w:pPr>
        <w:pStyle w:val="TextoNormal"/>
      </w:pPr>
      <w:r>
        <w:t>Como se ha indicado el planteamiento de los demandantes de amparo se basa en la afirmación de que se ha producido una preterición no intencional de todos los hijos que aboca a la nulidad de las disposiciones testamentarias y a un determinado reparto de la herencia. Pues bien, este planteamiento se rechaza ciertamente por la Sentencia recurrida en amparo, que señala a estos efectos que la Sentencia de la Audiencia Provincial de A Coruña de 27 de septiembre de 2000 ha establecido como hecho probado que en el caso del Sr. Castiñeiras la preterición fue intencional, a diferencia del caso de los propios recurrentes, en el que también ha quedado establecido que la preterición fue no intencional. La Sentencia ahora recurrida en amparo parte precisamente de este dato —la distinta naturaleza de la preterición de los tres hijos extramatrimoniales del causante— para proceder a elaborar los criterios de integración que ahora se denuncian.</w:t>
      </w:r>
    </w:p>
    <w:p w:rsidR="00CF03FA" w:rsidRDefault="00CF03FA" w:rsidP="00CF03FA">
      <w:pPr>
        <w:pStyle w:val="TextoNormal"/>
      </w:pPr>
      <w:r>
        <w:t>La Sentencia recurrida modifica, es cierto, lo establecido en relación con la contradicción entre la declaración judicial de herederos preteridos no intencionalmente, que son los actuales demandantes de amparo, y heredero preterido intencionalmente, el señor Castiñeiras Lires. Pero esta modificación se razona con cautela. En efecto, el FJ 5 de la Sentencia realiza la exégesis de la figura de la preterición, distinguiendo entre la preterición intencional y la errónea, y considerando los distintos efectos jurídicos que se deducen de una y otra situación. A continuación, recuerda que en los supuestos de preterición no intencional o por error - que es precisamente la que concurre en el caso de autos -, para que los efectos sean la anulación de todas las disposiciones testamentarias la ley exige que sean preteridos no intencionalmente todos los herederos, lo que no concurren el caso de autos.</w:t>
      </w:r>
    </w:p>
    <w:p w:rsidR="00CF03FA" w:rsidRDefault="00CF03FA" w:rsidP="00CF03FA">
      <w:pPr>
        <w:pStyle w:val="TextoNormal"/>
      </w:pPr>
    </w:p>
    <w:p w:rsidR="00CF03FA" w:rsidRDefault="00CF03FA" w:rsidP="00CF03FA">
      <w:pPr>
        <w:pStyle w:val="TextoNormal"/>
      </w:pPr>
      <w:r w:rsidRPr="00CF03FA">
        <w:rPr>
          <w:rStyle w:val="NumeroAFNegritaCaracter"/>
        </w:rPr>
        <w:t>9</w:t>
      </w:r>
      <w:r>
        <w:t>. A la luz de todo lo expuesto no puede afirmarse, como pretende la parte demandante en amparo, que la argumentación desarrollada por la Audiencia Provincial de A Coruña sea arbitraria o carente de razonabilidad, únicas razones que permitirían entender que la señalada Sentencia vulnerara el derecho a la intangibilidad de las resoluciones, ex cosa juzgada material, que tutela el art. 24.1 CE.</w:t>
      </w:r>
    </w:p>
    <w:p w:rsidR="00CF03FA" w:rsidRDefault="00CF03FA" w:rsidP="00CF03FA">
      <w:pPr>
        <w:pStyle w:val="TextoNormal"/>
      </w:pPr>
    </w:p>
    <w:p w:rsidR="00CF03FA" w:rsidRDefault="00CF03FA" w:rsidP="00CF03FA">
      <w:pPr>
        <w:pStyle w:val="TextoNormal"/>
      </w:pPr>
      <w:r>
        <w:t>Por todo lo cual,</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lastRenderedPageBreak/>
        <w:t>Inadmitir el presente recurso de amparo</w:t>
      </w:r>
    </w:p>
    <w:p w:rsidR="00CF03FA" w:rsidRDefault="00CF03FA" w:rsidP="00CF03FA">
      <w:pPr>
        <w:pStyle w:val="TextoNormal"/>
      </w:pPr>
    </w:p>
    <w:p w:rsidR="00CF03FA" w:rsidRDefault="00CF03FA" w:rsidP="00CF03FA">
      <w:pPr>
        <w:pStyle w:val="TextoNormal"/>
      </w:pPr>
      <w:r>
        <w:t>Madrid, a veintiocho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89" w:name="AUTO_2008_28"/>
      <w:r>
        <w:lastRenderedPageBreak/>
        <w:t>AUTO 28/2008, de 28 de enero de 2008</w:t>
      </w:r>
    </w:p>
    <w:bookmarkEnd w:id="89"/>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ECLI:ES:TC:2008:28A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Inadmite a trámite el recurso de amparo 6328-2004, promovido por doña Concepción Criado López contra la Sentencia del Juzgado de lo Contencioso-Administrativo núm. 1 de Córdoba, dictada en procedimiento abreviado nº 270/2004, sobre liquidación del impuesto de bienes inmuebles de naturaleza rústica.</w:t>
      </w:r>
    </w:p>
    <w:p w:rsidR="00CF03FA" w:rsidRDefault="00CF03FA" w:rsidP="00CF03FA">
      <w:pPr>
        <w:pStyle w:val="SntesisDescriptiva"/>
      </w:pPr>
    </w:p>
    <w:p w:rsidR="00CF03FA" w:rsidRDefault="00CF03FA" w:rsidP="00CF03FA">
      <w:pPr>
        <w:pStyle w:val="SntesisAnaltica"/>
      </w:pPr>
      <w:r>
        <w:t>Demanda de amparo: alegación de inconstitucionalidad de la ley. Inadmisión de recurso de amparo: carencia de contenido que justifique una decisión sobre el fondo del asunto; inadmisión por providencia. Potestad tributaria: principio de irretroactividad. Derecho a la tutela judicial efectiva: intangibilidad de las sentencias, respetado.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presentado en el registro general de este Tribunal el día 22 de octubre de 2004 la recurrente, representada por la Procuradora de los Tribunales doña Lourdes Fernández Luna Tamayo y asistida por el Letrado don Carlos Castejón Montijano, formuló recurso de amparo contra la Sentencia citada en el encabezamiento que desestimó el recurso contencioso-administrativo contra la resolución del Ayuntamiento de Córdoba sobre liquidación del Impuesto de bienes inmuebles de naturaleza rústica.</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relevantes para el enjuiciamiento del presente recurso de amparo son los siguientes: </w:t>
      </w:r>
    </w:p>
    <w:p w:rsidR="00CF03FA" w:rsidRDefault="00CF03FA" w:rsidP="00CF03FA">
      <w:pPr>
        <w:pStyle w:val="TextoNormal"/>
      </w:pPr>
      <w:r>
        <w:t xml:space="preserve">a) La demandante de amparo formuló dos recursos contencioso-administrativos contra las liquidaciones giradas por el Ayuntamiento de Córdoba por el concepto del Impuesto de bienes inmuebles (en adelante, el IBI) de naturaleza rústica correspondientes a los ejercicios de 1999 y 2000. </w:t>
      </w:r>
    </w:p>
    <w:p w:rsidR="00CF03FA" w:rsidRDefault="00CF03FA" w:rsidP="00CF03FA">
      <w:pPr>
        <w:pStyle w:val="TextoNormal"/>
      </w:pPr>
      <w:r>
        <w:t xml:space="preserve">b) Los citados recursos correspondieron por turno de reparto al Juzgado de lo Contencioso-Administrativo núm. 2 de Córdoba, que dictó dos Sentencias de fechas 10 de diciembre de 2001 y de 31 de enero de 2002. En ambas resoluciones el Juzgado emitió fallos estimatorios a favor de la demandante anulando las liquidaciones realizadas y ordenando el reintegro a la actora de las cantidades recaudadas por importes de 765.770 pesetas y de 650.904 pesetas. A esta decisión estimatoria llegó el Juzgado al considerar que la Administración local demandada no sólo había omitido la notificación individual a la titular de los predios rústicos de la nueva determinación del valor catastral de los mismos, sino que también había incumplido parte de las prescripciones que establecía el procedimiento de fijación instaurado en el art. 70 de la Ley 39/1988, de 28 de diciembre, de haciendas locales. </w:t>
      </w:r>
    </w:p>
    <w:p w:rsidR="00CF03FA" w:rsidRDefault="00CF03FA" w:rsidP="00CF03FA">
      <w:pPr>
        <w:pStyle w:val="TextoNormal"/>
      </w:pPr>
      <w:r>
        <w:lastRenderedPageBreak/>
        <w:t xml:space="preserve">c) Con posterioridad y al amparo de la habilitación establecida en la disposición transitoria primera de la Ley 53/2002, de 30 de diciembre, de medidas fiscales, administrativas y de orden social, el Ayuntamiento de Córdoba volvió a girar a la actora nuevas liquidaciones por el IBI de naturaleza rústica de los ejercicios 1999 y 2000. Esta disposición transitoria primera adecuó el régimen de notificaciones de las liquidaciones del Impuesto de bienes inmuebles a la doctrina legal fijada por la Sentencia de 23 de enero de 1999 del Tribunal Supremo, dictada en un recurso de casación en interés de Ley. Precisamente, por aplicación de la doctrina legal de la citada Sentencia del Tribunal Supremo fueron anuladas las primeras liquidaciones del Impuesto de Bienes Inmuebles practicadas a la recurrente. La disposición transitoria primera de la Ley 53/2002, de 30 de diciembre, habilitó a la Administración pública para que procediese a la liquidación del Impuesto de bienes inmuebles conforme con lo establecido por la doctrina legal del Tribunal Supremo y para el periodo impositivo en que, por efecto de la citada Sentencia del Tribunal Supremo, se declararon nulas las que se habían practicado. </w:t>
      </w:r>
    </w:p>
    <w:p w:rsidR="00CF03FA" w:rsidRDefault="00CF03FA" w:rsidP="00CF03FA">
      <w:pPr>
        <w:pStyle w:val="TextoNormal"/>
      </w:pPr>
      <w:r>
        <w:t>d) Contra dichas liquidaciones la actora formalizó nuevo recurso contencioso-administrativo que fue desestimado por Sentencia el día 23 de septiembre de 2004 del Juzgado de lo Contencioso-Administrativo núm. 1 de Córdoba.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Se aduce en la demanda de amparo que la Sentencia impugnada vulneró el derecho fundamental de la recurrente a la tutela judicial efectiva sin indefensión (art. 24.1 CE) producida con la infracción del principio de cosa juzgada material, ya que con las nuevas liquidaciones no se respetó lo declarado por dos sentencias anteriores firmes. De acuerdo con la demanda de amparo, las liquidaciones fueron practicadas por el Ayuntamiento de Córdoba al amparo de una interpretación contraria a derecho de lo establecido por la disposición transitoria primera de la Ley 53/2002, de 30 de diciembre, de medidas fiscales, administrativas y del orden social que, a juicio de la demandante, sólo permitiría la aprobación de aquéllas si aún no hubieran sido anuladas judicialmente, pero no de las que, como en el caso de autos, ya lo habían sido por resolución judicial firme y devuelto el importe de lo recaudado al sujeto pasivo del tributo. Un pronunciamiento que, según la demanda de amparo, viene motivado por la inconstitucionalidad de la disposición transitoria primera de la Ley 53/2002, de 30 de diciembre, de medidas fiscales, administrativas y del orden social, que habilitó a la Administración a exigir a los sujetos pasivos del IBI rústico las cuotas de 1999 a 2002, a pesar de que las mismas habían sido devueltas por ser nulas por sentencia judicial firme. </w:t>
      </w:r>
    </w:p>
    <w:p w:rsidR="00CF03FA" w:rsidRDefault="00CF03FA" w:rsidP="00CF03FA">
      <w:pPr>
        <w:pStyle w:val="TextoNormal"/>
      </w:pPr>
      <w:r>
        <w:t>Además, en la demanda de amparo se adujó que, tanto la Administración como posteriormente el órgano judicial al confirmar el acto liquidativo, habían vulnerado los principios de seguridad jurídica y de irretroactividad de las leyes restrictivas de derechos individuales (art. 9.3 CE), porque el Ayuntamiento de Córdoba le había vuelto a practicar liquidaciones por el IBI de naturaleza rústica correspondiente a los años 1999 y 2000, después de haber transcurrido el periodo impositivo, de haber efectuado en su día las liquidaciones y de haberlas recaudado.</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28 de noviembre de 2006 la Sección Cuarta, Sala Segunda de este Tribunal, acordó la apertura del trámite previsto en el art. 50.3 Ley Orgánica 2/1979, de 3 de octubre, del Tribunal Constitucional, concediendo a la demandante de amparo y al Ministerio Fiscal plazo común de diez días para la formulación de alegaciones y para las aportaciones documentales que estimaran pertinentes en relación con la carencia manifiesta de contenido constitucional de la demanda de amparo (art. 50.1 c) LOTC).</w:t>
      </w:r>
    </w:p>
    <w:p w:rsidR="00CF03FA" w:rsidRDefault="00CF03FA" w:rsidP="00CF03FA">
      <w:pPr>
        <w:pStyle w:val="TextoNormal"/>
      </w:pPr>
    </w:p>
    <w:p w:rsidR="00CF03FA" w:rsidRDefault="00CF03FA" w:rsidP="00CF03FA">
      <w:pPr>
        <w:pStyle w:val="TextoNormal"/>
      </w:pPr>
      <w:r w:rsidRPr="00CF03FA">
        <w:rPr>
          <w:rStyle w:val="NumeroAFNegritaCaracter"/>
        </w:rPr>
        <w:t>5</w:t>
      </w:r>
      <w:r>
        <w:t>. Por escrito presentado en el registro general de este Tribunal el 20 de diciembre de 2006 presentó alegaciones la demandante de amparo ratificándose en lo aducido en la demanda de amparo.</w:t>
      </w:r>
    </w:p>
    <w:p w:rsidR="00CF03FA" w:rsidRDefault="00CF03FA" w:rsidP="00CF03FA">
      <w:pPr>
        <w:pStyle w:val="TextoNormal"/>
      </w:pPr>
    </w:p>
    <w:p w:rsidR="00CF03FA" w:rsidRDefault="00CF03FA" w:rsidP="00CF03FA">
      <w:pPr>
        <w:pStyle w:val="TextoNormal"/>
      </w:pPr>
      <w:r w:rsidRPr="00CF03FA">
        <w:rPr>
          <w:rStyle w:val="NumeroAFNegritaCaracter"/>
        </w:rPr>
        <w:t>6</w:t>
      </w:r>
      <w:r>
        <w:t>. Por escrito presentado en el registro general de este Tribunal el 15 de enero de 2007 presentó alegaciones el Ministerio Fiscal interesando la admisión a trámite de la demanda de amparo. Comienza el Ministerio público el estudio de los motivos de amparo que contiene la demanda por descartar prima facie el que pretende apoyarse sobre los enunciados principios de seguridad jurídica e irretroactividad de las normas restrictivas de derechos individuales porque al no tratarse de derechos fundamentales o de libertades públicas quedan extramuros del ámbito del recurso de amparo (SSTC 108/1986, 227/1988 y 17/1999, entre otras muchas) y, además, porque las normas tributarias no pueden conceptuarse como normas sancionadoras ni restrictivas de derechos individuales, toda vez que su finalidad esencial es la de establecer cómo han de contribuir los ciudadanos en función de su capacidad económica y en condiciones de igualdad al sostenimiento de los gastos públicos (STC 126/1987, por todas) . En consecuencia, el motivo carece manifiestamente de fundamento y debe ser inadmitido. Sin embargo, en cuanto al segundo motivo apoyado sobre el derecho a la tutela judicial efectiva considera el Ministerio Fiscal que no debiera ser inadmitido en este trámite procesal por carencia manifiesta de contenido constitucional, porque merece un estudio más detallado de las actuaciones, particularmente de la demanda de formalización del recurso contencioso-administrativo, de la que no se dispone en este trámite procesal. La sentencia impugnada desestima el recurso porque reputa como “correcta” la interpretación de la literalidad de la norma transitoria que habría efectuado la Administración pero nada dice de los argumentos que le han llevado a esta decisión. Así pues, entiende el Ministerio público que, básicamente, el problema radica no tanto ya en el análisis de la alegada intangibilidad de las dos resoluciones judiciales firmes, que sirven de fundamento a la pretensión de amparo para sostener que la sentencia ahora impugnada ha podido vulnerar la mencionada vertiente del derecho a la tutela judicial efectiva de la actora, sino más bien en la motivación y razonamientos sobre los que sustenta su decisión el órgano judicial para llegar al pronunciamiento final de desestimar el recurso contencioso-administrativo que aquella había interpuesto, pareciendo dar a entender, pues nada dice al respecto, que no se ha producido esa inobservancia de la intangibilidad por parte de la Administración.</w:t>
      </w:r>
    </w:p>
    <w:p w:rsidR="00CF03FA" w:rsidRDefault="00CF03FA" w:rsidP="00CF03FA">
      <w:pPr>
        <w:pStyle w:val="TextoNormal"/>
      </w:pPr>
    </w:p>
    <w:p w:rsidR="00CF03FA" w:rsidRDefault="00CF03FA" w:rsidP="00CF03FA">
      <w:pPr>
        <w:pStyle w:val="TextoNormal"/>
      </w:pPr>
      <w:r w:rsidRPr="00CF03FA">
        <w:rPr>
          <w:rStyle w:val="NumeroAFNegritaCaracter"/>
        </w:rPr>
        <w:t>7</w:t>
      </w:r>
      <w:r>
        <w:t>. Por Providencia de 23 de julio de 2007 de la Sección Cuarta, Sala Segunda, de este Tribunal se acordó la inadmisión del recurso de amparo por carencia manifiesta de contenido constitucional del art. 50.1 c) LOTC en su redacción anterior a la Ley Orgánica 6/2007, de 24 de mayo, aplicable en virtud de lo dispuesto en la disposición transitoria tercera de la referida Ley Orgánica.</w:t>
      </w:r>
    </w:p>
    <w:p w:rsidR="00CF03FA" w:rsidRDefault="00CF03FA" w:rsidP="00CF03FA">
      <w:pPr>
        <w:pStyle w:val="TextoNormal"/>
      </w:pPr>
    </w:p>
    <w:p w:rsidR="00CF03FA" w:rsidRDefault="00CF03FA" w:rsidP="00CF03FA">
      <w:pPr>
        <w:pStyle w:val="TextoNormal"/>
      </w:pPr>
      <w:r w:rsidRPr="00CF03FA">
        <w:rPr>
          <w:rStyle w:val="NumeroAFNegritaCaracter"/>
        </w:rPr>
        <w:t>8</w:t>
      </w:r>
      <w:r>
        <w:t xml:space="preserve">. Mediante escrito presentado en el registro general de este Tribunal el 17 de septiembre de 2007 el Ministerio Fiscal formuló recurso de súplica contra la Providencia de 23 de julio de 2007. El recurso de súplica se fundamenta en dos motivos, uno de carácter formal y otro de carácter material o de fondo. En cuanto al aspecto formal alega el Ministerio público que la inadmisión del recurso de amparo acordada no puede hacerse mediante providencia que especifique el requisito incumplido pero sin mayor agregado en orden a la motivación, es decir, que no procede la aplicación de lo previsto en el actual art. 50.3 LOTC redactado por </w:t>
      </w:r>
      <w:r>
        <w:lastRenderedPageBreak/>
        <w:t>la Ley Orgánica 6/2007 por diversos motivos: en primer lugar, porque la disposición transitoria establece la irretroactividad de la nueva norma, lo que llevaría a que se aplicara el antiguo art. 50.3 de la Ley Orgánica 2/1979, de 3 de octubre, del Tribunal Constitucional, que prevé el dictado de auto para la inadmisión del recurso de amparo en los supuestos en que, como en éste, se haya abierto un trámite de inadmisión. En segundo lugar, porque la segunda parte de la citada disposición transitoria no autoriza el dictado de providencia en cualquier caso, sino sólo en aquellos en los que exista unanimidad de la Sala o Sección para inadmitir, lo que no ocurrió en el presente caso. Finalmente, en tercer lugar respecto a los motivos formales, alega el Ministerio Fiscal que lo expuesto se aplicaría al presente recurso de amparo que se presentó durante la vigencia de la antigua Ley Orgánica y se tramitó de acuerdo con sus preceptos. En cuanto a aspectos de fondo, en el recurso de súplica se remite el Ministerio público a lo expuesto en su informe de 15 de enero de 2007 solicitando la admisión a trámite de la demanda de amparo y la apertura del trámite de alegaciones, por considerar que la resolución judicial impugnada podría resultar lesiva del derecho fundamental a la tutela judicial efectiva sin indefensión (art. 24. 1 CE) por contener una argumentación apodíctica sobre la corrección de las liquidaciones practicadas por la Administración o, en su defecto, que el mismo sea inadmitido por medio de auto.</w:t>
      </w:r>
    </w:p>
    <w:p w:rsidR="00CF03FA" w:rsidRDefault="00CF03FA" w:rsidP="00CF03FA">
      <w:pPr>
        <w:pStyle w:val="TextoNormal"/>
      </w:pPr>
    </w:p>
    <w:p w:rsidR="00CF03FA" w:rsidRDefault="00CF03FA" w:rsidP="00CF03FA">
      <w:pPr>
        <w:pStyle w:val="TextoNormal"/>
      </w:pPr>
      <w:r w:rsidRPr="00CF03FA">
        <w:rPr>
          <w:rStyle w:val="NumeroAFNegritaCaracter"/>
        </w:rPr>
        <w:t>9</w:t>
      </w:r>
      <w:r>
        <w:t>. Por providencia de 20 de septiembre de 2007 la Sección Cuarta, Sala Segunda, de este Tribunal acordó dar traslado del escrito presentado por el Ministerio Fiscal interponiendo recurso de súplica a la representación de doña Concepción Criado López para que en el plazo de tres días formulase las alegaciones que estimase pertinentes.</w:t>
      </w:r>
    </w:p>
    <w:p w:rsidR="00CF03FA" w:rsidRDefault="00CF03FA" w:rsidP="00CF03FA">
      <w:pPr>
        <w:pStyle w:val="TextoNormal"/>
      </w:pPr>
    </w:p>
    <w:p w:rsidR="00CF03FA" w:rsidRDefault="00CF03FA" w:rsidP="00CF03FA">
      <w:pPr>
        <w:pStyle w:val="TextoNormal"/>
      </w:pPr>
      <w:r w:rsidRPr="00CF03FA">
        <w:rPr>
          <w:rStyle w:val="NumeroAFNegritaCaracter"/>
        </w:rPr>
        <w:t>10</w:t>
      </w:r>
      <w:r>
        <w:t>. Por escrito presentado en el registro general de este Tribunal el 15 de octubre de 2007 la demandante de amparo hace suyas las alegaciones contenidas en el recurso se súplica y se adhiere íntegramente a las mismas, interesando la admisión a trámite de la demanda de amparo por los motivos de fondo expresados en la misma, así como por los motivos que pone de manifiesto el informe de 15 de enero de 2007 del Ministerio Fiscal.</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recurso de súplica formulado por el Ministerio Fiscal contra la Providencia que acordó la inadmisión a trámite de la demanda de amparo se funda en un motivo formal y otro material o de fondo. Respecto del motivo de carácter formal alega el Ministerio público que no procedía la inadmisión del recurso de amparo acordada mediante providencia inmotivada por aplicación del nuevo art. 50.3, de acuerdo con la redacción dada por la Ley Orgánica 6/2007, de 24 de mayo, por los motivos expuestos en los antecedentes. En cuanto al fondo del asunto el Ministerio público solicita la admisión a trámite de la demanda de amparo por considerar que, dada la apodíctica fundamentación de la Sentencia impugnada, no puede declararse que la queja sobre la supuesta lesión del derecho fundamental a la tutela judicial efectiva sin indefensión (art. 24.1 CE) desde la vertiente del derecho a la intangibilidad de las resoluciones judiciales firmes carezca de contenido constitucional.</w:t>
      </w:r>
    </w:p>
    <w:p w:rsidR="00CF03FA" w:rsidRDefault="00CF03FA" w:rsidP="00CF03FA">
      <w:pPr>
        <w:pStyle w:val="TextoNormal"/>
      </w:pPr>
      <w:r>
        <w:t>La recurrente en amparo se adhirió al recurso de súplica presentado por el Ministerio Fiscal, así como a la fundamentación del mismo, suplicando la admisión a trámite de la demanda de amparo por los motivos allí expuestos y por los aducidos en la demanda de amparo. Básicamente, por considerar que la Sentencia impugnada lesionó su derecho fun</w:t>
      </w:r>
      <w:r>
        <w:lastRenderedPageBreak/>
        <w:t>damental a la tutela judicial efectiva sin indefensión (art. 24.1 CE) por infracción del principio de cosa juzgada material al declarar conforme a derecho la nueva liquidación girada del Impuesto de bienes inmuebles para el mismo periodo impositivo, desconociendo así los efectos de la cosa juzgada material.</w:t>
      </w:r>
    </w:p>
    <w:p w:rsidR="00CF03FA" w:rsidRDefault="00CF03FA" w:rsidP="00CF03FA">
      <w:pPr>
        <w:pStyle w:val="TextoNormal"/>
      </w:pPr>
    </w:p>
    <w:p w:rsidR="00CF03FA" w:rsidRDefault="00CF03FA" w:rsidP="00CF03FA">
      <w:pPr>
        <w:pStyle w:val="TextoNormal"/>
      </w:pPr>
      <w:r w:rsidRPr="00CF03FA">
        <w:rPr>
          <w:rStyle w:val="NumeroAFNegritaCaracter"/>
        </w:rPr>
        <w:t>2</w:t>
      </w:r>
      <w:r>
        <w:t>. Comenzando nuestro enjuiciamiento por la cuestión de orden formal o procesal puesta de manifiesto en el recurso de súplica, debemos precisar que lo que recurre el Ministerio Fiscal es la utilización de la forma de providencia sin motivación prevista en el actual art. 50.3 de la Ley Orgánica 6/2007, de 24 de mayo, del Tribunal Constitucional para declarar la inadmisión del recurso de amparo que, por un lado, fue presentado cuando estaba vigente la Ley Orgánica 2/1979, de 3 de octubre, del Tribunal Constitucional y, por otro lado, se adoptó después de abrir el trámite previsto en el antiguo art. 50.3 de la Ley Orgánica 2/1979, de 3 de octubre, que para los supuestos en que no hubiese unanimidad de los miembros de la Sección para inadmitir por providencia establecía que la Sección podía acordar mediante auto la inadmisión del recurso de amparo previa audiencia al solicitante de amparo y al Ministerio Fiscal. Pues bien, en aplicación de la disposición transitoria tercera de la Ley Orgánica del Tribunal Constitucional, de acuerdo con la redacción dada por la Ley 6/2007, de 24 de mayo, el Ministerio Fiscal considera que la inadmisión debió realizarse en su caso mediante auto.</w:t>
      </w:r>
    </w:p>
    <w:p w:rsidR="00CF03FA" w:rsidRDefault="00CF03FA" w:rsidP="00CF03FA">
      <w:pPr>
        <w:pStyle w:val="TextoNormal"/>
      </w:pPr>
      <w:r>
        <w:t>La disposición transitoria tercera de la Ley Orgánica 6/2007, de 24 de mayo, del Tribunal Constitucional establece que: “La admisión o inadmisión de los recursos de amparo cuya demanda se haya interpuesto antes de la vigencia de esta Ley Orgánica se regirá por la normativa anterior. No obstante, la providencia de inadmisión se limitará a expresar el supuesto en el que se encuentra el recurso”.</w:t>
      </w:r>
    </w:p>
    <w:p w:rsidR="00CF03FA" w:rsidRDefault="00CF03FA" w:rsidP="00CF03FA">
      <w:pPr>
        <w:pStyle w:val="TextoNormal"/>
      </w:pPr>
      <w:r>
        <w:t>El error felizmente advertido por el Ministerio Fiscal consistió en aplicar el segundo párrafo de la disposición transcrita al caso de autos, es decir, acordar la inadmisión mediante providencia que se limitó a expresar la carencia de contenido constitucional de la demanda de amparo pero sin reparar en que para el caso de autos el primer párrafo de la misma disposición transitoria tercera remitía al art. 50.3 de la antigua Ley Orgánica 2/1979, de 3 de octubre, del Tribunal Constitucional.  Este precepto dispone que en los supuestos como el presente, en que no hay unanimidad de los miembros de la Sección para inadmitir por providencia, la Sección podía acordar mediante auto la inadmisión del recurso de amparo previa audiencia al solicitante de amparo y al Ministerio Fiscal. De ahí que, en el caso de autos, después de la audiencia dada a la demandante de amparo y al Ministerio Fiscal, la Sección debió utilizar la forma de auto para acordar la inadmisión del presente recurso de amparo.</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La anterior reflexión nos lleva directamente al enjuiciamiento del segundo aspecto del recurso de súplica, es decir, la cuestión de fondo sobre la inadmisión de la demanda de amparo por carencia de contenido constitucional que se acordó por providencia de 20 de septiembre de 2007. Respecto a la queja sobre la supuesta lesión de los principios de seguridad jurídica e irretroactividad de las normas restrictivas de derechos individuales (art. 9.3) que, de acuerdo con lo aducido en la demanda de amparo, habría conllevado la nueva liquidación girada por la Administración, merece ser inadmitida porque, como este Tribunal declaró tempranamente, el principio de irretroactividad contenido en el art. 9.3 encierra un mandato a los poderes públicos que, no puede servir, por sí sólo, para fundamentar la pretensión de amparo (STC 17/1999, de 22 de febrero, FJ 3, reiterando la doctrina de la STC 8/1981, de 30 de marzo). Pero, además, de acuerdo con lo alegado por el Ministerio público, también porque las normas tributarias no pueden conceptuarse como normas sancionadoras </w:t>
      </w:r>
      <w:r>
        <w:lastRenderedPageBreak/>
        <w:t>ni restrictivas de derechos individuales (SSTC 126/1987, de 16 de julio, FJ 9; 173/1996, de 31 de octubre, FJ 3; 182/1997, de 28 de octubre, FJ 11), toda vez que su finalidad esencial es la de establecer cómo han de contribuir los ciudadanos en función de su capacidad económica y en condiciones de igualdad al sostenimiento de los gastos públicos.</w:t>
      </w:r>
    </w:p>
    <w:p w:rsidR="00CF03FA" w:rsidRDefault="00CF03FA" w:rsidP="00CF03FA">
      <w:pPr>
        <w:pStyle w:val="TextoNormal"/>
      </w:pPr>
      <w:r>
        <w:t>Asimismo, la queja sobre la inconstitucionalidad de la disposición transitoria primera de la citada Ley 53/2002, de 30 de diciembre, debe ser inadmitida. Este Tribunal ha señalado reiteradamente que a través de un recurso de amparo no pueden, como regla general, ejercitarse pretensiones impugnatorias frente a leyes ni disposiciones reglamentarias, dado que el recurso de amparo no es la vía adecuada para el enjuiciamiento abstracto de tales disposiciones, sino exclusivamente para analizar concretas y efectivas violaciones de derechos y libertades fundamentales de personas determinadas (SSTC 40/1982, de 30 de junio, FJ 3; 193/1987, de 9 de diciembre, FJ 6 y ATC 85/2006, de 15 de marzo, FJ 3).</w:t>
      </w:r>
    </w:p>
    <w:p w:rsidR="00CF03FA" w:rsidRDefault="00CF03FA" w:rsidP="00CF03FA">
      <w:pPr>
        <w:pStyle w:val="TextoNormal"/>
      </w:pPr>
      <w:r>
        <w:t>En cuanto a la queja sobre la posible lesión del derecho fundamental a la tutela judicial efectiva sin indefensión de la recurrente (art. 24.1 CE) en su vertiente de intangibilidad de las resoluciones judiciales firmes y de respeto al principio de cosa juzgada, debemos recordar ahora que este Tribunal tiene declarado que una de las proyecciones del derecho fundamental a la tutela judicial efectiva sin indefensión (art. 24.1 CE) se concreta en el derecho a que las resoluciones judiciales se ejecuten en sus propios términos y sea respetada su firmeza y la intangibilidad de las situaciones jurídicas en ellas declaradas. En otro caso,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151/2001, de 2 de julio, FJ 3; 15/2002, de 28 de enero, FJ 3; 15/2006, de 16 de enero, FJ 4; 119/2006, de 24 de abril, FJ 4).</w:t>
      </w:r>
    </w:p>
    <w:p w:rsidR="00CF03FA" w:rsidRDefault="00CF03FA" w:rsidP="00CF03FA">
      <w:pPr>
        <w:pStyle w:val="TextoNormal"/>
      </w:pPr>
    </w:p>
    <w:p w:rsidR="00CF03FA" w:rsidRDefault="00CF03FA" w:rsidP="00CF03FA">
      <w:pPr>
        <w:pStyle w:val="TextoNormal"/>
      </w:pPr>
      <w:r w:rsidRPr="00CF03FA">
        <w:rPr>
          <w:rStyle w:val="NumeroAFNegritaCaracter"/>
        </w:rPr>
        <w:t>4</w:t>
      </w:r>
      <w:r>
        <w:t>. Ahora bien, esta doctrina no resulta aplicable al caso de autos porque la Sentencia impugnada declaró conforme a Derecho no las liquidaciones anuladas, sino otra liquidación realizada por la Administración Pública, de acuerdo con lo dispuesto en la disposición transitoria primera de la citada Ley 53/2002, de 30 de diciembre. Esta disposición transitoria primera adecuó el régimen de notificaciones de las liquidaciones del Impuesto de bienes inmuebles a la doctrina legal fijada por la Sentencia de 23 de enero de 1999 del Tribunal Supremo, dictada en un recurso de casación en interés de Ley. Precisamente, por aplicación de la doctrina legal de la citada Sentencia del Tribunal Supremo fueron anuladas las primeras liquidaciones del Impuesto de Bienes Inmuebles practicadas a la recurrente (Sentencias de 10 de diciembre de 2001 y de 31 de enero de 2002, ambas del Juzgado de lo Contencioso-Administrativo núm. 2 de Córdoba). La disposición transitoria primera de la Ley 53/2002, de 30 de diciembre, habilita a la Administración pública para que proceda a la liquidación del Impuesto de bienes inmuebles conforme con lo establecido por la doctrina legal del Tribunal Supremo y para el periodo impositivo en que, por efecto de la citada Sentencia del Tribunal Supremo, se declararon nulas las que se habían practicado. En consecuencia, la Sentencia impugnada no vulnera el derecho fundamental a la tutela judicial efectiva de la recurrente desde la perspectiva del principio de cosa juzgada material porque declara conforme a Derecho otra liquidación tributaria, distinta de las anuladas, que fue realizada de acuerdo con la habilitación legal contenida en la disposición transitoria primera de la Ley 53/2002, de 30 de diciembre. Por ello procede la inadmisión de esta queja por carencia manifiesta de contenido constitucional (art. 50.1 c) LOTC).</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5</w:t>
      </w:r>
      <w:r>
        <w:t>. Por lo expuesto procede declarar la inadmisión del recurso de amparo por carencia manifiesta de contenido constitucional de la demanda de amparo (art. 50.1 c) LOTC).</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el presente recurso de amparo</w:t>
      </w:r>
    </w:p>
    <w:p w:rsidR="00CF03FA" w:rsidRDefault="00CF03FA" w:rsidP="00CF03FA">
      <w:pPr>
        <w:pStyle w:val="TextoNormal"/>
      </w:pPr>
    </w:p>
    <w:p w:rsidR="00CF03FA" w:rsidRDefault="00CF03FA" w:rsidP="00CF03FA">
      <w:pPr>
        <w:pStyle w:val="TextoNormal"/>
      </w:pPr>
      <w:r>
        <w:t>Madrid, a veintiocho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90" w:name="AUTO_2008_29"/>
      <w:r>
        <w:lastRenderedPageBreak/>
        <w:t>AUTO 29/2008, de 28 de enero de 2008</w:t>
      </w:r>
    </w:p>
    <w:bookmarkEnd w:id="90"/>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ECLI:ES:TC:2008:29A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Inadmite a trámite el recurso de amparo 2216-2005, promovido por la Federación de Servicios y Administraciones Públicas de Comisiones Obreras de Madrid en contencioso sobre solicitud de listado de ocupación de puestos de trabajo en la Tesorería General de la Seguridad Social.</w:t>
      </w:r>
    </w:p>
    <w:p w:rsidR="00CF03FA" w:rsidRDefault="00CF03FA" w:rsidP="00CF03FA">
      <w:pPr>
        <w:pStyle w:val="SntesisDescriptiva"/>
      </w:pPr>
    </w:p>
    <w:p w:rsidR="00CF03FA" w:rsidRDefault="00CF03FA" w:rsidP="00CF03FA">
      <w:pPr>
        <w:pStyle w:val="SntesisAnaltica"/>
      </w:pPr>
      <w:r>
        <w:t>Inadmisión de recurso de amparo: causas de inadmisión. Informática: protección de datos personales. Libertad sindical: contenido esencial y derechos adicionales. Protección de datos personales: contenido del derecho.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30 de marzo de 2005 doña Isabel Cañedo Vega, Procuradora de los Tribunales, en nombre y representación de la Federación de Servicios y Administraciones Públicas de Comisiones Obreras de Madrid, interpuso recurso de amparo contra la Sentencia de 9 de febrero de 2005 de la Sección Cuarta de la Sala de lo Contencioso-Administrativo de la Audiencia Nacional por vulneración del art. 28.1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en que se fundamenta la pretensión de amparo son, en síntesis, los siguientes: </w:t>
      </w:r>
    </w:p>
    <w:p w:rsidR="00CF03FA" w:rsidRDefault="00CF03FA" w:rsidP="00CF03FA">
      <w:pPr>
        <w:pStyle w:val="TextoNormal"/>
      </w:pPr>
      <w:r>
        <w:t xml:space="preserve">a) El 28 de junio de 2001 don Juan Elías Pérez Losada, en su calidad de Delegado sindical de la Sección sindical de la Federación de Servicios y Administraciones Públicas de Comisiones Obreras (CC OO) en los Servicios Centrales de la Tesorería General de la Seguridad Social (TGSS), remitió escrito a la Secretaría General de este organismo público para que le facilitara la información de la que dispusiera en relación con el denominado “Listado de ocupación de puestos”. Con la facilitación de dicho listado se pretendía conocer una relación nominal del personal funcionario dependiente de los indicados servicios centrales de la TGSS, así como que se extendiera la información a los siguientes apartados: 1) Número de orden del centro. 2) Código de destino. 3) Nivel de complemento de destino. 4) Dotación. 5) Vacantes disponibles. 6) Forma de ocupación del puesto (adscripción provisional, comisión de servicios, titularidad etc.). 7) Identidad del funcionario que ocupa el puesto. 8) Movilidad. 9) Cuerpo. 10) Grupo descripción del puesto. 11) Grupo. Y 12) Grado. </w:t>
      </w:r>
    </w:p>
    <w:p w:rsidR="00CF03FA" w:rsidRDefault="00CF03FA" w:rsidP="00CF03FA">
      <w:pPr>
        <w:pStyle w:val="TextoNormal"/>
      </w:pPr>
      <w:r>
        <w:t xml:space="preserve">b) La Secretaría General-Vocalía Asesora de Recursos Humanos de la TGSS, a la vista de la petición cursada, evacuó una consulta a la Agencia Española de Protección de Datos, que, en un informe de 17 de junio de 1999 y en otro posterior de 23 de julio de 2001, manifiesta que no es posible la cesión masiva de los datos solicitados, salvo en aquellos aspectos </w:t>
      </w:r>
      <w:r>
        <w:lastRenderedPageBreak/>
        <w:t xml:space="preserve">considerados como públicos por la Ley (como era el complemento de productividad). Según el informe sólo será posible la cesión de datos referidos al control de un determinado supuesto de hecho, no procediendo la cesión masiva. De conformidad con dichos informes la TGSS dictó Resolución de 13 de septiembre de 2001 denegando los datos solicitados. </w:t>
      </w:r>
    </w:p>
    <w:p w:rsidR="00CF03FA" w:rsidRDefault="00CF03FA" w:rsidP="00CF03FA">
      <w:pPr>
        <w:pStyle w:val="TextoNormal"/>
      </w:pPr>
      <w:r>
        <w:t xml:space="preserve">c) Se interpuso recurso de alzada, que fue desestimado por Resolución de la Dirección General de la TGSS de 20 de noviembre de 2001. </w:t>
      </w:r>
    </w:p>
    <w:p w:rsidR="00CF03FA" w:rsidRDefault="00CF03FA" w:rsidP="00CF03FA">
      <w:pPr>
        <w:pStyle w:val="TextoNormal"/>
      </w:pPr>
      <w:r>
        <w:t xml:space="preserve">d) Por la representación procesal de la Federación de Servicios y Administraciones Públicas de Comisiones Obreras se interpuso recurso contencioso-administrativo, que fue desestimado íntegramente por Sentencia de 28 de abril de 2004 del Juzgado Central de lo Contencioso-Administrativo núm. 4. La Sentencia declara que el pretendido “Listado de ocupación de puestos”, que incluye la identidad del funcionario que los ocupa, afectaría a la intimidad de éste, “no alcanzándose a ver… que ello sea instrumento necesario para el ejercicio de las funciones representativas, negociadoras y de defensa de los intereses colectivos, respecto del personal funcionario de la TGSS en sus Servicios Centrales, máxime teniendo en cuenta que, independientemente de la alta posición institucional que los sindicatos ocupan, conforme a los arts. 7 y 28 de la Constitución Española de 27 de diciembre de 1978, los mismos no pueden constituirse en guardianes abstractos de la legalidad” (FD 5º). </w:t>
      </w:r>
    </w:p>
    <w:p w:rsidR="00CF03FA" w:rsidRDefault="00CF03FA" w:rsidP="00CF03FA">
      <w:pPr>
        <w:pStyle w:val="TextoNormal"/>
      </w:pPr>
      <w:r>
        <w:t>e) La Federación de Servicios y Administraciones Públicas de CC.OO. de Madrid interpuso recurso de apelación, que fue desestimado con los mismos argumentos que la Sentencia de instancia, por la Sentencia de 9 de febrero de 2005 dictada por la Sección Cuarta de la Sala de lo Contencioso-Administrativo de la Audiencia Nacional.</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Contra las Sentencias de 28 de abril de 2004 y de 9 de febrero de 2005 referidas se interpuso demanda de amparo. Se aduce la vulneración del derecho a la libertad sindical reconocido en el art. 28.1 CE, por entender que la negativa de la TGSS a facilitarle los datos relativos al “Listado de ocupación de puestos de trabajo”, con la relación nominal de los funcionarios que pertenecen a los Servicios Centrales del citado Organismo Autónomo de la Administración, ha lesionado el contenido adicional del derecho fundamental invocado, en su vertiente del derecho a desarrollar la actividad sindical que le es propia en cuanto sindicato destinado a la defensa de los derechos e intereses legítimos de los funcionarios públicos afiliados al mismo, toda vez que tales datos eran, a su juicio, necesarios para el normal desenvolvimiento de su actividad. </w:t>
      </w:r>
    </w:p>
    <w:p w:rsidR="00CF03FA" w:rsidRDefault="00CF03FA" w:rsidP="00CF03FA">
      <w:pPr>
        <w:pStyle w:val="TextoNormal"/>
      </w:pPr>
      <w:r>
        <w:t>Considera igualmente que dichos datos recogidos en ficheros de bases de datos informáticos no se ven afectados por el régimen de protección establecido por la Ley Orgánica 15/1999 de protección de datos de carácter personal, en tanto que no tienen un contenido personal sino meramente profesional, por lo que deberían haber sido facilitados a la demandante para así poder desarrollar con eficacia el libre ejercicio de su derecho de actividad sindical. La prohibición de cesión de los datos solicitados por CC OO que fue acordada por la TGSS y el posterior rechazo en la vía jurisdiccional de los recursos interpuestos vulneran, a su juicio, el derecho de libertad sindical.</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15 de marzo de 2007 la Sección Tercera del Tribunal Constitucional acordó, de conformidad con lo dispuesto en el art. 50.3 LOTC, conceder a la parte demandante de amparo y al Ministerio Fiscal un plazo común de 10 días a fin de que formularan las alegaciones que estimasen pertinentes en relación con lo dispuesto en el art. 50.1 LOTC.</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5</w:t>
      </w:r>
      <w:r>
        <w:t>. El 23 de marzo de 2007 la Central sindical demandante de amparo reitera las alegaciones inicialmente vertidas sobre la existencia de una vulneración del derecho a la libertad sindical (art. 28.1 CE).</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3 de abril de 2007 se registró en este Tribunal Constitucional escrito del Ministerio Fiscal interesando la inadmisión de la demanda por carecer el motivo alegado en amparo manifiestamente de fundamento. </w:t>
      </w:r>
    </w:p>
    <w:p w:rsidR="00CF03FA" w:rsidRDefault="00CF03FA" w:rsidP="00CF03FA">
      <w:pPr>
        <w:pStyle w:val="TextoNormal"/>
      </w:pPr>
      <w:r>
        <w:t xml:space="preserve">Considera el Ministerio Fiscal que en el presente asunto se plantea un problema de ponderación entre dos derechos fundamentales que tienen intereses contrapuestos: de una parte, el derecho a la libertad sindical, y, de otra, el derecho a la libertad informática. Al tratarse, como se ha dicho, de un problema de ponderación, el Ministerio Fiscal sostiene que a este Tribunal corresponde realizar un control del razonamiento efectuado por los órganos judiciales, determinando si el juicio de proporcionalidad llevado a efecto por aquéllos se ha conducido de acuerdo a los criterios sostenidos por la doctrina de este Alto Tribunal. </w:t>
      </w:r>
    </w:p>
    <w:p w:rsidR="00CF03FA" w:rsidRDefault="00CF03FA" w:rsidP="00CF03FA">
      <w:pPr>
        <w:pStyle w:val="TextoNormal"/>
      </w:pPr>
      <w:r>
        <w:t>Así lo considera el Ministerio Fiscal, que recuerda que en el presente asunto nos hallamos frente a una manifestación del denominado contenido adicional —no esencial— del derecho fundamental a la libertad sindical, por lo que la configuración y el alcance de tal derecho vendrá delimitado por la configuración que el legislador, o en su caso el convenio colectivo correspondiente, le atribuya y con los límites que se establezcan. El art. 9 de la Ley 9/1987 permite a los representantes sindicales acceder, con carácter general, al conocimiento de las cantidades que perciba cada funcionario por complemento de productividad, pero no el disponer de todos los datos de las situaciones profesionales de los empleados públicos. Para el Ministerio Fiscal, en fin, la cesión masiva de los datos solicitados no era procedente, por cuanto el derecho a la libertad informática y a la libre disponibilidad de los datos personales exige para el acceso a los mismos que su titular haya consentido a su cesión o que el legislador haya previsto esta eventualidad, que, en cualquier caso, habrá de obedecer a las razones que motivaron la incorporación de dichos datos al fichero.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La demandante de amparo alega la lesión del contenido adicional del derecho a la libertad sindical (art. 28.1 CE) en su vertiente del derecho a desarrollar la actividad sindical que le es propia en cuanto sindicato destinado a la defensa de los derechos e intereses legítimos de los funcionarios públicos afiliados al mismo. Dicha lesión se habría producido por la Sentencias del Juzgado Central de lo Contencioso-Administrativo núm 4, de 28 de abril de 2004, y de la Sección Cuarta de la Sala de lo Contencioso-Administrativo de la Audiencia Nacional, de 9 de febrero de 2005, en tanto en cuanto desestimaron los recursos que fueron interpuestos contra las resoluciones administrativas, de 13 de septiembre y de 20 de noviembre de 2001, que se negaron a facilitar a la hoy demandante en amparo los datos relativos al “Listado de ocupación de puestos de trabajo” con la relación nominal de los funcionarios que pertenecen a los Servicios Centrales del citado Organismo Autónomo de la Administración, toda vez que tales datos eran, a su juicio, necesarios para el normal desenvolvimiento de su actividad.</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El objeto de este proceso de amparo, visto desde la perspectiva constitucional que nos es propia, plantea la cuestión de las relaciones entre el derecho a la libertad sindical (art. </w:t>
      </w:r>
      <w:r>
        <w:lastRenderedPageBreak/>
        <w:t>28.1 CE), por una parte, y el derecho a la protección de datos o libertad informática (art. 18.4 CE), por otra. Esta cuestión ha sido objeto de consideración en diversas ocasiones por este Tribunal, siendo la primera de entre ellas la STC 11/1998, de 13 de enero. El presente asunto, que ha de enmarcase en este contexto, presenta la particularidad de plantear tal relación con respecto a una manifestación del denominado contenido adicional —no esencial— del derecho fundamental a la libertad sindical, cual es la labor de defensa de los derechos e intereses legítimos de los funcionarios públicos. En efecto, como se ha señalado con mayor detalle en los antecedentes, la Federación de Servicios y Administraciones Públicas de Comisiones Obreras requirió a los Servicios Centrales de la Tesorería General de la Seguridad Social que le remitiera el “Listado de ocupación de puestos” con la relación nominal de los funcionarios que pertenecen a los Servicios Centrales del citado Organismo Autónomo de la Administración al considerar que disponer de tales datos resultaba necesario para el mejor desenvolvimiento de la señalada labor.</w:t>
      </w:r>
    </w:p>
    <w:p w:rsidR="00CF03FA" w:rsidRDefault="00CF03FA" w:rsidP="00CF03FA">
      <w:pPr>
        <w:pStyle w:val="TextoNormal"/>
      </w:pPr>
      <w:r>
        <w:t>Los derechos o facultades adicionales del derecho a la libertad sindical pasan a añadirse al núcleo esencial de este derecho, de modo que los actos contrarios a estos últimos sí son susceptibles de infringir dicho art. 28.1 C.E. Ahora bien, en la medida que dichos derechos y facultades son atribuidos por normas o convenios, su configuración y alcance vienen delimitados por la configuración que el legislador o en su caso el convenio colectivo correspondiente les atribuyan y con los límites que se establezcan (STC 200/2006, de 3 de julio, FJ 3).</w:t>
      </w:r>
    </w:p>
    <w:p w:rsidR="00CF03FA" w:rsidRDefault="00CF03FA" w:rsidP="00CF03FA">
      <w:pPr>
        <w:pStyle w:val="TextoNormal"/>
      </w:pPr>
    </w:p>
    <w:p w:rsidR="00CF03FA" w:rsidRDefault="00CF03FA" w:rsidP="00CF03FA">
      <w:pPr>
        <w:pStyle w:val="TextoNormal"/>
      </w:pPr>
      <w:r w:rsidRPr="00CF03FA">
        <w:rPr>
          <w:rStyle w:val="NumeroAFNegritaCaracter"/>
        </w:rPr>
        <w:t>3</w:t>
      </w:r>
      <w:r>
        <w:t>. En el presente caso se da la circunstancia de que el artículo 9 de la Ley 9/1987, de 12 de junio, de Órganos de representación, determinación de las condiciones de trabajo y participación del personal al servicio de las Administraciones públicas, indica las facultades que el legislador ha reconocido a los representantes sindicales de los funcionarios y empleados públicos para el adecuado ejercicio de sus funciones; y en la cuestión que ahora se enjuicia únicamente les permite acceder, con carácter general, al conocimiento de las cantidades que perciba cada funcionario por complemento de productividad. Así es, como indica el Ministerio Fiscal, con objeto de poder de esta manera ejercitar las acciones oportunas en el caso de que se adviertan irregularidades en la distribución de los fondos públicos o en la asignación de tales complementos a unos empleados públicos en posible detrimento de otros.</w:t>
      </w:r>
    </w:p>
    <w:p w:rsidR="00CF03FA" w:rsidRDefault="00CF03FA" w:rsidP="00CF03FA">
      <w:pPr>
        <w:pStyle w:val="TextoNormal"/>
      </w:pPr>
      <w:r>
        <w:t>En todo caso, como acertadamente fue señalado por las resoluciones judiciales recurridas, dicho precepto no incluye en el contenido de dicha facultad el conocimiento de todos los datos de las situaciones profesionales de los empleados públicos, esto es, el art. 9 de la Ley 9/1987 no contempla la hipótesis del suministro de una información generalizada e indiscriminada de todos los aspectos relativos a la lista de puestos de trabajo de un determinado organismo público, ni, mucho menos, de determinados datos que afecten a las situaciones personales e individuales de todos y cada uno de los funcionarios públicos que los ocupen.</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La STC 292/2000, de 30 de noviembre, ha señalado que el derecho fundamental a la protección de datos persigue garantizar a la persona un poder de control sobre sus datos personales, sobre su uso y destino, con el propósito de impedir su tráfico ilícito y lesivo para la dignidad y derecho del afectado, garantizando a los individuos un poder de disposición sobre esos datos (FJ 6). A tal efecto, el derecho fundamental a la protección de datos “atribuye a su titular un haz de facultades consistente en diversos poderes jurídicos cuyo ejercicio impone a terceros deberes jurídicos, que no se contienen en el derecho fundamental a la </w:t>
      </w:r>
      <w:r>
        <w:lastRenderedPageBreak/>
        <w:t>intimidad, y que sirven a la capital función que desempeña este derecho fundamental: garantizar a la persona un poder de control sobre sus datos personales, lo que sólo es posible y efectivo imponiendo a terceros los mencionados deberes de hacer. A saber: el derecho a que se requiera el previo consentimiento para la recogida y uso de los datos personales, el derecho a saber y ser informado sobre el destino y uso de esos datos y el derecho a acceder, rectificar y cancelar dichos datos. En definitiva, el poder de disposición sobre los datos personales (STC 254/1993, FJ 7)” (FJ 6).</w:t>
      </w:r>
    </w:p>
    <w:p w:rsidR="00CF03FA" w:rsidRDefault="00CF03FA" w:rsidP="00CF03FA">
      <w:pPr>
        <w:pStyle w:val="TextoNormal"/>
      </w:pPr>
      <w:r>
        <w:t>El derecho fundamental a la protección de los datos personales impone a los poderes públicos, por consiguiente, la “prohibición de que se conviertan en fuentes de esa información sin las debidas garantías; y también el deber de prevenir los riesgos que puedan derivarse del acceso o divulgación indebidas de dicha información” (STC 292/2000, FJ 6).</w:t>
      </w:r>
    </w:p>
    <w:p w:rsidR="00CF03FA" w:rsidRDefault="00CF03FA" w:rsidP="00CF03FA">
      <w:pPr>
        <w:pStyle w:val="TextoNormal"/>
      </w:pPr>
      <w:r>
        <w:t>Como se ha expuesto, la respuesta tanto de la TGSS como de los órganos judiciales ha consistido en denegar la solicitada cesión masiva de datos y en asumir el criterio expresado por la Agencia Española de Protección de Datos en sus informes, según el cual es necesario distinguir entre el análisis y seguimiento de una situación individualizada relativa a un caso concreto, por una parte, y el suministro generalizado e indiscriminado de toda la información contenida en un registro personal, por otra, siendo esto último lo realmente solicitado por el representante sindical.</w:t>
      </w:r>
    </w:p>
    <w:p w:rsidR="00CF03FA" w:rsidRDefault="00CF03FA" w:rsidP="00CF03FA">
      <w:pPr>
        <w:pStyle w:val="TextoNormal"/>
      </w:pPr>
      <w:r>
        <w:t>En consecuencia puede afirmarse que en el presente caso, al denegar la cesión de los datos personales que les fueron solicitados, los poderes públicos han satisfecho la obligación que recae sobre ellos de proceder al tratamiento de los datos personales contenidos en los ficheros públicos con las debidas garantías.</w:t>
      </w:r>
    </w:p>
    <w:p w:rsidR="00CF03FA" w:rsidRDefault="00CF03FA" w:rsidP="00CF03FA">
      <w:pPr>
        <w:pStyle w:val="TextoNormal"/>
      </w:pPr>
    </w:p>
    <w:p w:rsidR="00CF03FA" w:rsidRDefault="00CF03FA" w:rsidP="00CF03FA">
      <w:pPr>
        <w:pStyle w:val="TextoNormal"/>
      </w:pPr>
      <w:r w:rsidRPr="00CF03FA">
        <w:rPr>
          <w:rStyle w:val="NumeroAFNegritaCaracter"/>
        </w:rPr>
        <w:t>5</w:t>
      </w:r>
      <w:r>
        <w:t>. Por último, para responder a la alegación realizada en la demanda de amparo de que los datos personales solicitados son datos profesionales y salariales y que, por lo tanto, no están incluidos en el concepto de intimidad protegido por la Constitución, cuyo perfil preferente es de carácter personal y familiar, baste recoger lo señalado por la, tantas veces citada, STC 292/2000. Ésta, cuando en su FJ 6, considera el objeto de protección del derecho fundamental a la protección de datos, indica que dicho objeto “no se reduce sólo a los datos íntimos de la persona, sino a cualquier tipo de dato personal, sea o no íntimo, cuyo conocimiento o empleo por terceros pueda afectar a sus derechos, sean o no fundamentales, porque su objeto no es sólo la intimidad individual, que para ello está la protección que el art. 18.1 CE otorga, sino los datos de carácter personal. Por consiguiente, también alcanza a aquellos datos personales públicos, que por el hecho de serlo, de ser accesibles al conocimiento de cualquiera, no escapan al poder de disposición del afectado porque así lo garantiza su derecho a la protección de datos. También por ello, el que los datos sean de carácter personal no significa que sólo tengan protección los relativos a la vida privada o íntima de la persona, sino que los datos amparados son todos aquellos que identifiquen o permitan la identificación de la persona, pudiendo servir para la confección de su perfil ideológico, racial, sexual, económico o de cualquier otra índole, o que sirvan para cualquier otra utilidad que en determinadas circunstancias constituya una amenaza para el individuo”.</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En atención a todo lo dicho ha de concluirse que en el presente caso la actuación de los órganos judiciales —y previamente de los órganos de la Administración que denegaron la cesión masiva de los datos personales solicitados— no ha supuesto, como pretende la recurrente en amparo, una lesión del art. 28.1 en conexión con el art.18.4 CE, pues razonadamente han expuesto que la solicitud formulada, no sólo era desproporcionada y no contemplada por el legislador, sino que además tampoco la petición cursada había obedecido a </w:t>
      </w:r>
      <w:r>
        <w:lastRenderedPageBreak/>
        <w:t>una necesidad debidamente justificada sobre la que sustentar un pedido que llegara a recabar tal conocimiento masivo de los datos como el interesado, para el ejercicio del derecho de actividad sindical, que tampoco se había especificado en qué sentido pretendía llevarse a efecto.</w:t>
      </w:r>
    </w:p>
    <w:p w:rsidR="00CF03FA" w:rsidRDefault="00CF03FA" w:rsidP="00CF03FA">
      <w:pPr>
        <w:pStyle w:val="TextoNormal"/>
      </w:pPr>
    </w:p>
    <w:p w:rsidR="00CF03FA" w:rsidRDefault="00CF03FA" w:rsidP="00CF03FA">
      <w:pPr>
        <w:pStyle w:val="TextoNormal"/>
      </w:pPr>
      <w:r>
        <w:t>Por todo lo cual,</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el presente recurso de amparo.</w:t>
      </w:r>
    </w:p>
    <w:p w:rsidR="00CF03FA" w:rsidRDefault="00CF03FA" w:rsidP="00CF03FA">
      <w:pPr>
        <w:pStyle w:val="TextoNormal"/>
      </w:pPr>
    </w:p>
    <w:p w:rsidR="00CF03FA" w:rsidRDefault="00CF03FA" w:rsidP="00CF03FA">
      <w:pPr>
        <w:pStyle w:val="TextoNormal"/>
      </w:pPr>
      <w:r>
        <w:t>Madrid, a veintiocho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91" w:name="AUTO_2008_30"/>
      <w:r>
        <w:lastRenderedPageBreak/>
        <w:t>AUTO 30/2008, de 28 de enero de 2008</w:t>
      </w:r>
    </w:p>
    <w:bookmarkEnd w:id="91"/>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ECLI:ES:TC:2008:30A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Inadmite a trámite el recurso de amparo 6225-2005, promovido por don José María Vea Casado en litigio por despido.</w:t>
      </w:r>
    </w:p>
    <w:p w:rsidR="00CF03FA" w:rsidRDefault="00CF03FA" w:rsidP="00CF03FA">
      <w:pPr>
        <w:pStyle w:val="SntesisDescriptiva"/>
      </w:pPr>
    </w:p>
    <w:p w:rsidR="00CF03FA" w:rsidRDefault="00CF03FA" w:rsidP="00CF03FA">
      <w:pPr>
        <w:pStyle w:val="SntesisAnaltica"/>
      </w:pPr>
      <w:r>
        <w:t>Acceso al recurso legal: recurso de casación. Derecho a la prueba: prueba impertinente; valoración de la prueba. Despido: causas objetivas. Inadmisión de recurso de amparo: causas de inadmisión. Libertad sindical: medidas empresariales sin indicios de carácter antisindical, respetada.</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8 de septiembre de 2005 doña María Jesús Sanz Peña, Procuradora de los Tribunales, en nombre y representación de don José María Vera Casado, interpuso recurso de amparo contra el Auto de la Sala de lo Social del Tribunal Supremo, de 20 de junio de 2005, que inadmitió el recurso de casación para la unificación de doctrina interpuesto contra la Sentencia dictada por la Sala de lo Social del Tribunal Superior de Justicia de Madrid, de 6 de julio de 2004, en el recurso de suplicación núm. 6505-2003, interpuesto frente a la Sentencia del Juzgado de lo Social núm. 10 de Madrid de fecha 15 de septiembre de 2003 en el procedimiento núm. 701-2003.</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en que se fundamenta la pretensión de amparo son, en síntesis, los siguientes: </w:t>
      </w:r>
    </w:p>
    <w:p w:rsidR="00CF03FA" w:rsidRDefault="00CF03FA" w:rsidP="00CF03FA">
      <w:pPr>
        <w:pStyle w:val="TextoNormal"/>
      </w:pPr>
      <w:r>
        <w:t xml:space="preserve">a) Don José María Vera Casado, hoy recurrente en amparo, prestaba servicios por cuenta y bajo la dependencia de la empresa Difusora de Información Periódica, S.A., (en adelante Dinpe, S.A.), editora de la revista Época desde el 15 de abril de 1985 con la categoría profesional de periodista internacional. El día 30 de mayo de 2003, mediante carta, la empresa Dinpe, S.A., comunicó al Sr. Vera Casado la extinción del contrato por necesidad objetiva de amortizar su puesto de trabajo. En la misma fecha el demandante percibió una determinada suma de dinero por los conceptos de indemnización, preaviso y liquidación de partes proporcionales. Durante el mes de junio de 2003 se celebró intento conciliatorio previo con el resultado de “sin avenencia”. </w:t>
      </w:r>
    </w:p>
    <w:p w:rsidR="00CF03FA" w:rsidRDefault="00CF03FA" w:rsidP="00CF03FA">
      <w:pPr>
        <w:pStyle w:val="TextoNormal"/>
      </w:pPr>
      <w:r>
        <w:t xml:space="preserve">b) El día 3 de julio de 2003 el Sr. Vera Casado presentó demanda en materia de despido contra las siguientes empresas: Difusora de Información Periódica S.A., por ser la empresa en la que prestaba servicios; Intereconomía Corporación, S.A., socia única de Dinpe, dueña del grupo Intereconomía y rectora de los designios de Época y de las restantes empresas del </w:t>
      </w:r>
      <w:r>
        <w:lastRenderedPageBreak/>
        <w:t xml:space="preserve">grupo; Homo Legens, S.L., editora de Trámite parlamentario, revista en la que había prestado abundantes colaboraciones por indicación de sus superiores sin haber recibido contraprestación alguna; y Radio Intereconomía, por idénticos motivos. </w:t>
      </w:r>
    </w:p>
    <w:p w:rsidR="00CF03FA" w:rsidRDefault="00CF03FA" w:rsidP="00CF03FA">
      <w:pPr>
        <w:pStyle w:val="TextoNormal"/>
      </w:pPr>
      <w:r>
        <w:t xml:space="preserve">La demanda se estructura a partir de la afirmación de la existencia de un único grupo empresarial, de tal modo que entre las empresas indicadas existe un trasiego de trabajadores y un trasvase económico, por cuanto constituyen una unidad económica. A tal efecto la demanda solicitaba diversas pruebas, algunas de las cuales fueron aceptadas y otras denegadas. Entre estas últimas se encuentra la solicitud de la aportación de las “cuentas de los años 1998 a 2003, ambos inclusive, y declaración fiscal de retenciones de personal dependiente, de ese período, relativas a Dinpe, S.A., en particular la cuenta de explotación de ese período”, así como de las “cuentas de los años 2001, 2002 y 2003 y la declaración fiscal del personal dependiente, y del impreso 347, de las restantes empresas demandadas”. </w:t>
      </w:r>
    </w:p>
    <w:p w:rsidR="00CF03FA" w:rsidRDefault="00CF03FA" w:rsidP="00CF03FA">
      <w:pPr>
        <w:pStyle w:val="TextoNormal"/>
      </w:pPr>
      <w:r>
        <w:t xml:space="preserve">Por Auto de 9 de julio de 2003, el Juzgado de lo Social núm. 10 de Madrid admitió a trámite la demanda, pero, como se ha indicado, rechazó la prueba propuesta a la que se hace referencia con el argumento siguiente: “no ha lugar en virtud de lo dispuesto en el art. 33 del Código de comercio”. </w:t>
      </w:r>
    </w:p>
    <w:p w:rsidR="00CF03FA" w:rsidRDefault="00CF03FA" w:rsidP="00CF03FA">
      <w:pPr>
        <w:pStyle w:val="TextoNormal"/>
      </w:pPr>
      <w:r>
        <w:t xml:space="preserve">c) Contra dicho Auto se interpuso recurso de reposición, solicitando la admisión de las pruebas denegadas. El Juzgado de lo Social núm. 10 de Madrid dictó providencia el día 29 de julio de 2003 en la que, tras admitir cierta prueba testifical, declara que “en cuanto al escrito en el que se solicita la admisión de las pruebas propuestas en la demanda, estése a lo acordado en el Auto de señalamiento de fecha 9 de julio de 2003”. </w:t>
      </w:r>
    </w:p>
    <w:p w:rsidR="00CF03FA" w:rsidRDefault="00CF03FA" w:rsidP="00CF03FA">
      <w:pPr>
        <w:pStyle w:val="TextoNormal"/>
      </w:pPr>
      <w:r>
        <w:t xml:space="preserve">d) Por Sentencia de 15 de septiembre de 2003 el Juzgado de lo Social núm. 10 de Madrid desestimó la demanda interpuesta por don José María Vera Casado. La Sentencia declara, entre otros extremos, que no ha resultado acreditada en el orden laboral la existencia de un grupo empresarial dentro del cual Dinpe, S.A., se incardine, y que la decisión empresarial de extinguir el contrato de trabajo del demandante por causas objetivas es procedente. </w:t>
      </w:r>
    </w:p>
    <w:p w:rsidR="00CF03FA" w:rsidRDefault="00CF03FA" w:rsidP="00CF03FA">
      <w:pPr>
        <w:pStyle w:val="TextoNormal"/>
      </w:pPr>
      <w:r>
        <w:t xml:space="preserve">e) Se interpuso recurso de reposición, que fue desestimado por Sentencia de 6 de julio de 2004 del Tribunal Superior de Justicia de Madrid (Sala de lo Social-Sección Segunda). </w:t>
      </w:r>
    </w:p>
    <w:p w:rsidR="00CF03FA" w:rsidRDefault="00CF03FA" w:rsidP="00CF03FA">
      <w:pPr>
        <w:pStyle w:val="TextoNormal"/>
      </w:pPr>
      <w:r>
        <w:t>f) Por Auto de 20 de junio de 2005 la Sala de lo Social del Tribunal Supremo declaró la inadmisión del recurso de casación para la unificación de doctrina formalizado contra la Sentencia del TSJ de Madrid antes citada.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El Sr. Vera Casado interpone recurso de amparo contra el Auto de la Sala de lo Social del Tribunal Supremo de 20 de junio de 2005. En la demanda de amparo se hace constar que tanto el Juzgado de lo Social núm. 10 de Madrid como la Sala de lo Social del TSJ de Madrid han vulnerado con sus resoluciones el derecho del demandante a la prueba (art. 24.2 CE). A estos efectos se aduce que el Juzgado no admitió, ni el TSJ de Madrid reparó posteriormente, la práctica de determinados medios de prueba propuestos —en concreto, la reclamación de una determinada documentación mercantil—, que no alcanza en exclusiva a la entidad empleadora sino que se extiende a otras empresas participadas por Dinpe, S.A., o que son titulares de parte del capital de esta última. </w:t>
      </w:r>
    </w:p>
    <w:p w:rsidR="00CF03FA" w:rsidRDefault="00CF03FA" w:rsidP="00CF03FA">
      <w:pPr>
        <w:pStyle w:val="TextoNormal"/>
      </w:pPr>
      <w:r>
        <w:t xml:space="preserve">La demanda de amparo plantea asimismo la vulneración del derecho a la tutela judicial efectiva (art. 24.1 CE), dada la deficiente argumentación de las resoluciones judiciales en lo relativo a la afirmación de la inexistencia del pretendido grupo de empresas (art. 24.1 CE), así como en su vertiente de derecho de acceso al recurso (art. 24.1 CE), por cuanto el Tribunal Supremo inadmitió el recurso de casación interpuesto a partir de una argumentación exacerbadamente formalista. Del mismo modo la demanda de amparo se refiere a la violación del derecho a un proceso con todas las garantías (art. 24.2 CE), pues los órganos </w:t>
      </w:r>
      <w:r>
        <w:lastRenderedPageBreak/>
        <w:t>judiciales han realizado una deficiente valoración de la prueba practicada, y a la vulneración del derecho de libertad sindical (art. 28.1 CE).</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28 de septiembre de 2007 la Sección Tercera de este Tribunal acordó, de conformidad con lo dispuesto en el art. 50.3 LOTC, en su redacción anterior a la aprobada por la Ley Orgánica 6/2007, de 24 de mayo, y disposición transitoria tercera de la referida Ley, conceder a la parte demandante de amparo y al Ministerio Fiscal, plazo común de diez días para que formularan, con las aportaciones documentales que procediesen, las alegaciones que estimaran pertinentes en relación con lo dispuesto en el art. 50.1 LOTC.</w:t>
      </w:r>
    </w:p>
    <w:p w:rsidR="00CF03FA" w:rsidRDefault="00CF03FA" w:rsidP="00CF03FA">
      <w:pPr>
        <w:pStyle w:val="TextoNormal"/>
      </w:pPr>
    </w:p>
    <w:p w:rsidR="00CF03FA" w:rsidRDefault="00CF03FA" w:rsidP="00CF03FA">
      <w:pPr>
        <w:pStyle w:val="TextoNormal"/>
      </w:pPr>
      <w:r w:rsidRPr="00CF03FA">
        <w:rPr>
          <w:rStyle w:val="NumeroAFNegritaCaracter"/>
        </w:rPr>
        <w:t>5</w:t>
      </w:r>
      <w:r>
        <w:t>. El 26 de octubre de 2007 el recurrente en amparo interpuso escrito reiterando las vulneraciones y los argumentos contenidos en la demanda original.</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5 de noviembre de 2007 el Ministerio Fiscal registró en este Tribunal escrito interesando la inadmisión del presente recurso de amparo por carencia manifiesta de contenido. </w:t>
      </w:r>
    </w:p>
    <w:p w:rsidR="00CF03FA" w:rsidRDefault="00CF03FA" w:rsidP="00CF03FA">
      <w:pPr>
        <w:pStyle w:val="TextoNormal"/>
      </w:pPr>
      <w:r>
        <w:t>El Ministerio Fiscal comienza señalando que el Auto de 20 de junio de 2005 dictado por la Sala Cuarta del Tribunal Supremo supone la interpretación lógica y razonable del art. 217 Ley de procedimiento laboral, que exige la identidad de supuestos entre los contenidos en la resolución impugnada y la ofrecida de contraste, de modo que no se ha producido la alegada vulneración del derecho a la tutela judicial efectiva en su vertiente de derecho de acceso al recurso (art. 24.1 CE). Tampoco se ha producido, en opinión del Ministerio Fiscal, la alegada vulneración del derecho a la prueba (art. 24.2 CE), dado que el Juzgado justificó sobradamente la improcedencia de la prueba solicitada, argumentando a partir del tenor literal del art. 33 del Código de comercio, y señalando que la prueba objeto de debate carecía de virtualidad alguna para demostrar de modo directo e incontestable la supuesta falta de causas objetivas para el despido. En este mismo orden de cosas el Ministerio Fiscal señala que las resoluciones judiciales han motivado suficientemente, a partir de la valoración conjunta del material probatorio y con apoyo en la doctrina del Tribunal Supremo, la inexistencia del pretendido grupo de empresas, resultando así que las resoluciones judiciales impugnadas no carecen de la debida argumentación ni ésta resulta arbitraria, infundada o incursa en error patente (art. 24.1 CE). Finalmente, por lo que se refiere a la vulneración del derecho a la libertad sindical (art. 28.1 CE), el Ministerio Fiscal indica que la demanda no contiene orientación alguna que permita suponer una situación de hostilidad o enfrentamiento entre el trabajador y la empresa en la que residenciar el origen del despido, siendo así que la situación económica de la empresa, acreditada mediante una auditoría, dio lugar a que se dictara una decisión extintiva del contrato del hoy recurrente en amparo, así como de otros cinco trabajadores más.</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El demandante de amparo plantea formalmente en su demanda de amparo la vulneración del derecho a la tutela judicial efectiva por deficiente motivación de las Sentencias dictadas por el Juzgado de lo Social núm. 10 de Madrid y de la Sala de lo Social del Tribunal Superior de Justicia de Madrid (art. 24.1 CE), así como en su vertiente de derecho de acceso al recurso (art. 24.1 CE), por cuanto el Auto del Tribunal Supremo de 20 de junio de 2005 </w:t>
      </w:r>
      <w:r>
        <w:lastRenderedPageBreak/>
        <w:t>inadmitió el recurso de casación interpuesto a partir de una argumentación exacerbadamente formalista. La demanda se refiere también a la vulneración por las resoluciones judiciales indicadas de su derecho a utilizar los medios de prueba (art. 24.2 CE) y a un proceso con todas las garantías pues los órganos judiciales han realizado una deficiente valoración de la prueba practicada (art. 24.2 CE), así como a la violación del derecho de libertad sindical (art. 28.1 CE).</w:t>
      </w:r>
    </w:p>
    <w:p w:rsidR="00CF03FA" w:rsidRDefault="00CF03FA" w:rsidP="00CF03FA">
      <w:pPr>
        <w:pStyle w:val="TextoNormal"/>
      </w:pPr>
      <w:r>
        <w:t>El planteamiento formal de la demanda de amparo no se acompaña de un desarrollo mínimamente estructurado de las vulneraciones alegadas, de tal modo que no se deslinda entre unas y otras ni se identifica con claridad cuáles son los concretos aspectos que constituyen el respectivo sustrato de cada una de las lesiones constitucionales que denuncia. A mayor abundamiento el actor dirige sus críticas de forma indiscriminada hacia las resoluciones del Juzgado y del Tribunal Superior de Justicia de Madrid, si bien reserva una motivación específica para el Auto del Tribunal Supremo de inadmisión del recurso de casación para unificación de doctrina de fecha 20 de junio de 2005.</w:t>
      </w:r>
    </w:p>
    <w:p w:rsidR="00CF03FA" w:rsidRDefault="00CF03FA" w:rsidP="00CF03FA">
      <w:pPr>
        <w:pStyle w:val="TextoNormal"/>
      </w:pPr>
      <w:r>
        <w:t>El Ministerio público interesa la inadmisión del presente recurso de amparo al considerar que no se produce ninguna de las vulneraciones aducidas y que, en definitiva, las resoluciones judiciales impugnadas han dado una respuesta motivada, tanto al inadmitir el recurso de casación interpuesto como al declarar la improcedencia de la prueba documental solicitada, así como al realizar la valoración conjunta del material probatorio y concluir la inexistencia del pretendido grupo de empresas. Para el Ministerio Fiscal, por último, no se produce tampoco la alegada vulneración del derecho a la libertad sindical.</w:t>
      </w:r>
    </w:p>
    <w:p w:rsidR="00CF03FA" w:rsidRDefault="00CF03FA" w:rsidP="00CF03FA">
      <w:pPr>
        <w:pStyle w:val="TextoNormal"/>
      </w:pPr>
    </w:p>
    <w:p w:rsidR="00CF03FA" w:rsidRDefault="00CF03FA" w:rsidP="00CF03FA">
      <w:pPr>
        <w:pStyle w:val="TextoNormal"/>
      </w:pPr>
      <w:r w:rsidRPr="00CF03FA">
        <w:rPr>
          <w:rStyle w:val="NumeroAFNegritaCaracter"/>
        </w:rPr>
        <w:t>2</w:t>
      </w:r>
      <w:r>
        <w:t>. El demandante de amparo aduce, en primer lugar, la vulneración del derecho a la tutela judicial efectiva con indefensión (art. 24.1 CE), que hace recaer en el Auto de la Sala de lo Civil del Tribunal Supremo de 20 de junio de 2005. Considera el recurrente que el Tribunal Supremo ha realizado una interpretación rigorista de las normas legales ordenadoras de los requisitos de admisibilidad procesal del recurso interpuesto.</w:t>
      </w:r>
    </w:p>
    <w:p w:rsidR="00CF03FA" w:rsidRDefault="00CF03FA" w:rsidP="00CF03FA">
      <w:pPr>
        <w:pStyle w:val="TextoNormal"/>
      </w:pPr>
      <w:r>
        <w:t>En numerosas ocasiones ha reiterado este Tribunal su doctrina relativa al control que por la vía del recurso de amparo en el que se invoque el derecho a la tutela judicial efectiva (art. 24.1 CE) puede realizarse sobre las decisiones judiciales de inadmisión de recursos: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(STC 46/2004, de 23 de marzo, FJ 4).</w:t>
      </w:r>
    </w:p>
    <w:p w:rsidR="00CF03FA" w:rsidRDefault="00CF03FA" w:rsidP="00CF03FA">
      <w:pPr>
        <w:pStyle w:val="TextoNormal"/>
      </w:pPr>
      <w:r>
        <w:t>Pues bien, si esta fundamentación del señalado Auto del Tribunal Supremo se somete a los mencionados criterios de control constitucional (irrazonabilidad, arbitrariedad y error patente) se llega inevitablemente al resultado de que procede aquí concluir que no se ha producido la alegada vulneración del derecho a la tutela judicial efectiva, pues la Sala ha realizado una interpretación del art. 217 de la Ley de procedimiento laboral que no puede sino considerarse lógica y razonable. Tras señalar que el indicado precepto exige la identidad de supuestos entre los contenidos en la resolución impugnada y las ofrecidas de contraste el Auto analiza los cinco puntos o materias de contradicción y las Sentencias de contraste que se invocan para cada uno de ellos, concluyendo en todos los casos que no se cumplen los requisitos previstos en el art. 217 LPL y en la doctrina jurisprudencial del Tribunal Supremo.</w:t>
      </w:r>
    </w:p>
    <w:p w:rsidR="00CF03FA" w:rsidRDefault="00CF03FA" w:rsidP="00CF03FA">
      <w:pPr>
        <w:pStyle w:val="TextoNormal"/>
      </w:pPr>
      <w:r>
        <w:lastRenderedPageBreak/>
        <w:t>Así las cosas el canon del error patente queda descartado de antemano, pues no se está discutiendo sobre una cuestión fáctica. Pero tampoco puede aceptarse que las resoluciones judiciales contra las que se dirige la demanda incurran en arbitrariedad ni que sean irrazonables, pues es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“cualquier observador” (STC 222/2003, de 15 de diciembre, FJ 5).</w:t>
      </w:r>
    </w:p>
    <w:p w:rsidR="00CF03FA" w:rsidRDefault="00CF03FA" w:rsidP="00CF03FA">
      <w:pPr>
        <w:pStyle w:val="TextoNormal"/>
      </w:pPr>
    </w:p>
    <w:p w:rsidR="00CF03FA" w:rsidRDefault="00CF03FA" w:rsidP="00CF03FA">
      <w:pPr>
        <w:pStyle w:val="TextoNormal"/>
      </w:pPr>
      <w:r w:rsidRPr="00CF03FA">
        <w:rPr>
          <w:rStyle w:val="NumeroAFNegritaCaracter"/>
        </w:rPr>
        <w:t>3</w:t>
      </w:r>
      <w:r>
        <w:t>. La demanda de amparo se refiere, en segundo lugar, a que tanto el Juzgado de lo Social núm. 10 de Madrid como la Sala de lo Social del TSJ de Madrid han vulnerado con sus resoluciones el derecho del demandante a la prueba (art. 24.2 CE). A estos efectos se aduce que el Juzgado no admitió, ni el TSJ de Madrid reparó posteriormente, la práctica de determinados medios de prueba propuestos que no alcanza en exclusiva a la entidad empleadora sino que se extiende a otras empresas participadas por Dinpe, S.A., o que son titulares de parte del capital de esta última.</w:t>
      </w:r>
    </w:p>
    <w:p w:rsidR="00CF03FA" w:rsidRDefault="00CF03FA" w:rsidP="00CF03FA">
      <w:pPr>
        <w:pStyle w:val="TextoNormal"/>
      </w:pPr>
      <w:r>
        <w:t>Esta petición de las declaraciones fiscales y las cuentas de los ejercicios 1998 a 2003 referidas a la totalidad de las empresas que se cita en la demanda —no sólo su empleadora— fue rechazada por el Juzgado de lo Social “en virtud de lo dispuesto en el art. 33 del Código de comercio”. Conviene en este punto recordar el contenido de los arts. 32 y 33 del señalado Código. El primero establece que la contabilidad de los empresarios es secreta, que la comunicación o el reconocimiento de los libros, correspondencia y demás documentos de los empresarios sólo puede decretarse en determinados supuestos; el segundo precisa que el reconocimiento al que se refiere el art. 32 se hará en el establecimiento del empresario, en su presencia o en el de la persona que comisione.</w:t>
      </w:r>
    </w:p>
    <w:p w:rsidR="00CF03FA" w:rsidRDefault="00CF03FA" w:rsidP="00CF03FA">
      <w:pPr>
        <w:pStyle w:val="TextoNormal"/>
      </w:pPr>
      <w:r>
        <w:t>La demanda de amparo expone que en el fondo lo que el recurrente solicita es tener acceso a dichas cuentas, con independencia de que el acceso se tenga que producir en el establecimiento del empresario. Y afirma que se ha realizado una interpretación formalista del art. 33 CCom; interpretación que impide el acceso a una de las pocas pruebas con las que poder sustentar el trasvase patrimonial o las operaciones que permitan poner de manifiesto una unidad patrimonial o confusión patrimonial. Para el recurrente de amparo el haberle negado dicha posibilidad ha supuesto una indefensión sobre algo decisivo para el fallo, como es la inexistencia de crisis económica si se tiene en cuenta al grupo, en lugar de la empresa a la que pertenece el trabajador.</w:t>
      </w:r>
    </w:p>
    <w:p w:rsidR="00CF03FA" w:rsidRDefault="00CF03FA" w:rsidP="00CF03FA">
      <w:pPr>
        <w:pStyle w:val="TextoNormal"/>
      </w:pPr>
      <w:r>
        <w:t>Con carácter general ha de indicarse que es doctrina reiterada de este Tribunal que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(por todas STC 165/2001, de 16 de julio, FJ 3).</w:t>
      </w:r>
    </w:p>
    <w:p w:rsidR="00CF03FA" w:rsidRDefault="00CF03FA" w:rsidP="00CF03FA">
      <w:pPr>
        <w:pStyle w:val="TextoNormal"/>
      </w:pPr>
      <w:r>
        <w:t xml:space="preserve">No ocurre así en el caso que se considera, en el que el Juzgado justifica la improcedencia de la prueba solicitada, argumentando el tenor literal de los arts. 32 y 33 CCom, que sólo permiten la exhibición de los libros del empresario cuando el reconocimiento se contraiga </w:t>
      </w:r>
      <w:r>
        <w:lastRenderedPageBreak/>
        <w:t>exclusivamente a los puntos que tengan relación con la cuestión de que se trate. Y, como señala el Ministerio Fiscal, es evidente que la propuesta del actor adolecía de tal generalidad que hacía imposible la admisión de lo pretendido, ya que exigía del Juzgador una labor de prospectiva que se refería a cualquier empresa que tuviera una mínima relación con su principal. Por otra parte la prueba objeto de debate carecía de virtualidad alguna para demostrar de modo directo e incontestable la supuesta falta de causas objetivas para el despido. En fin, en palabras de nuevo del Ministerio Fiscal, no puede olvidarse en este sentido que en autos obraba el informe correspondiente de la auditoría de la empresa, como tampoco puede dejar de considerarse la realidad de los despidos coetáneos de otros trabajadores en base a las mismas razones.</w:t>
      </w:r>
    </w:p>
    <w:p w:rsidR="00CF03FA" w:rsidRDefault="00CF03FA" w:rsidP="00CF03FA">
      <w:pPr>
        <w:pStyle w:val="TextoNormal"/>
      </w:pPr>
      <w:r>
        <w:t>A lo anterior conviene añadir que la STC 121/2004, de 12 de julio, a la que el recurrente hace mención en su demanda de amparo se refiere a un caso que, si bien guarda semejanzas con el actual (voluntad del recurrente de acreditar la existencia de un grupo de empresas), presenta también una importante diferencia. La denegación de la práctica de determinada prueba no tuvo más razonamiento que el siguiente: “no procede la aportación de los documentos indicados […] por no considerar necesaria dicha documentación”. En el presente caso, como se ha señalado, el Juzgado motiva su decisión con apoyo en una norma legal (arts. 33 y 32 CCom).</w:t>
      </w:r>
    </w:p>
    <w:p w:rsidR="00CF03FA" w:rsidRDefault="00CF03FA" w:rsidP="00CF03FA">
      <w:pPr>
        <w:pStyle w:val="TextoNormal"/>
      </w:pPr>
    </w:p>
    <w:p w:rsidR="00CF03FA" w:rsidRDefault="00CF03FA" w:rsidP="00CF03FA">
      <w:pPr>
        <w:pStyle w:val="TextoNormal"/>
      </w:pPr>
      <w:r w:rsidRPr="00CF03FA">
        <w:rPr>
          <w:rStyle w:val="NumeroAFNegritaCaracter"/>
        </w:rPr>
        <w:t>4</w:t>
      </w:r>
      <w:r>
        <w:t>. En tercer lugar la demanda de amparo señala que las resoluciones judiciales impugnadas han realizado una deficiente valoración de la prueba practicada y, por consiguiente, han producido una nueva vulneración del art. 24.2 CE.</w:t>
      </w:r>
    </w:p>
    <w:p w:rsidR="00CF03FA" w:rsidRDefault="00CF03FA" w:rsidP="00CF03FA">
      <w:pPr>
        <w:pStyle w:val="TextoNormal"/>
      </w:pPr>
      <w:r>
        <w:t>El Juez de lo Social extrae de la valoración conjunta del material probatorio practicado la consecuencia de que no existe el grupo empresarial al que se refiere el demandante de amparo. Según la Sentencia del Juzgado cabe establecer la realidad de una determinada interrelación societaria pero en modo alguno un grupo de empresas desde la perspectiva del orden social. La Sentencia motiva suficientemente este extremo, apoyándose en la Jurisprudencia de la Sala de lo Social del Tribunal Supremo y concluye que la exigencia de una pretendida responsabilidad solidaria en el cumplimiento de las obligaciones laborales resulta imposible.</w:t>
      </w:r>
    </w:p>
    <w:p w:rsidR="00CF03FA" w:rsidRDefault="00CF03FA" w:rsidP="00CF03FA">
      <w:pPr>
        <w:pStyle w:val="TextoNormal"/>
      </w:pPr>
      <w:r>
        <w:t>La queja formulada, en fin, es expresión de diferencias en la valoración de la prueba practicada y en la interpretación de la legislación ordinaria realizada por los recurrentes respecto de la formulada por los órganos judiciales, pretendiendo que este Tribunal actúe como una tercera instancia revisora de lo hecho por los Jueces y Tribunales ordinarios cuando, como es el caso, no se está conforme con sus decisiones.</w:t>
      </w:r>
    </w:p>
    <w:p w:rsidR="00CF03FA" w:rsidRDefault="00CF03FA" w:rsidP="00CF03FA">
      <w:pPr>
        <w:pStyle w:val="TextoNormal"/>
      </w:pPr>
      <w:r>
        <w:t>Como se ha expuesto, la lectura de la Sentencia del Juzgado de lo Social núm. 10 de Madrid permite deducir, en efecto, que el Juzgado realiza una valoración de las pruebas y de las declaraciones de los testigos contraria a los intereses del recurrente, pero que esta actividad ha sido efectuada con pleno respeto a las reglas de la sana crítica y con plena sujeción a la legislación procesal aplicable al caso, y exteriorizando en todo momento “los criterios jurídicos esenciales fundamentadores de la decisión” (por todas STC 143/2006, de 8 de mayo, FJ 4).</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Por último la demanda de amparo se refiere a que las resoluciones judiciales impugnadas han vulnerado el derecho a la libertad sindical (art. 28.1 CE) del recurrente, siendo así que ni el Juzgado de lo Social núm. 10 de Madrid ni la Sala de lo Social del TSJ de Madrid han atendido una circunstancia puesta de relieve por el recurrente, a saber, que su despido supuso la inmediata reacción de la empresa a la realización de una determinada </w:t>
      </w:r>
      <w:r>
        <w:lastRenderedPageBreak/>
        <w:t>actividad sindical, que se concreta en la entrega el día 12 de mayo de 2003 de un documento a la empresa Dinpe, S.A., que consiste en la solicitud del censo de su plantilla con el objeto de promover elecciones sindicales.</w:t>
      </w:r>
    </w:p>
    <w:p w:rsidR="00CF03FA" w:rsidRDefault="00CF03FA" w:rsidP="00CF03FA">
      <w:pPr>
        <w:pStyle w:val="TextoNormal"/>
      </w:pPr>
      <w:r>
        <w:t>De cara a considerar esta queja procede reconocer que el contenido del derecho a la libertad sindical ampara el derecho del trabajador a no sufrir, por razón de su afiliación o actividad sindical, menoscabo alguno en su situación profesional o económica en la empresa (STC 73/1998, de 31 de marzo, FJ 3). Esta garantía de indemnidad que otorga el art. 28.1 CE a los trabajadores ha sido reconocida por este Tribunal repetidamente frente a las facultades empresariales de despido, así como frente a otras facultades del empresario incluidas las organizativas (STC 168/2006, de 5 de junio, FJ 8, con cita de la STC 90/1997, de 6 de mayo, FJ 6). De otra parte, y ya desde la STC 38/1981, de 23 de noviembre, FJ 2, la doctrina de este Tribunal viene resaltando la importancia de las reglas de distribución de la carga de la prueba para la efectividad de la tutela del derecho fundamental de libertad sindical. En este sentido se ha señalado que, cuando se alegue que una decisión empresarial encubre en realidad una conducta lesiva de los derechos fundamentales, incumbe al empresario la carga de probar que su actuación obedece a motivos razonables, extraños a todo propósito atentatorio de un derecho fundamental. Para imponer la carga de la prueba expresada el trabajador ha de aportar previamente un indicio razonable de que el acto empresarial lesiona sus derechos fundamentales.</w:t>
      </w:r>
    </w:p>
    <w:p w:rsidR="00CF03FA" w:rsidRDefault="00CF03FA" w:rsidP="00CF03FA">
      <w:pPr>
        <w:pStyle w:val="TextoNormal"/>
      </w:pPr>
      <w:r>
        <w:t>No es, pues, suficiente la mera alegación de la vulneración constitucional. Al demandante corresponde aportar, cuando alegue que un acto empresarial ha lesionado su libertad sindical un indicio razonable de que tal lesión se ha producido, vale decir, un principio de prueba dirigido a poner de manifiesto, en su caso, el motivo oculto de aquel acto a lo que se refiere el art. 179.2 de la Ley de procedimiento laboral (LPL), que precisa que de lo alegado por la parte actora se ha de deducir la existencia de indicios de discriminación por motivos sindicales. En fin, el demandante que invoque esta inversión de la carga de la prueba ha de desarrollar una actividad alegatoria suficientemente concreta y precisa de la que resulten indicios de que ha existido discriminación.</w:t>
      </w:r>
    </w:p>
    <w:p w:rsidR="00CF03FA" w:rsidRDefault="00CF03FA" w:rsidP="00CF03FA">
      <w:pPr>
        <w:pStyle w:val="TextoNormal"/>
      </w:pPr>
      <w:r>
        <w:t>La anterior doctrina constitucional, sistematizada y resumida en la STC 29/2002, de 11 de febrero, FJ 3, conduce a examinar si el recurrente ha acreditado suficientemente la existencia de indicios que generen una razonable sospecha, apariencia o presunción a favor de su alegato.</w:t>
      </w:r>
    </w:p>
    <w:p w:rsidR="00CF03FA" w:rsidRDefault="00CF03FA" w:rsidP="00CF03FA">
      <w:pPr>
        <w:pStyle w:val="TextoNormal"/>
      </w:pPr>
      <w:r>
        <w:t>Sobre ello ha de afirmarse que las múltiples alegaciones contenidas en el recurso de amparo —y que son reproducción de las incluidas en la demanda iniciadora del proceso laboral — no logran revelar siquiera indiciariamente la realidad de esta pretendida lesión de un derecho fundamental, ya que, como se ha señalado más arriba, no se ha justificado mínimamente que la carta a la que alude el actor y en la que se pedía el listado de los trabajadores en orden a promover elecciones sindicales llegara a la empresa, y además el despido de aquél se debió a causas objetivas, tal y como acredita el hecho de que en el mismo fueran incluidos más trabajadores y no sólo el actor.</w:t>
      </w:r>
    </w:p>
    <w:p w:rsidR="00CF03FA" w:rsidRDefault="00CF03FA" w:rsidP="00CF03FA">
      <w:pPr>
        <w:pStyle w:val="TextoNormal"/>
      </w:pPr>
      <w:r>
        <w:t>En definitiva, la demanda de amparo no contiene orientación alguna que permita suponer una situación de hostilidad o enfrentamiento entre el trabajador y la empresa, en la que residenciar el origen del despido, muy al contrario, tal y como se recoge en la Sentencia de instancia y se ratifica en la dictada por la Sala de lo Social del TSJ de Madrid, el despido tuvo como causa antecedente la situación económica de la empresa, acreditada mediante una auditoría, que dio lugar a que se dictara una decisión extintiva que afectó a cinco trabajadores más.</w:t>
      </w:r>
    </w:p>
    <w:p w:rsidR="00CF03FA" w:rsidRDefault="00CF03FA" w:rsidP="00CF03FA">
      <w:pPr>
        <w:pStyle w:val="TextoNormal"/>
      </w:pPr>
    </w:p>
    <w:p w:rsidR="00CF03FA" w:rsidRDefault="00CF03FA" w:rsidP="00CF03FA">
      <w:pPr>
        <w:pStyle w:val="TextoNormal"/>
      </w:pPr>
      <w:r>
        <w:lastRenderedPageBreak/>
        <w:t>Por todo lo cual,</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el presente recurso de amparo.</w:t>
      </w:r>
    </w:p>
    <w:p w:rsidR="00CF03FA" w:rsidRDefault="00CF03FA" w:rsidP="00CF03FA">
      <w:pPr>
        <w:pStyle w:val="TextoNormal"/>
      </w:pPr>
    </w:p>
    <w:p w:rsidR="00CF03FA" w:rsidRDefault="00CF03FA" w:rsidP="00CF03FA">
      <w:pPr>
        <w:pStyle w:val="TextoNormal"/>
      </w:pPr>
      <w:r>
        <w:t>Madrid, a veintiocho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92" w:name="AUTO_2008_31"/>
      <w:r>
        <w:lastRenderedPageBreak/>
        <w:t>AUTO 31/2008, de 31 de enero de 2008</w:t>
      </w:r>
    </w:p>
    <w:bookmarkEnd w:id="92"/>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ECLI:ES:TC:2008:31A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Desestima el recurso de súplica sobre suspensión en el recurso de amparo 6097-2005, promovido por don José Rodríguez Pichaco en causa por delito contra la salud pública.</w:t>
      </w:r>
    </w:p>
    <w:p w:rsidR="00CF03FA" w:rsidRDefault="00CF03FA" w:rsidP="00CF03FA">
      <w:pPr>
        <w:pStyle w:val="SntesisDescriptiva"/>
      </w:pPr>
    </w:p>
    <w:p w:rsidR="00CF03FA" w:rsidRDefault="00CF03FA" w:rsidP="00CF03FA">
      <w:pPr>
        <w:pStyle w:val="SntesisAnaltica"/>
      </w:pPr>
      <w:r>
        <w:t>Recurso de súplica contra Autos del Tribunal Constitucional: desestimación. Suspensión cautelar de sentencias penales: multa,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con fecha 2 de septiembre de 2005, el Procurador de los Tribunales don Salvador Ferrándiz y Álvarez de Toledo, en nombre y representación de don José Rodríguez Pichaco, interpuso recurso de amparo contra la Sentencia dictada por la Audiencia Provincial de Cádiz, Sección de Algeciras, de 8 de julio de 2005, que desestima el recurso de apelación núm. 54-2005, interpuesto contra la Sentencia del Juzgado de lo Penal núm. 3 de Algeciras, de 25 de enero de 2005, procedimiento abreviado núm. 526-2004, que condenó al recurrente en amparo como autor penalmente responsable de un delito contra la salud pública a la pena de tres años y un mes de prisión, 15.000 euros de multa, con arresto sustitutorio de un día en caso de impago, y una cuarta parte de las costas. Por otrosí, el demandante solicitó la suspensión de la ejecución de las Sentencias recurridas.</w:t>
      </w:r>
    </w:p>
    <w:p w:rsidR="00CF03FA" w:rsidRDefault="00CF03FA" w:rsidP="00CF03FA">
      <w:pPr>
        <w:pStyle w:val="TextoNormal"/>
      </w:pPr>
    </w:p>
    <w:p w:rsidR="00CF03FA" w:rsidRDefault="00CF03FA" w:rsidP="00CF03FA">
      <w:pPr>
        <w:pStyle w:val="TextoNormal"/>
      </w:pPr>
      <w:r w:rsidRPr="00CF03FA">
        <w:rPr>
          <w:rStyle w:val="NumeroAFNegritaCaracter"/>
        </w:rPr>
        <w:t>2</w:t>
      </w:r>
      <w:r>
        <w:t>. Formada y tramitada la oportuna pieza separada, la Sala Segunda de este Tribunal, por Auto 359/2007, de 10 de septiembre, acordó acceder a la suspensión interesada, exclusivamente en lo relativo a la pena privativa de libertad, y rechazar por tanto la suspensión de la pena de multa impuesta, habida cuenta la consolidada doctrina constitucional que en forma unánime rechaza la suspensión de las resoluciones judiciales de efectos meramente económicos y el hecho de que el demandante nada hubiera alegado, además, sobre el carácter difícilmente irreparable de los perjuicios que le habría de ocasionar el pago de la citada multa.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Mediante escrito registrado en este Tribunal el día 26 de septiembre de 2007, el demandante de amparo interpuso contra el citado Auto recurso de súplica poniendo de manifiesto sus singulares circunstancias personales económicas y, en particular, el hecho de que el sueldo que actualmente percibe apenas le alcanza para atender sus necesidades diarias </w:t>
      </w:r>
      <w:r>
        <w:lastRenderedPageBreak/>
        <w:t>más elementales. Por este motivo, solicita de este Tribunal que, con revocación del Auto recurrido, acceda al otorgamiento de la suspensión de la multa impuesta.</w:t>
      </w:r>
    </w:p>
    <w:p w:rsidR="00CF03FA" w:rsidRDefault="00CF03FA" w:rsidP="00CF03FA">
      <w:pPr>
        <w:pStyle w:val="TextoNormal"/>
      </w:pPr>
    </w:p>
    <w:p w:rsidR="00CF03FA" w:rsidRDefault="00CF03FA" w:rsidP="00CF03FA">
      <w:pPr>
        <w:pStyle w:val="TextoNormal"/>
      </w:pPr>
      <w:r w:rsidRPr="00CF03FA">
        <w:rPr>
          <w:rStyle w:val="NumeroAFNegritaCaracter"/>
        </w:rPr>
        <w:t>4</w:t>
      </w:r>
      <w:r>
        <w:t>. Dado el oportuno traslado del anterior escrito para alegaciones, el Ministerio Fiscal, por escrito registrado el 30 de octubre de 2007, se opuso al citado recurso de súplica por considerar que las alegaciones del demandante no suponían ninguna modificación sustantiva de la situación ya contemplada en su momento para denegar la suspensión de la pena de multa interesada, pues los ingresos que el recurrente reconoce obtener, sin ser excesivos, tampoco determinan una situación de insolvencia ni, por lo mismo, la imposibilidad, so pena de ocasionar daños irreparables, de atender al pago de la multa considerada, tanto menos cuanto que el recurrente nada ha dicho sobre que con esos ingresos deba hacer frente a cargas familiares que pudieran quedar desprotegidas por el pago.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recurso de súplica interpuesto por el demandante de amparo debe ser desestimado, pues, como acertadamente pone de relieve el Ministerio Fiscal en su escrito de alegaciones, la situación económica personal que el recurrente describe en su</w:t>
      </w:r>
    </w:p>
    <w:p w:rsidR="00CF03FA" w:rsidRDefault="00CF03FA" w:rsidP="00CF03FA">
      <w:pPr>
        <w:pStyle w:val="TextoNormal"/>
      </w:pPr>
      <w:r>
        <w:t>recurso, sin ser probablemente desahogada, no es en rigor apurada ni, menos aún, de insolvencia, como tampoco da cuenta de una modificación sustancial en las circunstancias que ya fueron valoradas por este Tribunal en el Auto recurrido para denegar la</w:t>
      </w:r>
    </w:p>
    <w:p w:rsidR="00CF03FA" w:rsidRDefault="00CF03FA" w:rsidP="00CF03FA">
      <w:pPr>
        <w:pStyle w:val="TextoNormal"/>
      </w:pPr>
      <w:r>
        <w:t>suspensión de la pena de multa impuesta. En consecuencia, al igual que entonces y en defecto de la obligada justificación que no consta, no se advierte tampoco ahora en qué forma la ejecución del pronunciamiento judicial considerado habría de ocasionar</w:t>
      </w:r>
    </w:p>
    <w:p w:rsidR="00CF03FA" w:rsidRDefault="00CF03FA" w:rsidP="00CF03FA">
      <w:pPr>
        <w:pStyle w:val="TextoNormal"/>
      </w:pPr>
      <w:r>
        <w:t>un perjuicio irreparable o difícilmente reparable capaz de hacer perder al amparo su finalidad, por lo que procede confirmar la denegación de la suspensión interesada.</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Desestimar el recurso de súplica interpuesto por el don José Rodríguez Pichaco contra el ATC 359/2007, de 10 de septiembre.</w:t>
      </w:r>
    </w:p>
    <w:p w:rsidR="00CF03FA" w:rsidRDefault="00CF03FA" w:rsidP="00CF03FA">
      <w:pPr>
        <w:pStyle w:val="TextoNormal"/>
      </w:pPr>
    </w:p>
    <w:p w:rsidR="00CF03FA" w:rsidRDefault="00CF03FA" w:rsidP="00CF03FA">
      <w:pPr>
        <w:pStyle w:val="TextoNormal"/>
      </w:pPr>
      <w:r>
        <w:t>Madrid, a treinta y uno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93" w:name="AUTO_2008_32"/>
      <w:r>
        <w:lastRenderedPageBreak/>
        <w:t>AUTO 32/2008, de 31 de enero de 2008</w:t>
      </w:r>
    </w:p>
    <w:bookmarkEnd w:id="93"/>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ECLI:ES:TC:2008:32A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Acuerda la suspensión en el recurso de amparo 8524-2006, interpuesto por don Félix Redondo Suárez en causa por delito de lesiones en el ámbito doméstico.</w:t>
      </w:r>
    </w:p>
    <w:p w:rsidR="00CF03FA" w:rsidRDefault="00CF03FA" w:rsidP="00CF03FA">
      <w:pPr>
        <w:pStyle w:val="SntesisDescriptiva"/>
      </w:pPr>
    </w:p>
    <w:p w:rsidR="00CF03FA" w:rsidRDefault="00CF03FA" w:rsidP="00CF03FA">
      <w:pPr>
        <w:pStyle w:val="SntesisAnaltica"/>
      </w:pPr>
      <w:r>
        <w:t>Suspensión cautelar de resoluciones penales: declaración de nulidad de sentencia penal, suspende; ponderación de intereses.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En escrito presentado el 12 de septiembre de 2006 don Félix Redondo Suárez (condenado en Sentencia núm. 88/2006 de 19 de junio, del Juzgado de Violencia sobre la Mujer núm. 1 de Alicante, a la pena de dos años y ocho meses de prisión, accesoria inhabilitación especial del derecho de sufragio pasivo, privación del derecho a la tenencia y porte de armas durante dos años, con 1.350 euros de responsabilidad civil, y a la pena de prohibición de acercarse a la víctima a una distancia inferior a 500 metros, y, a comunicarse con ella, por un plazo de cinco años) manifiesta su intención de interponer recurso amparo contra el Auto de 17 de julio de 2006 del Juzgado de Violencia sobre la Mujer núm. 1 de Alicante que decreta, de oficio, la nulidad de la Sentencia núm. 88/2006 del mismo Juzgado, solicitando igualmente la designación de Abogado y Procurador por turno oficio. </w:t>
      </w:r>
    </w:p>
    <w:p w:rsidR="00CF03FA" w:rsidRDefault="00CF03FA" w:rsidP="00CF03FA">
      <w:pPr>
        <w:pStyle w:val="TextoNormal"/>
      </w:pPr>
      <w:r>
        <w:t xml:space="preserve">Efectuadas las designaciones, y dados los traslados oportunos previstos en la Ley Orgánica de este Tribunal, el 15 de noviembre de 2006 la Procuradora doña María Pilar Vived, en representación del Sr. Redondo Suárez, presentó recurso de amparo, en el que expone cómo el recurrente fue imputado en las diligencias urgentes núm. 239-2006, del Juzgado de Violencia sobre la Mujer núm. 1 Alicante, por un delito de lesiones en el ámbito doméstico, celebrándose el 19 de junio de 2006 el juicio oral, en cuya apertura el Ministerio Fiscal calificó los hechos como constitutivos de un delito de lesiones en el ámbito doméstico del art. 147.1 y 148.4 CP, castigado con pena (de dos a cinco años de prisión) superior a la indicada en el art. 801.1.2 LECrim para admitirse conformidad, no obstante lo cual las acusaciones y la defensa (y el acusado) mostraron su adhesión a la pena de dos años y ocho meses de prisión, accesoria de inhabilitación especial del derecho de sufragio pasivo, privación del derecho a la tenencia y porte de armas durante dos años, 1.350 euros de responsabilidad civil, y prohibición de acercarse a la víctima a una distancia inferior a 500 metros y de comunicarse con ella, por cinco años, dictándose Sentencia “de conformidad”, que devino firme. </w:t>
      </w:r>
    </w:p>
    <w:p w:rsidR="00CF03FA" w:rsidRDefault="00CF03FA" w:rsidP="00CF03FA">
      <w:pPr>
        <w:pStyle w:val="TextoNormal"/>
      </w:pPr>
      <w:r>
        <w:t xml:space="preserve">Posteriormente el Juzgado de lo Penal núm. 4 de Alicante, en ejecutoria núm. 292-2006, dictó providencia el 29 de junio de 2006, en la que estimaba que la pena con la que estaba </w:t>
      </w:r>
      <w:r>
        <w:lastRenderedPageBreak/>
        <w:t xml:space="preserve">castigado el delito de lesiones en el ámbito doméstico era superior al límite de la posible conformidad en el procedimiento de urgencia, por lo que dispuso la devolución de los autos al Juzgado de procedencia “a los efectos del art. 238 a 241 LOPJ (sic)”. Recibidas las actuaciones por el Juzgado de Violencia sobre la Mujer núm. 1 de Alicante este dictó providencia de 4 de julio de 2006, en la que “daba traslado a las partes, a fin de que se pronunciasen sobre la nulidad del acta de juicio”, tras lo cual, y no obstante la oposición del Sr. Redondo Suárez, se procedió a dictar Auto de nulidad de actuaciones, el 13 de julio de 2006 (momento en el que el Sr. Redondo ya manifestó su intención de recurrir en amparo). </w:t>
      </w:r>
    </w:p>
    <w:p w:rsidR="00CF03FA" w:rsidRDefault="00CF03FA" w:rsidP="00CF03FA">
      <w:pPr>
        <w:pStyle w:val="TextoNormal"/>
      </w:pPr>
      <w:r>
        <w:t>Entiende el recurrente que la revocación por el Juzgado de Violencia sobre la Mujer núm. 1 de Alicante, de oficio, mediante el Auto de 13 de julio de 2006, de la Sentencia núm. 88/2006, de 19 de junio, constituye una vulneración de los derechos a la tutela judicial efectiva e interdicción de la indefensión (art. 24.1 CE), del principio de seguridad jurídica (art. 9.3 CE) y del derecho al proceso con todas las garantías (art. 24. 2 CE), y que la efectiva tutela de estos derechos pasa por la suspensión de la eficacia del referido Auto.</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Turnada la referida demanda de amparo (núm. 8524-2006), correspondió su conocimiento a la Sección Cuarta del Tribunal Constitucional, que, por sendas providencias de 14 de febrero de 2007, acordó admitirla a trámite y la apertura de la correspondiente pieza de suspensión del recurso de amparo núm. 8524-2006, decretándose el traslado a las partes y al Ministerio Fiscal a fin de que formulasen alegaciones sobre la misma. </w:t>
      </w:r>
    </w:p>
    <w:p w:rsidR="00CF03FA" w:rsidRDefault="00CF03FA" w:rsidP="00CF03FA">
      <w:pPr>
        <w:pStyle w:val="TextoNormal"/>
      </w:pPr>
      <w:r>
        <w:t xml:space="preserve">En escrito presentado el 21 de febrero de 2007, el representante del Ministerio público interesó la remisión de las actuaciones, con suspensión del trámite conferido, para poder emitir el correspondiente informe. </w:t>
      </w:r>
    </w:p>
    <w:p w:rsidR="00CF03FA" w:rsidRDefault="00CF03FA" w:rsidP="00CF03FA">
      <w:pPr>
        <w:pStyle w:val="TextoNormal"/>
      </w:pPr>
      <w:r>
        <w:t>En escrito presentado el 22 de febrero de 2007, la representación de don Félix Redondo Suárez, concretando de forma expresa la petición implícita de suspensión contenida en la demanda presentada el 15 de noviembre de 2006, solicitó el otorgamiento de la suspensión cautelar del recurrido Auto de 13 de julio de 2007, del Juzgado de Violencia sobre la Mujer núm. 1 de Alicante, al objeto de “evitar la pérdida de la finalidad del amparo”, dado que “no se causa perturbación ni a los intereses generales y a los derechos y libertades de terceros”, y para —dice— “preservar el perjuicio moral irreparable que supondría para el recurrente la celebración de un nuevo juicio”; agrega “la ausencia de riesgo de elusión de la acción de la justicia” y “la satisfacción de los intereses de la víctima mediante la sentencia inicialmente impuesta”.</w:t>
      </w:r>
    </w:p>
    <w:p w:rsidR="00CF03FA" w:rsidRDefault="00CF03FA" w:rsidP="00CF03FA">
      <w:pPr>
        <w:pStyle w:val="TextoNormal"/>
      </w:pPr>
    </w:p>
    <w:p w:rsidR="00CF03FA" w:rsidRDefault="00CF03FA" w:rsidP="00CF03FA">
      <w:pPr>
        <w:pStyle w:val="TextoNormal"/>
      </w:pPr>
      <w:r w:rsidRPr="00CF03FA">
        <w:rPr>
          <w:rStyle w:val="NumeroAFNegritaCaracter"/>
        </w:rPr>
        <w:t>3</w:t>
      </w:r>
      <w:r>
        <w:t>. Recibidas las actuaciones (núm. 239-2006) el 1 de marzo de 2007, por diligencia de ordenación de 22 de mayo de 2007 de la Secretaría de la Sala Segunda del Tribunal Constitucional, se acordó dar traslado de las mismas al Ministerio Fiscal a fin de que cumplimentara el trámite conferido, evacuando el 25 de junio de 2007 informe sobre el fondo, en el que, tras las alegaciones que estima oportuno, interesa el otorgamiento la suspensión “a fin de evitar que el amparo pueda perder su finalidad”.</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w:t>
      </w:r>
      <w:r>
        <w:lastRenderedPageBreak/>
        <w:t>la suspensión no ocasione perturbación grave a un interés constitucionalmente protegido, ni a los derechos fundamentales o libertades de otra persona”.</w:t>
      </w:r>
    </w:p>
    <w:p w:rsidR="00CF03FA" w:rsidRDefault="00CF03FA" w:rsidP="00CF03FA">
      <w:pPr>
        <w:pStyle w:val="TextoNormal"/>
      </w:pPr>
      <w:r>
        <w:t>La referida norma tiene un contenido similar al del art. 56.1 LOTC en la redacción anterior a la Ley Orgánica 6/2007, en cuya interpretación este Tribunal ha mantenido que, cuando se trata de resoluciones judiciales, la suspensión de su ejecución entraña en sí misma una perturbación del interés general consistente en mantener su eficacia (AATC 99/2002, 263/2005 y 369/2005). Por ello, y en atención a la naturaleza especial de la jurisdicción de amparo, la suspensión prevista en la LOTC se configura como “una medida provisional de carácter excepcional y de aplicación restrictiva” (AATC 227/1999, 41/2001, 127/2001 y 369/2005),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(AATC 228/2001, 263/2005, 369/2005, 214/2007 y 396/2007).</w:t>
      </w:r>
    </w:p>
    <w:p w:rsidR="00CF03FA" w:rsidRDefault="00CF03FA" w:rsidP="00CF03FA">
      <w:pPr>
        <w:pStyle w:val="TextoNormal"/>
      </w:pPr>
      <w:r>
        <w:t>En el presente supuesto, consistente en la solicitud de suspensión de la ejecución de un Auto de nulidad dictado por el Juzgado de Violencia contra la Mujer núm. 1 de Alicante (a instancias del Juzgado de lo Penal núm.4 de la misma población) tratando de eliminar la virtualidad de la Sentencia núm. 88/2006 de dicho Juzgado de Violencia (dictada de conformidad aunque fuera del margen legal, si bien firme), hemos de concluir que el recurrente ha mostrado la irreparabilidad del perjuicio que para sus derechos fundamentales a la tutela judicial efectiva (art. 24.1 CE) y al proceso con todas las garantías (art. 24.2 CE), supone la inejecución de la sentencia firme de condena (aunque él sea el penado) en virtud del Auto de nulidad; ya que, si bien no hace imposible la reparación de la vulneración de los derechos, sí que la frustra prácticamente, caso de ser tardía, puesto que la efectividad del Auto le sometería a un nuevo juicio oral, con el eventual dictado de un fallo contradictorio y más gravoso.</w:t>
      </w:r>
    </w:p>
    <w:p w:rsidR="00CF03FA" w:rsidRDefault="00CF03FA" w:rsidP="00CF03FA">
      <w:pPr>
        <w:pStyle w:val="TextoNormal"/>
      </w:pPr>
    </w:p>
    <w:p w:rsidR="00CF03FA" w:rsidRDefault="00CF03FA" w:rsidP="00CF03FA">
      <w:pPr>
        <w:pStyle w:val="TextoNormal"/>
      </w:pPr>
      <w:r w:rsidRPr="00CF03FA">
        <w:rPr>
          <w:rStyle w:val="NumeroAFNegritaCaracter"/>
        </w:rPr>
        <w:t>2</w:t>
      </w:r>
      <w:r>
        <w:t>. Como hemos anticipado, dos razones justifican en este caso el otorgamiento de la suspensión: la primera, que el interés general en la efectividad de la resolución (Auto del Juzgado de Violencia sobre la Mujer núm. 1 de Alicante decretando la nulidad de 17 de julio de 2006) está precisamente en entredicho, por la paradoja que supondría la revocación de un pronunciamiento firme, y en ejecución (Sentencia núm. 88/2006, de 19 de junio), por un Auto de nulidad único (por todas STC 23/2005, de 14 febrero, FFJJ 4 y 5); y, la segunda, la contradicción de eventuales pronunciamientos futuros condenatorios (el existente y anulado, y el que deba dictarse por mor de la nulidad, con la consiguiente nueva apertura de juicio oral).</w:t>
      </w:r>
    </w:p>
    <w:p w:rsidR="00CF03FA" w:rsidRDefault="00CF03FA" w:rsidP="00CF03FA">
      <w:pPr>
        <w:pStyle w:val="TextoNormal"/>
      </w:pPr>
      <w:r>
        <w:t>Por contra la suspensión de la efectividad del Auto decretando la nulidad de la Sentencia de conformidad, no lesiona el “interés público en el proceso y en la efectividad de las resoluciones judiciales”, sino que, al contrario, tiende a preservarlo, habida cuenta que lo que dicho Auto enerva es la efectividad de una Sentencia judicial firme (con efectos de cosa juzgada, y, amparada en la intangibilidad de las resoluciones judiciales del art. 24.1 CE).</w:t>
      </w:r>
    </w:p>
    <w:p w:rsidR="00CF03FA" w:rsidRDefault="00CF03FA" w:rsidP="00CF03FA">
      <w:pPr>
        <w:pStyle w:val="TextoNormal"/>
      </w:pPr>
      <w:r>
        <w:t>En este sentido ya se ha pronunciado el Tribunal en supuestos similares, acordando la suspensión de actuaciones procesales penales aparentemente lesivas de derechos fundamentales por pérdida de la finalidad del amparo, dada la complicación que, para la retroacción de actuaciones, pudieran conllevar (por todos AATC 255/2003; 277/2001; 210/1997 y 39/1997).</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3</w:t>
      </w:r>
      <w:r>
        <w:t>. Por otra parte el equilibrio entre los intereses del recurrente, los generales de la sociedad y los derechos de terceros, que en cada supuesto han de ser ponderados conjuntamente (como hemos reiterado desde el ATC 17/1980, FJ 2), nos llevan a concluir que, en el presente supuesto, la suspensión de la ejecución del Auto de nulidad recurrido en amparo lleva consigo, precisamente, la efectividad de la condena ya impuesta, respecto de la cual la parte recurrente quedaría sujeta al régimen general de ejecución de condenas penales (virtualidad de las penas principales y accesorias, y responsabilidades civiles que se le impusieron), preservándose así —formal y materialmente— los intereses de la víctima, quien contará, en todo caso, con una Sentencia firme en su favor (con la prohibición de acercamiento y comunicación, y aseguramiento de responsabilidades civiles), por lo que sus derechos quedan salvaguardados.</w:t>
      </w:r>
    </w:p>
    <w:p w:rsidR="00CF03FA" w:rsidRDefault="00CF03FA" w:rsidP="00CF03FA">
      <w:pPr>
        <w:pStyle w:val="TextoNormal"/>
      </w:pPr>
    </w:p>
    <w:p w:rsidR="00CF03FA" w:rsidRDefault="00CF03FA" w:rsidP="00CF03FA">
      <w:pPr>
        <w:pStyle w:val="TextoNormal"/>
      </w:pPr>
      <w:r>
        <w:t>Por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Otorgar la suspensión solicitada del Auto de 13 de julio de 2006, del Jugado de Violencia sobre la Mujer núm. 1 de Alicante, que determinaba la nulidad de la Sentencia núm. 88/2006 de 19 de junio, del mismo Juzgado, en tanto se resuelva por este Tribunal</w:t>
      </w:r>
    </w:p>
    <w:p w:rsidR="00CF03FA" w:rsidRDefault="00CF03FA" w:rsidP="00CF03FA">
      <w:pPr>
        <w:pStyle w:val="TextoNormal"/>
      </w:pPr>
      <w:r>
        <w:t>sobre el recurso de amparo núm. 8524-2006.</w:t>
      </w:r>
    </w:p>
    <w:p w:rsidR="00CF03FA" w:rsidRDefault="00CF03FA" w:rsidP="00CF03FA">
      <w:pPr>
        <w:pStyle w:val="TextoNormal"/>
      </w:pPr>
    </w:p>
    <w:p w:rsidR="00CF03FA" w:rsidRDefault="00CF03FA" w:rsidP="00CF03FA">
      <w:pPr>
        <w:pStyle w:val="TextoNormal"/>
      </w:pPr>
      <w:r>
        <w:t>Madrid, a treinta y uno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94" w:name="AUTO_2008_33"/>
      <w:r>
        <w:lastRenderedPageBreak/>
        <w:t>AUTO 33/2008, de 31 de enero de 2008</w:t>
      </w:r>
    </w:p>
    <w:bookmarkEnd w:id="94"/>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ECLI:ES:TC:2008:33A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Deniega la suspensión en el recurso de amparo 2650-2007, promovido por don Miguel Collado Honrubia en causa por delito de quebrantamiento de condena.</w:t>
      </w:r>
    </w:p>
    <w:p w:rsidR="00CF03FA" w:rsidRDefault="00CF03FA" w:rsidP="00CF03FA">
      <w:pPr>
        <w:pStyle w:val="SntesisDescriptiva"/>
      </w:pPr>
    </w:p>
    <w:p w:rsidR="00CF03FA" w:rsidRDefault="00CF03FA" w:rsidP="00CF03FA">
      <w:pPr>
        <w:pStyle w:val="SntesisAnaltica"/>
      </w:pPr>
      <w:r>
        <w:t>Suspensión cautelar de sentencias penales: multa,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presentado en el Registro General de este Tribunal el día 23 de marzo de 2007 el Procurador de los Tribunales don Enrique de Antonio Vizcor, en nombre y representación de don Miguel Collado Honrubia, interpuso recurso de amparo contra la Sentencia de la Audiencia Provincial de Albacete (Sección Segunda) de 21 de febrero de 2007, ya referenciada, en la cual, revocando el pronunciamiento absolutorio dictado por el Juzgado de lo Penal núm. 2 de Albacete en Sentencia de 31 de octubre de 2006, se condena al recurrente por un delito de quebrantamiento de condena, a la pena de multa de doce meses, con cuota diaria de seis euros, con arresto sustitutorio de un día cada dos cuotas impagadas. </w:t>
      </w:r>
    </w:p>
    <w:p w:rsidR="00CF03FA" w:rsidRDefault="00CF03FA" w:rsidP="00CF03FA">
      <w:pPr>
        <w:pStyle w:val="TextoNormal"/>
      </w:pPr>
      <w:r>
        <w:t>En Segundo Otrosí, el recurrente solicitaba, al amparo de lo dispuesto en el art. 56 LOTC, la suspensión de la ejecución de la Sentencia objeto de recurso.</w:t>
      </w:r>
    </w:p>
    <w:p w:rsidR="00CF03FA" w:rsidRDefault="00CF03FA" w:rsidP="00CF03FA">
      <w:pPr>
        <w:pStyle w:val="TextoNormal"/>
      </w:pPr>
    </w:p>
    <w:p w:rsidR="00CF03FA" w:rsidRDefault="00CF03FA" w:rsidP="00CF03FA">
      <w:pPr>
        <w:pStyle w:val="TextoNormal"/>
      </w:pPr>
      <w:r w:rsidRPr="00CF03FA">
        <w:rPr>
          <w:rStyle w:val="NumeroAFNegritaCaracter"/>
        </w:rPr>
        <w:t>2</w:t>
      </w:r>
      <w:r>
        <w:t>. La Sala Segunda de este Tribunal, por providencia de 27 de noviembre de 2007, acordó admitir a trámite la demanda de amparo y, por providencia de la misma fecha, acordó formar la oportuna pieza para la tramitación del incidente de suspensión, otorgando, de conformidad con lo dispuesto en el art. 56 LOTC, un plazo común de tres días al demandante de amparo y al Ministerio Público para que formulasen las alegaciones que tuvieran por conveniente sobre la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3</w:t>
      </w:r>
      <w:r>
        <w:t>. La representación procesal del demandante de amparo evacuó el trámite de alegaciones conferido mediante escrito presentado en el Registro General de este Tribunal el día 12 de diciembre de 2007, en el que manifestó que su situación económica le impide hacer frente al pago de la multa, lo que supondría el cumplimiento del arresto sustitutorio, conllevando un perjuicio de imposible reparación.</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El Fiscal evacuó el trámite de alegaciones conferido mediante escrito presentado en el Registro general de este Tribunal el 19 de diciembre de 2007, considerando procedente la suspensión de la ejecución de la Sentencia recurrida en lo relativo al arresto sustitutorio </w:t>
      </w:r>
      <w:r>
        <w:lastRenderedPageBreak/>
        <w:t>en caso de impago de la multa, fundándose en que, no implicando la suspensión perturbación grave de los intereses generales, por tratarse de una situación individualizada, ni perturbación grave de derechos fundamentales de terceros, y atendiendo a la duración no superior a seis meses que la responsabilidad personal subsidiaria tendría, y al tiempo que normalmente se precisa para la tramitación de un recurso de amparo, podría éste devenir ineficaz y perder su finalidad en caso de la no suspensión.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De acuerdo con lo dispuesto en el art. 56.1 LOTC en la redacción vigente antes de su reforma por Ley Orgánica 6/2007,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CF03FA" w:rsidRDefault="00CF03FA" w:rsidP="00CF03FA">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63/2001, de 26 de marzo; 170/2001, de 22 de junio; 58/2002, de 8 de abril).</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w:t>
      </w:r>
      <w:r>
        <w:lastRenderedPageBreak/>
        <w:t>íntegra restitución de lo que fue objeto de ejecución o cumplimiento en el caso de una eventual estimación del recurso de amparo que así lo ordenase</w:t>
      </w:r>
    </w:p>
    <w:p w:rsidR="00CF03FA" w:rsidRDefault="00CF03FA" w:rsidP="00CF03FA">
      <w:pPr>
        <w:pStyle w:val="TextoNormal"/>
      </w:pPr>
      <w:r>
        <w:t>Y en lo tocante a la responsabilidad personal subsidiaria en caso de impago de multa, en aplicación de la doctrina mantenida por este Tribunal, no procede, en el momento actual, su suspensión, al tratarse de una eventualidad incierta que depende de que la multa no llegase efectivamente a ser pagada, y en cualquier caso de una eventualidad futura que, en caso de sobrevenir, podría dar lugar a nueva solicitud de suspensión y a la posibilidad de modificación de la medida cautelar que ahora se adopta, en virtud del art. 57 LOTC (AATC 107/1998, de 4 de mayo, 117/1999, de 29 de abril, 132/2000, de 29 de mayo, 258/2000, de 13 de noviembre; 230/2001, de 24 de julio; 35/2002, de 11 de marzo; 86/2003, de 17 de marzo; 361/2003, de 10 de noviembre, y 117/2004, de 19 de abril).</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de la ejecución de la Sentencia de la Audiencia Provincial de Albacete, Sección Segunda, de 21 de febrero de 2007.</w:t>
      </w:r>
    </w:p>
    <w:p w:rsidR="00CF03FA" w:rsidRDefault="00CF03FA" w:rsidP="00CF03FA">
      <w:pPr>
        <w:pStyle w:val="TextoNormal"/>
      </w:pPr>
    </w:p>
    <w:p w:rsidR="00CF03FA" w:rsidRDefault="00CF03FA" w:rsidP="00CF03FA">
      <w:pPr>
        <w:pStyle w:val="TextoNormal"/>
      </w:pPr>
      <w:r>
        <w:t>Madrid, a treinta y uno de enero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95" w:name="AUTO_2008_34"/>
      <w:r>
        <w:lastRenderedPageBreak/>
        <w:t>AUTO 34/2008, de 6 de febrero de 2008</w:t>
      </w:r>
    </w:p>
    <w:bookmarkEnd w:id="95"/>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ECLI:ES:TC:2008:34A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y don Manuel Aragón Reyes.</w:t>
      </w:r>
    </w:p>
    <w:p w:rsidR="00CF03FA" w:rsidRDefault="00CF03FA" w:rsidP="00CF03FA">
      <w:pPr>
        <w:pStyle w:val="SntesisDescriptiva"/>
      </w:pPr>
    </w:p>
    <w:p w:rsidR="00CF03FA" w:rsidRDefault="00CF03FA" w:rsidP="00CF03FA">
      <w:pPr>
        <w:pStyle w:val="SntesisDescriptiva"/>
      </w:pPr>
      <w:r>
        <w:t>Acuerda el desistimiento en el recurso de amparo 10282-2006.</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96" w:name="AUTO_2008_35"/>
      <w:r>
        <w:lastRenderedPageBreak/>
        <w:t>AUTO 35/2008, de 11 de febrero de 2008</w:t>
      </w:r>
    </w:p>
    <w:bookmarkEnd w:id="96"/>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ECLI:ES:TC:2008:35A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don Jorge Rodríguez-Zapata Pérez y don Pablo Pérez Tremps.</w:t>
      </w:r>
    </w:p>
    <w:p w:rsidR="00CF03FA" w:rsidRDefault="00CF03FA" w:rsidP="00CF03FA">
      <w:pPr>
        <w:pStyle w:val="SntesisDescriptiva"/>
      </w:pPr>
    </w:p>
    <w:p w:rsidR="00CF03FA" w:rsidRDefault="00CF03FA" w:rsidP="00CF03FA">
      <w:pPr>
        <w:pStyle w:val="SntesisDescriptiva"/>
      </w:pPr>
      <w:r>
        <w:t>Acuerda la acumulación de cuatro recursos de amparo al 5177-2003, promovidos en procedimientos de habeas corpus.</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97" w:name="AUTO_2008_36"/>
      <w:r>
        <w:lastRenderedPageBreak/>
        <w:t>AUTO 36/2008, de 11 de febrero de 2008</w:t>
      </w:r>
    </w:p>
    <w:bookmarkEnd w:id="97"/>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ECLI:ES:TC:2008:36A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Deniega la suspensión en el recurso de amparo 5077-2005, promovido por don Emiliano Murciano García contra la Sentencia de la Audiencia Provincial de Navarra recaída en recurso de apelación nº 3/04 interpuesto contra la dictada por el Juzgado de lo Penal nº 3 de Pamplona en procedimiento abreviado nº 80/03.</w:t>
      </w:r>
    </w:p>
    <w:p w:rsidR="00CF03FA" w:rsidRDefault="00CF03FA" w:rsidP="00CF03FA">
      <w:pPr>
        <w:pStyle w:val="SntesisDescriptiva"/>
      </w:pPr>
    </w:p>
    <w:p w:rsidR="00CF03FA" w:rsidRDefault="00CF03FA" w:rsidP="00CF03FA">
      <w:pPr>
        <w:pStyle w:val="SntesisAnaltica"/>
      </w:pPr>
      <w:r>
        <w:t>Suspensión cautelar de sentencias penales: multa,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presentado en el Registro General de este Tribunal el día 6 de julio de 2005, el Procurador de los Tribunales don Pablo Hornedo Muguiro, en representación de don Emiliano Murciano García, asistido por el Letrado don José Ramón Pardinas Sanz, interpuso recurso de amparo contra la Sentencia referenciada en el encabezamiento, en la que se condenaba al recurrente en amparo a la pena de un mes de multa a razón de una cuota diaria de 50 euros, con la responsabilidad personal subsidiaria, en caso de impago, de un día de privación de libertad por cada dos cuotas diarias insatisifechas. </w:t>
      </w:r>
    </w:p>
    <w:p w:rsidR="00CF03FA" w:rsidRDefault="00CF03FA" w:rsidP="00CF03FA">
      <w:pPr>
        <w:pStyle w:val="TextoNormal"/>
      </w:pPr>
      <w:r>
        <w:t>En otrosí, solicitaba la suspensión de la ejecución de la Sentencia, dados los perjuicios que podía acarrear al recurrente, al tener escasos recursos económicos.</w:t>
      </w:r>
    </w:p>
    <w:p w:rsidR="00CF03FA" w:rsidRDefault="00CF03FA" w:rsidP="00CF03FA">
      <w:pPr>
        <w:pStyle w:val="TextoNormal"/>
      </w:pPr>
    </w:p>
    <w:p w:rsidR="00CF03FA" w:rsidRDefault="00CF03FA" w:rsidP="00CF03FA">
      <w:pPr>
        <w:pStyle w:val="TextoNormal"/>
      </w:pPr>
      <w:r w:rsidRPr="00CF03FA">
        <w:rPr>
          <w:rStyle w:val="NumeroAFNegritaCaracter"/>
        </w:rPr>
        <w:t>2</w:t>
      </w:r>
      <w:r>
        <w:t>. La Sección Cuarta de este Tribunal, por providencia de 14 de mayo de 2007, de conformidad con el núm. 3 del art. 50 LOTC, acordó conceder a la parte recurrente y al Ministerio Fiscal un plazo de tres días para formular lo que estimasen pertinente en relación con lo dispuesto en el art. 50.1 c) LOTC.</w:t>
      </w:r>
    </w:p>
    <w:p w:rsidR="00CF03FA" w:rsidRDefault="00CF03FA" w:rsidP="00CF03FA">
      <w:pPr>
        <w:pStyle w:val="TextoNormal"/>
      </w:pPr>
    </w:p>
    <w:p w:rsidR="00CF03FA" w:rsidRDefault="00CF03FA" w:rsidP="00CF03FA">
      <w:pPr>
        <w:pStyle w:val="TextoNormal"/>
      </w:pPr>
      <w:r w:rsidRPr="00CF03FA">
        <w:rPr>
          <w:rStyle w:val="NumeroAFNegritaCaracter"/>
        </w:rPr>
        <w:t>3</w:t>
      </w:r>
      <w:r>
        <w:t>. Evacuadas tales alegaciones, la Sala Segunda de este Tribunal, por providencia de 16 de octubre de 2007,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4</w:t>
      </w:r>
      <w:r>
        <w:t>.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5</w:t>
      </w:r>
      <w:r>
        <w:t>. El Ministerio Fiscal evacuó el trámite de alegaciones conferido mediante escrito presentado en el Registro General de este Tribunal el 31 de octubre de 2007, en el que consideró improcedente la suspensión, al ser la sanción cuya suspensión se solicita de carácter patrimonial, sin perjuicio de que, en caso de que no fuera abonada la multa y se declarase subsidiariamente la responsabilidad personal sustitutoria, deba de procederse a la suspensión de tal pena. Además, entiende que tampoco procede la suspensión del pronunciamiento referido a la responsabilidad civil, dada la doctrina uniforme de este Tribunal y el hecho de que el Estado haya sido declarado responsable civil subsidiario.</w:t>
      </w:r>
    </w:p>
    <w:p w:rsidR="00CF03FA" w:rsidRDefault="00CF03FA" w:rsidP="00CF03FA">
      <w:pPr>
        <w:pStyle w:val="TextoNormal"/>
      </w:pPr>
    </w:p>
    <w:p w:rsidR="00CF03FA" w:rsidRDefault="00CF03FA" w:rsidP="00CF03FA">
      <w:pPr>
        <w:pStyle w:val="TextoNormal"/>
      </w:pPr>
      <w:r w:rsidRPr="00CF03FA">
        <w:rPr>
          <w:rStyle w:val="NumeroAFNegritaCaracter"/>
        </w:rPr>
        <w:t>6</w:t>
      </w:r>
      <w:r>
        <w:t>. La representación procesal del demandante de amparo no efectuó alegaciones en este trámite.</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F03FA" w:rsidRDefault="00CF03FA" w:rsidP="00CF03FA">
      <w:pPr>
        <w:pStyle w:val="TextoNormal"/>
      </w:pPr>
      <w:r>
        <w:t>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w:t>
      </w:r>
    </w:p>
    <w:p w:rsidR="00CF03FA" w:rsidRDefault="00CF03FA" w:rsidP="00CF03FA">
      <w:pPr>
        <w:pStyle w:val="TextoNormal"/>
      </w:pPr>
      <w: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w:t>
      </w:r>
      <w:r>
        <w:lastRenderedPageBreak/>
        <w:t>cuya vulneración denuncia, en el caso de una sentencia estimatoria, sea tardío e impida definitivamente que la restauración sea efectiva (entre otros muchos, ATC 198/2006, de 19 de junio, FJ 1).</w:t>
      </w:r>
    </w:p>
    <w:p w:rsidR="00CF03FA" w:rsidRDefault="00CF03FA" w:rsidP="00CF03FA">
      <w:pPr>
        <w:pStyle w:val="TextoNormal"/>
      </w:pPr>
      <w:r>
        <w:t>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00CF03FA" w:rsidRDefault="00CF03FA" w:rsidP="00CF03FA">
      <w:pPr>
        <w:pStyle w:val="TextoNormal"/>
      </w:pPr>
    </w:p>
    <w:p w:rsidR="00CF03FA" w:rsidRDefault="00CF03FA" w:rsidP="00CF03FA">
      <w:pPr>
        <w:pStyle w:val="TextoNormal"/>
      </w:pPr>
      <w:r w:rsidRPr="00CF03FA">
        <w:rPr>
          <w:rStyle w:val="NumeroAFNegritaCaracter"/>
        </w:rPr>
        <w:t>2</w:t>
      </w:r>
      <w:r>
        <w:t>. Descendiendo ya al análisis del concreto supuesto a que se refiere la presente petición de suspensión resulta evidente que, como hemos afirmado en el citado ATC 149/2006, FJ 2, tanto las penas de multa e indemnización como el pronunciamiento referido a las costas procesales son reconducibles a términos económicos, por lo que les resulta aplicable la doctrina recogida en el último párrafo del fundamento jurídico anterior; tanto más cuanto el actor, que no ha formulado alegación alguna en el presente incidente, ni siquiera ha intentado justificar el carácter irreversible de los daños que podría ocasionarle el cumplimiento de la condena impuesta. En tales circunstancias hemos de concluir que no procede la suspensión de las mencionadas sanciones.</w:t>
      </w:r>
    </w:p>
    <w:p w:rsidR="00CF03FA" w:rsidRDefault="00CF03FA" w:rsidP="00CF03FA">
      <w:pPr>
        <w:pStyle w:val="TextoNormal"/>
      </w:pPr>
      <w:r>
        <w:t>En segundo término, en cuanto a la responsabilidad personal subsidiaria para el caso de impago de la pena de multa, hemos de convenir con el Ministerio Fiscal en que se trata de una eventualidad incierta y futura que, en caso de sobrevenir, podría dar lugar a la modificación de la decisión que ahora se adopte, en virtud de lo dispuesto en el art. 57 LOTC (por todos, ATC 369/2004, de 4 de octubre), por lo que no procede en este momento su suspensión (ATC 149/2006, de 8 de mayo, FJ 2 in fine; 366/2006, de 23 de octubre, FJ 1).</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 en el recurso de amparo núm. 5077-2005, promovido por don Emiliano Murciano García.</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98" w:name="AUTO_2008_37"/>
      <w:r>
        <w:lastRenderedPageBreak/>
        <w:t>AUTO 37/2008, de 11 de febrero de 2008</w:t>
      </w:r>
    </w:p>
    <w:bookmarkEnd w:id="98"/>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ECLI:ES:TC:2008:37A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Acuerda la suspensión parcial en el recurso de amparo 5417-2005, promovido por don Andrés Pajares Alonso en causa por delito de lesiones.</w:t>
      </w:r>
    </w:p>
    <w:p w:rsidR="00CF03FA" w:rsidRDefault="00CF03FA" w:rsidP="00CF03FA">
      <w:pPr>
        <w:pStyle w:val="SntesisDescriptiva"/>
      </w:pPr>
    </w:p>
    <w:p w:rsidR="00CF03FA" w:rsidRDefault="00CF03FA" w:rsidP="00CF03FA">
      <w:pPr>
        <w:pStyle w:val="SntesisAnaltica"/>
      </w:pPr>
      <w:r>
        <w:t>Suspensión cautelar de sentencias penales: costas procesales e indemnización, no suspende; inhabilitación especial del derecho de sufragio y prisión de seis meses,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presentado en el Registro General de este Tribunal el día 15 de julio de 2005 don Domingo José Collado Molinero, Procurador de los Tribunales, en nombre y representación de don Andrés Pajares Alonso, interpuso recurso de amparo contra la Sentencia de la Sección Decimoséptima de la Audiencia Provincial de Madrid 655/2005, de 13 de junio, recaída en el rollo de apelación núm. 107-2005 dimanante del procedimiento abreviado núm. 26-2004, que, revocando parcialmente la dictada por el Juzgado de lo Penal núm. 1 de Madrid, de 23 de noviembre de 2004, condenó al recurrente en amparo, como autor de un delito de lesiones previsto en el art. 147.1 CP, a las penas de seis meses de prisión, inhabilitación especial para el derecho de sufragio por igual tiempo, al pago de las costas procesales, incluidas las de la acusación particular, y a indemnizar a doña Inmaculada Melero en la cantidad de 2.709,75 € por las lesiones causadas. </w:t>
      </w:r>
    </w:p>
    <w:p w:rsidR="00CF03FA" w:rsidRDefault="00CF03FA" w:rsidP="00CF03FA">
      <w:pPr>
        <w:pStyle w:val="TextoNormal"/>
      </w:pPr>
      <w:r>
        <w:t>Por medio de otrosí el demandante de amparo, con base en el art. 56 LOTC, interesó la suspensión de la ejecución de la Sentencia de la Sección Decimoséptima de la Audiencia Provincial de Madrid, dado que su ejecución convertiría en ilusoria la estimación del recurso de amparo, pues probablemente la pena impuesta ya se habría extinguido entonces por su cumplimiento.</w:t>
      </w:r>
    </w:p>
    <w:p w:rsidR="00CF03FA" w:rsidRDefault="00CF03FA" w:rsidP="00CF03FA">
      <w:pPr>
        <w:pStyle w:val="TextoNormal"/>
      </w:pPr>
    </w:p>
    <w:p w:rsidR="00CF03FA" w:rsidRDefault="00CF03FA" w:rsidP="00CF03FA">
      <w:pPr>
        <w:pStyle w:val="TextoNormal"/>
      </w:pPr>
      <w:r w:rsidRPr="00CF03FA">
        <w:rPr>
          <w:rStyle w:val="NumeroAFNegritaCaracter"/>
        </w:rPr>
        <w:t>2</w:t>
      </w:r>
      <w:r>
        <w:t>. La Sala Segunda del Tribunal Constitucional, por sendas providencias de 16 de octubre de 2007, acordó, respectivamente, admitir a trámite la demanda y formar la oportuna pieza para la tramitación del incidente de suspensión, concediendo un plazo de tres días a la parte recurrente y al Ministerio Fiscal para que alegaran lo que estimasen pertinente sobre la suspensión solicitada.</w:t>
      </w:r>
    </w:p>
    <w:p w:rsidR="00CF03FA" w:rsidRDefault="00CF03FA" w:rsidP="00CF03FA">
      <w:pPr>
        <w:pStyle w:val="TextoNormal"/>
      </w:pPr>
    </w:p>
    <w:p w:rsidR="00CF03FA" w:rsidRDefault="00CF03FA" w:rsidP="00CF03FA">
      <w:pPr>
        <w:pStyle w:val="TextoNormal"/>
      </w:pPr>
      <w:r w:rsidRPr="00CF03FA">
        <w:rPr>
          <w:rStyle w:val="NumeroAFNegritaCaracter"/>
        </w:rPr>
        <w:t>3</w:t>
      </w:r>
      <w:r>
        <w:t>. El recurrente en amparo evacuó el trámite de alegaciones conferido mediante escrito registrado en fecha 3 de octubre de 2007, en el que reiteró la petición de suspensión con base en las alegaciones expuestas en el escrito de demanda.</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El Ministerio Fiscal evacuó el trámite de alegaciones conferido mediante escrito registrado en fecha 7 de noviembre de 2007, en el que, tras reproducir la doctrina constitucional sobre este incidente de suspensión, los distintos intereses a ponderar y, más concretamente, sobre la suspensión de la ejecución de las resoluciones judiciales penales en cuyo fallo se declare la condena a penas privativas de libertad, considera que en este caso, en aplicación de la doctrina referida, procede acceder a la suspensión de la ejecución de la pena privativa de libertad y a la accesoria de derechos. </w:t>
      </w:r>
    </w:p>
    <w:p w:rsidR="00CF03FA" w:rsidRDefault="00CF03FA" w:rsidP="00CF03FA">
      <w:pPr>
        <w:pStyle w:val="TextoNormal"/>
      </w:pPr>
      <w:r>
        <w:t>Argumenta al respecto, en cuanto a la trascendencia social de la gravedad de la pena impuesta y el bien jurídico protegido, que se trata de una pena privativa de libertad menos grave. Aunque los delitos contra la integridad corporal representan una lacra social, en este caso se trata de unas lesiones no agravadas y su autor es español, con domicilio en España y, por tanto, en principio, con arraigo. Todos estos elementos comportan que, no advirtiéndose que de ellos deba resultar una perturbación grave a los intereses generales o de los derechos fundamentales o libertades públicas de un tercero —más allá de aquélla que de por sí produce la no ejecución del fallo judicial—, procede acceder a la suspensión de la pena privativa de libertad, atendiendo a su duración y al tiempo que normalmente se consume en la tramitación de un proceso de amparo como el presente, a fin de evitar que el recurso pierda su finalidad y resulten ilusorios, por poder estar extinguida la condena en caso de ejecutarse, los efectos de un eventualmente otorgamiento del amparo. Suspensión que debe extenderse a la pena accesoria de inhabilitación.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F03FA" w:rsidRDefault="00CF03FA" w:rsidP="00CF03FA">
      <w:pPr>
        <w:pStyle w:val="TextoNormal"/>
      </w:pPr>
      <w:r>
        <w:t>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Más concretamente, a los efectos que a este concreto incidente de suspensión interesan, este Tribunal ha establecido como criterio general la improcedencia de la suspensión </w:t>
      </w:r>
      <w:r>
        <w:lastRenderedPageBreak/>
        <w:t>de la ejecución de aquellos fallos judiciales que admiten la restitución íntegra de lo ejecutado, como, por lo general, sucede con las condenas de contenido económico o patrimonial, salvo que por su importancia o cuantía o por las especiales circunstancias concurrentes su cumplimiento pueda causar daños irreparables. De otra parte también tiene declarado que la suspensión de la ejecución de las resoluciones judiciales en cuyo fallo se declare la condena a penas privativas de libertad tampoco es aplicable con carácter absoluto y sin restricciones, dado que el citado art.  56.1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caso, pues las mismas pueden incrementar o disminuir el peso de los citados valores inclinando la resolución a favor del interés general o del interés particular que siempre concurren en el supuesto de hecho. Resulta pertinente ponderar, por lo tanto, la gravedad y naturaleza de los hechos enjuiciados y el bien jurídico protegido, su trascendencia social, la duración de la pena impuesta, el tiempo que reste de cumplimiento de la misma, el riesgo de eludir la acción de la justicia y la posible desprotección de las víctimas. De entre todos estos criterios cobra especial relevancia el referido a la gravedad de la pena impuesta, ya que expresa de forma sintética la reprobación que el Ordenamiento asigna al hecho delictivo —la importancia del bien jurídico tutelado, la gravedad y trascendencia social del delito— y, en consecuencia, la magnitud del interés general en su ejecución (por todos, AATC 359/2007, de 10 de septiembre, FJ 2; 366/2007, de 11 de septiembre, FJ 2; 418/2007, de 5 de noviembre, FJ 1).</w:t>
      </w:r>
    </w:p>
    <w:p w:rsidR="00CF03FA" w:rsidRDefault="00CF03FA" w:rsidP="00CF03FA">
      <w:pPr>
        <w:pStyle w:val="TextoNormal"/>
      </w:pPr>
    </w:p>
    <w:p w:rsidR="00CF03FA" w:rsidRDefault="00CF03FA" w:rsidP="00CF03FA">
      <w:pPr>
        <w:pStyle w:val="TextoNormal"/>
      </w:pPr>
      <w:r w:rsidRPr="00CF03FA">
        <w:rPr>
          <w:rStyle w:val="NumeroAFNegritaCaracter"/>
        </w:rPr>
        <w:t>3</w:t>
      </w:r>
      <w:r>
        <w:t>. La aplicación al caso de la doctrina expuesta conduce a considerar, como el Ministerio Fiscal pone de manifiesto en su escrito de alegaciones, si se compara la duración de la pena privativa de libertad impuesta al demandante (seis meses) con el tiempo que requiere normalmente la tramitación de un proceso de amparo como el presente, que, de no proceder a la suspensión de su ejecución, se le ocasionaría al recurrente un perjuicio irreparable que dejaría totalmente en entredicho la eficacia de un eventual fallo estimatorio de la demanda, por cuanto la pena de prisión estaría ya cumplida. Por otro lado, aunque los delitos contra la integridad corporal merecen un contundente reproche social, atendidas todas las circunstancias concurrentes en este caso —en particular, el reproche que para el Ordenamiento ha merecido la conducta del recurrente, del que es expresiva la duración de la condena; el arraigo del condenado a los efectos de una eventual intención de eludir la acción de la justicia; y, en fin, que no cabe apreciar en este caso una posible desprotección de la víctima— no se aprecia que la suspensión ocasione una lesión específica y grave de los intereses constitucionalmente protegidos —más allá de aquélla de que por sí produce la no ejecución del fallo judicial—, ni de derechos fundamentales o libertades públicas de terceros, mientras que, por el contrario, de no accederse a la suspensión, sí se irrogarían al demandante el perjuicio de muy difícil o imposible reparación ya señalado (AATC 286/1997, de 21 de julio; 71/2004, de 8 de marzo).</w:t>
      </w:r>
    </w:p>
    <w:p w:rsidR="00CF03FA" w:rsidRDefault="00CF03FA" w:rsidP="00CF03FA">
      <w:pPr>
        <w:pStyle w:val="TextoNormal"/>
      </w:pPr>
      <w:r>
        <w:t>La suspensión de la ejecución de la pena privativa de libertad conlleva también, de acuerdo con una reiterada doctrina constitucional, la suspensión de la pena accesoria de privación del derecho de sufragio, al seguir la pena accesoria la misma suerte que la principal (ATC 286/2007, de 18 de junio, FJ 3, por todas).</w:t>
      </w:r>
    </w:p>
    <w:p w:rsidR="00CF03FA" w:rsidRDefault="00CF03FA" w:rsidP="00CF03FA">
      <w:pPr>
        <w:pStyle w:val="TextoNormal"/>
      </w:pPr>
      <w:r>
        <w:t xml:space="preserve">Sin embargo no procede acceder a la suspensión de la condena al pago de las costas procesales y de la cantidad que debe abonar en concepto de indemnización a doña Inmaculada Melero, por tratarse de pronunciamientos de carácter estrictamente económico, sin que </w:t>
      </w:r>
      <w:r>
        <w:lastRenderedPageBreak/>
        <w:t>el recurrente haya alegado nada sobre las serias dificultades o irreversibles daños que podría ocasionarle el cumplimiento de dicha condena (AATC 359/2007, de 10 de septiembre, FJ 3; 411/2007, de 5 de noviembre, FJ 2).</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Suspender la ejecución de la Sentencia de la Sección Decimoséptima de la Audiencia Provincial de Madrid núm. 655/2005, de 13 de junio, recaída en el rollo de apelación núm. 107-2005 dimanante del procedimiento abreviado núm. 26-2004, exclusivamente en lo</w:t>
      </w:r>
    </w:p>
    <w:p w:rsidR="00CF03FA" w:rsidRDefault="00CF03FA" w:rsidP="00CF03FA">
      <w:pPr>
        <w:pStyle w:val="TextoNormal"/>
      </w:pPr>
      <w:r>
        <w:t>relativo a la pena privativa de libertad y a la accesoria de suspensión del derecho de sufragio.</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99" w:name="AUTO_2008_38"/>
      <w:r>
        <w:lastRenderedPageBreak/>
        <w:t>AUTO 38/2008, de 11 de febrero de 2008</w:t>
      </w:r>
    </w:p>
    <w:bookmarkEnd w:id="99"/>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ECLI:ES:TC:2008:38A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Desestima el recurso de súplica sobre inadmisión del recurso de amparo 8070-2005, promovido por don Julián Tortosa Rodríguez en pleito por liquidación de gananciales.</w:t>
      </w:r>
    </w:p>
    <w:p w:rsidR="00CF03FA" w:rsidRDefault="00CF03FA" w:rsidP="00CF03FA">
      <w:pPr>
        <w:pStyle w:val="SntesisDescriptiva"/>
      </w:pPr>
    </w:p>
    <w:p w:rsidR="00CF03FA" w:rsidRDefault="00CF03FA" w:rsidP="00CF03FA">
      <w:pPr>
        <w:pStyle w:val="SntesisAnaltica"/>
      </w:pPr>
      <w:r>
        <w:t>Recurso de amparo: pendencia de recursos judiciales. Recurso de súplica contra providencias de inadmisión del Tribunal Constitucional: desestimación.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día 24 de julio de 2007 el Ministerio Fiscal interpuso recurso de súplica contra la providencia de la Sección Tercera de este Tribunal, de 4 de junio de 2007, que acordó inadmitir el recurso de amparo núm. 8070-2005, interpuesto por don Julián Tortosa Rodríguez.</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relevantes para el presente recurso de súplica son, sucintamente expuestos, los siguientes: </w:t>
      </w:r>
    </w:p>
    <w:p w:rsidR="00CF03FA" w:rsidRDefault="00CF03FA" w:rsidP="00CF03FA">
      <w:pPr>
        <w:pStyle w:val="TextoNormal"/>
      </w:pPr>
      <w:r>
        <w:t xml:space="preserve">a) Mediante escrito registrado en este Tribunal con fecha 14 de noviembre de 2005 don Julián Tortosa Rodríguez interpuso recurso de amparo contra el Auto del Juzgado de Primera Instancia núm. 1 de Alcorcón, de 15 de septiembre 2005, dictado en el incidente de recusación dimanante del procedimiento de liquidación de gananciales núm. 319-2004. En dicho escrito el recurrente interesaba asimismo la designación de Procurador y Abogado del turno de oficio. </w:t>
      </w:r>
    </w:p>
    <w:p w:rsidR="00CF03FA" w:rsidRDefault="00CF03FA" w:rsidP="00CF03FA">
      <w:pPr>
        <w:pStyle w:val="TextoNormal"/>
      </w:pPr>
      <w:r>
        <w:t xml:space="preserve">b) La Sección Tercera de este Tribunal, por diligencia de ordenación de 1 de diciembre de 2005, acordó, antes de resolver sobre la solicitud de designación de Abogado y Procurador de oficio, dirigir comunicación al Juzgado de Primera Instancia núm. 1 de Alcorcón a fin de que remitiera certificación de la fecha de notificación a la representación procesal del recurrente de la resolución judicial recurrida. Una vez recibida la certificación interesada, la Sección, por nueva diligencia de ordenación, de fecha 16 de marzo de 2006, acordó, de conformidad con lo establecido en la Ley 1/1996, de asistencia jurídica gratuita y el Acuerdo del Pleno del Tribunal Constitucional de 18 de junio de 1996, librar despacho al Colegio de Abogados de Madrid para que designara, si fuera procedente, Letrado y Procurador del turno de oficio que defienda y represente respectivamente al recurrente en amparo. </w:t>
      </w:r>
    </w:p>
    <w:p w:rsidR="00CF03FA" w:rsidRDefault="00CF03FA" w:rsidP="00CF03FA">
      <w:pPr>
        <w:pStyle w:val="TextoNormal"/>
      </w:pPr>
      <w:r>
        <w:t xml:space="preserve">c) Recibidos los oportunos despachos de los Colegios de Abogados y Procuradores de Madrid, comunicando la designación por el turno de oficio del Letrado don Pedro Escorial Herranz para la defensa del recurrente y del Procurador don Pablo José Trujillo Castellano para su representación, la Sección Tercera, por nueva diligencia de ordenación, de fecha 20 </w:t>
      </w:r>
      <w:r>
        <w:lastRenderedPageBreak/>
        <w:t xml:space="preserve">de abril de 2006, acordó tener por hechas las anteriores designaciones y, con traslado al citado Procurador de las actuaciones judiciales recibidas y los escritos y documentos presentados, concederle plazo de veinte días para que, bajo la dirección del mencionado Letrado, formulase, en su caso, la correspondiente demanda de amparo; lo que así verificaría mediante escrito registrado en este Tribunal el 29 de mayo de 2006. </w:t>
      </w:r>
    </w:p>
    <w:p w:rsidR="00CF03FA" w:rsidRDefault="00CF03FA" w:rsidP="00CF03FA">
      <w:pPr>
        <w:pStyle w:val="TextoNormal"/>
      </w:pPr>
      <w:r>
        <w:t xml:space="preserve">d) En su demanda de amparo el recurrente denunciaba la infracción del derecho a la tutela judicial efectiva, en su vertiente del derecho de acceso a la jurisdicción (art. 24.1 CE), por considerar que el Auto impugnado del Juzgado de Primera Instancia núm. 1 de Alcorcón, de 15 de septiembre de 2005, que declaró, en aplicación de lo dispuesto en el art. 223 LOPJ, no haber lugar, por extemporáneo, a la admisión de su escrito de recusación de la Secretaria Judicial presentado con fecha 15 de abril de 2005, había incurrido en un manifiesto error patente al fijar el correspondiente dies a quo para la formulación del incidente de recusación en una fecha equivocada. En forma concluyente, porque su primera comparecencia ante la Secretaria del Juzgado, que determina el día en el que el recurrente tuvo conocimiento de la intervención de dicha funcionaria y, por consiguiente, el momento también en el que debió recusarla, no se produjo en febrero de 2005, como equivocadamente se dice en el Auto recurrido, sino en abril de 2005, conforme lo certifica el relato de hechos que contiene el Auto anterior dictado por el propio órgano judicial en ese mismo asunto con fecha de 15 de julio de 2005. </w:t>
      </w:r>
    </w:p>
    <w:p w:rsidR="00CF03FA" w:rsidRDefault="00CF03FA" w:rsidP="00CF03FA">
      <w:pPr>
        <w:pStyle w:val="TextoNormal"/>
      </w:pPr>
      <w:r>
        <w:t>e) Mediante providencia de fecha 4 de junio de 2007, la Sección Tercera de este Tribunal acordó por unanimidad y de conformidad con el art. 50.1 a), en relación con lo dispuesto en el art. 44.1 a) LOTC, la inadmisión de la demanda de amparo por prematura, toda vez que, según probaban las actuaciones judiciales aportadas, al tiempo de la interposición del recurso de amparo, el procedimiento judicial no había concluido por resolución definitiva.</w:t>
      </w:r>
    </w:p>
    <w:p w:rsidR="00CF03FA" w:rsidRDefault="00CF03FA" w:rsidP="00CF03FA">
      <w:pPr>
        <w:pStyle w:val="TextoNormal"/>
      </w:pPr>
    </w:p>
    <w:p w:rsidR="00CF03FA" w:rsidRDefault="00CF03FA" w:rsidP="00CF03FA">
      <w:pPr>
        <w:pStyle w:val="TextoNormal"/>
      </w:pPr>
      <w:r w:rsidRPr="00CF03FA">
        <w:rPr>
          <w:rStyle w:val="NumeroAFNegritaCaracter"/>
        </w:rPr>
        <w:t>3</w:t>
      </w:r>
      <w:r>
        <w:t>. En su recurso de súplica, el Ministerio Fiscal solicita la revocación de la citada providencia de inadmisión al considerar que, dada la notoria contradicción que existe entre la fecha de febrero de 2005 en la que, según el Auto recurrido en amparo, se produjo la primera comparecencia del recurrente ante la Secretaria Judicial, y la que consta anotada como fecha de dicha comparecencia en el Auto del propio órgano judicial de 15 de julio de 2005, que la data en abril de 2005, no es posible resolver sobre la admisión o no del recurso sin antes tener a la vista la integridad de los citados Autos, que, en consecuencia, interesa sean reclamados.</w:t>
      </w:r>
    </w:p>
    <w:p w:rsidR="00CF03FA" w:rsidRDefault="00CF03FA" w:rsidP="00CF03FA">
      <w:pPr>
        <w:pStyle w:val="TextoNormal"/>
      </w:pPr>
    </w:p>
    <w:p w:rsidR="00CF03FA" w:rsidRDefault="00CF03FA" w:rsidP="00CF03FA">
      <w:pPr>
        <w:pStyle w:val="TextoNormal"/>
      </w:pPr>
      <w:r w:rsidRPr="00CF03FA">
        <w:rPr>
          <w:rStyle w:val="NumeroAFNegritaCaracter"/>
        </w:rPr>
        <w:t>4</w:t>
      </w:r>
      <w:r>
        <w:t>. Por diligencia de ordenación de 17 de septiembre de 2007, la Sección Tercera de este Tribunal, de conformidad con el art. 93.2 LOTC, acordó conceder a la parte demandante de amparo plazo de tres días para que, con traslado del recurso de súplica interpuesto por el Ministerio Fiscal, alegara lo que estimara pertinente respecto.</w:t>
      </w:r>
    </w:p>
    <w:p w:rsidR="00CF03FA" w:rsidRDefault="00CF03FA" w:rsidP="00CF03FA">
      <w:pPr>
        <w:pStyle w:val="TextoNormal"/>
      </w:pPr>
    </w:p>
    <w:p w:rsidR="00CF03FA" w:rsidRDefault="00CF03FA" w:rsidP="00CF03FA">
      <w:pPr>
        <w:pStyle w:val="TextoNormal"/>
      </w:pPr>
      <w:r w:rsidRPr="00CF03FA">
        <w:rPr>
          <w:rStyle w:val="NumeroAFNegritaCaracter"/>
        </w:rPr>
        <w:t>5</w:t>
      </w:r>
      <w:r>
        <w:t>. Con fecha 1 de octubre de 2007 el recurrente presentó sus alegaciones, adhiriéndose al recurso de súplica interpuesto.</w:t>
      </w:r>
    </w:p>
    <w:p w:rsidR="00CF03FA" w:rsidRDefault="00CF03FA" w:rsidP="00CF03FA">
      <w:pPr>
        <w:pStyle w:val="TextoNormal"/>
      </w:pPr>
    </w:p>
    <w:p w:rsidR="00CF03FA" w:rsidRDefault="00CF03FA" w:rsidP="00CF03FA">
      <w:pPr>
        <w:pStyle w:val="TextoNormalNegritaCentrado"/>
        <w:keepNext/>
      </w:pPr>
      <w:r>
        <w:lastRenderedPageBreak/>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recurso de súplica interpuesto por el Ministerio público debe ser desestimado. La contradicción de fechas que refiere en su escrito el Fiscal acerca del día en el que realmente se produjo la comparecencia del demandante de amparo ante la</w:t>
      </w:r>
    </w:p>
    <w:p w:rsidR="00CF03FA" w:rsidRDefault="00CF03FA" w:rsidP="00CF03FA">
      <w:pPr>
        <w:pStyle w:val="TextoNormal"/>
      </w:pPr>
      <w:r>
        <w:t>Secretaria Judicial y, por tanto, sobre la dificultad que existiría a la hora de poder determinar con seguridad el momento en el que aquél tuvo conocimiento de la intervención de la citada funcionaria judicial al objeto de poder recusarla en plazo, puede</w:t>
      </w:r>
    </w:p>
    <w:p w:rsidR="00CF03FA" w:rsidRDefault="00CF03FA" w:rsidP="00CF03FA">
      <w:pPr>
        <w:pStyle w:val="TextoNormal"/>
      </w:pPr>
      <w:r>
        <w:t>ser acaso relevante para enjuiciar el fondo de la lesión constitucional que se denunciaba en la demanda de amparo, esto es, para dilucidar si el Auto impugnado, de 15 de septiembre de 2005, que inadmitió a trámite el escrito de recusación presentado por</w:t>
      </w:r>
    </w:p>
    <w:p w:rsidR="00CF03FA" w:rsidRDefault="00CF03FA" w:rsidP="00CF03FA">
      <w:pPr>
        <w:pStyle w:val="TextoNormal"/>
      </w:pPr>
      <w:r>
        <w:t>el recurrente en abril de 2005, incurrió o no en un manifiesto error patente contrario al art. 24.1 CE al declarar que la citada recusación se propuso fuera del correspondiente plazo legal y no, por tanto, tan pronto el interesado tuvo conocimiento de la</w:t>
      </w:r>
    </w:p>
    <w:p w:rsidR="00CF03FA" w:rsidRDefault="00CF03FA" w:rsidP="00CF03FA">
      <w:pPr>
        <w:pStyle w:val="TextoNormal"/>
      </w:pPr>
      <w:r>
        <w:t>causa en se fundaba (art. 223 LOPJ). Pero no, en cambio, para cuestionar el carácter prematuro del recurso de amparo interpuesto que declaramos en la providencia ahora recurrida. Pues, teniendo en cuenta, conforme este Tribunal ha advertido, que la</w:t>
      </w:r>
    </w:p>
    <w:p w:rsidR="00CF03FA" w:rsidRDefault="00CF03FA" w:rsidP="00CF03FA">
      <w:pPr>
        <w:pStyle w:val="TextoNormal"/>
      </w:pPr>
      <w:r>
        <w:t>resolución judicial que pone término al incidente de recusación no supone el agotamiento de la vía judicial previa (ATC 173/1995, de 6 de junio, FJ 5), y que en el asunto que consideramos, a la fecha de la interposición del presente recurso de amparo, el</w:t>
      </w:r>
    </w:p>
    <w:p w:rsidR="00CF03FA" w:rsidRDefault="00CF03FA" w:rsidP="00CF03FA">
      <w:pPr>
        <w:pStyle w:val="TextoNormal"/>
      </w:pPr>
      <w:r>
        <w:t>proceso judicial no había efectivamente aún finalizado, no hay duda que el hecho controvertido al que alude el Ministerio Fiscal sobre si la comparecencia del recurrente ante la Secretaria Judicial a recusar se produjo en febrero o en abril de 2005 nada</w:t>
      </w:r>
    </w:p>
    <w:p w:rsidR="00CF03FA" w:rsidRDefault="00CF03FA" w:rsidP="00CF03FA">
      <w:pPr>
        <w:pStyle w:val="TextoNormal"/>
      </w:pPr>
      <w:r>
        <w:t>obsta, a la decisión de inadmisión que combate.</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Desestimar el recurso de súplica interpuesto por el Ministerio Fiscal en el recurso de amparo 8070-2005.</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0" w:name="AUTO_2008_39"/>
      <w:r>
        <w:lastRenderedPageBreak/>
        <w:t>AUTO 39/2008, de 11 de febrero de 2008</w:t>
      </w:r>
    </w:p>
    <w:bookmarkEnd w:id="100"/>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ECLI:ES:TC:2008:39A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Deniega la suspensión en el recurso de amparo 8426-2005, promovido por El Estanquero, S.L., en pleito sobre suspensión de obra nueva.</w:t>
      </w:r>
    </w:p>
    <w:p w:rsidR="00CF03FA" w:rsidRDefault="00CF03FA" w:rsidP="00CF03FA">
      <w:pPr>
        <w:pStyle w:val="SntesisDescriptiva"/>
      </w:pPr>
    </w:p>
    <w:p w:rsidR="00CF03FA" w:rsidRDefault="00CF03FA" w:rsidP="00CF03FA">
      <w:pPr>
        <w:pStyle w:val="SntesisAnaltica"/>
      </w:pPr>
      <w:r>
        <w:t>Suspensión cautelar de resoluciones civiles: quebranto económico personal no acreditado; obras,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Por escrito registrado en este Tribunal el 23 de noviembre de 2005 la Procuradora doña Alicia Martín Yañez interpuso demanda de amparo, en nombre y representación de El Estanquero, S.L., contra la Sentencia de la Sección Primera de la Audiencia Provincial de Almería de fecha 19 de septiembre de 2005, rollo de apelación núm. 178-2004, que, desestimando el recurso formulado por la recurrente en amparo, confirmó la Sentencia del Juzgado de Primera Instancia núm. 2 de Berja de 12 de enero de 2004 que desestimó la demanda de suspensión de obra nueva presentada por la aquí recurrente al apreciar falta de legitimación pasiva del demandado. Por medio de otrosí solicitó la suspensión de la ejecución de las Sentencias recurridas por considerar que si no se paralizan las obras que con el interdicto se pretendían la sentencia de amparo no tendría ninguna eficacia.</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providencias de 4 de octubre de 2007 la Sala Segunda acordó admitir a trámite el recurso de amparo y formar la oportuna pieza para la tramitación del incidente de suspensión, concediendo, conforme a lo dispuesto en el art. 56 LOTC, un plazo común de tres días a la parte recurrente y al Ministerio público para que alegaran lo que estimasen pertinente sobre dicha suspensión.</w:t>
      </w:r>
    </w:p>
    <w:p w:rsidR="00CF03FA" w:rsidRDefault="00CF03FA" w:rsidP="00CF03FA">
      <w:pPr>
        <w:pStyle w:val="TextoNormal"/>
      </w:pPr>
    </w:p>
    <w:p w:rsidR="00CF03FA" w:rsidRDefault="00CF03FA" w:rsidP="00CF03FA">
      <w:pPr>
        <w:pStyle w:val="TextoNormal"/>
      </w:pPr>
      <w:r w:rsidRPr="00CF03FA">
        <w:rPr>
          <w:rStyle w:val="NumeroAFNegritaCaracter"/>
        </w:rPr>
        <w:t>3</w:t>
      </w:r>
      <w:r>
        <w:t>. La Procuradora doña Alicia Martín Yañez presentó escrito en este Tribunal, registrado el 26 de octubre de 2007, en el que, tras recordar la alegación ya formulada sobre la suspensión en el primer otrosí de la demanda de amparo, añade que continúa interesada en que se acuerde la suspensión; y en concreto interesa que, dado que los trabajos de roturación de la finca y posterior construcción de unos invernaderos son obras desmontables, se proceda a desmontar los invernaderos y a realizar las obras oportunas para que la finca vuelva al estado anterior al que se encontraba antes de la realización de las obras objeto del interdicto.</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4</w:t>
      </w:r>
      <w:r>
        <w:t>. Por su parte el Fiscal, en escrito registrado el 28 de octubre de 2007, tras hacer referencia a que en la reforma operada por la Ley Orgánica 6/2007 se mantiene la excepcionalidad de la medida cautelar de suspensión postulada en la doctrina jurisprudencial anterior, señala que la suspensión de las resoluciones impugnadas implicaría la paralización de las obras por el demandado, lo que determinaría que se lograra por vía de suspensión más que lo pretendido por vía de amparo, ya que el eventual otorgamiento de éste comportaría la anulación de las Sentencias recurridas pero no necesariamente el éxito de la acción de interdicto. En consecuencia concluye que debiera seguirse el principio general de la no suspensión, sin perjuicio de que la Sala pudiera acordar, conforme al art. 56. 3 LOTC, la exigencia de una caución para impedir que la continuación de las obras por el demandado pudiera revertir en un beneficio sin contraprestación si el amparo se otorgara en su día y las nuevas sentencias estimaran la acción interdictal.</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Establece el art. 56.2 LOTC,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F03FA" w:rsidRDefault="00CF03FA" w:rsidP="00CF03FA">
      <w:pPr>
        <w:pStyle w:val="TextoNormal"/>
      </w:pPr>
      <w:r>
        <w:t>En aplicación del art. 56.1 LOTC, en gran parte similar en su redacción a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00CF03FA" w:rsidRDefault="00CF03FA" w:rsidP="00CF03FA">
      <w:pPr>
        <w:pStyle w:val="TextoNormal"/>
      </w:pPr>
      <w:r>
        <w:t>Es también doctrina constante de este Tribunal (antes de la aludida reforma y tras ella), que para excepcionar esa regla general de la no suspensión se exija como primer e ineludible presupuesto, que la ejecución del acto o sentencia impugnados deba previsiblemente producir un perjuicio al recurrente que pudiera hacer perder al amparo su finalidad, lo que el recurrente tiene la carga de justificar. En efecto, según se recuerda en los ATC 319/2003, de 13 de octubre, FJ 2, y 36/2007, de 12 de febrero, FJ 2, “como hemos afirmado desde las primeras resoluciones en materia de suspensión,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w:t>
      </w:r>
      <w:r>
        <w:lastRenderedPageBreak/>
        <w:t>cimiento del recurrente en el derecho constitucional vulnerado sea tardío e impida definitivamente que tal restauración sea efectiva’ (ATC 20/1992) y haga ‘devenir inútil el proceso constitucional de amparo’ (AATC 51/1989 y 255/1996)”.</w:t>
      </w:r>
    </w:p>
    <w:p w:rsidR="00CF03FA" w:rsidRDefault="00CF03FA" w:rsidP="00CF03FA">
      <w:pPr>
        <w:pStyle w:val="TextoNormal"/>
      </w:pPr>
    </w:p>
    <w:p w:rsidR="00CF03FA" w:rsidRDefault="00CF03FA" w:rsidP="00CF03FA">
      <w:pPr>
        <w:pStyle w:val="TextoNormal"/>
      </w:pPr>
      <w:r w:rsidRPr="00CF03FA">
        <w:rPr>
          <w:rStyle w:val="NumeroAFNegritaCaracter"/>
        </w:rPr>
        <w:t>2</w:t>
      </w:r>
      <w:r>
        <w:t>. La aplicación de dicha doctrina en el presente caso conduce derechamente al rechazo de la solicitud de suspensión de la ejecución de las resoluciones impugnadas ante la falta de cumplimiento de la carga que le corresponde, por la recurrente, quien debe precisar los concretos perjuicios que de la ejecución se deriven, así como justificar o argumentar razonadamente la irreparabilidad de los mismos, lo que no acontece en el caso, en el que la recurrente se limita a afirmar que el levantamiento de la suspensión de las obras haría perder al amparo su finalidad y a precisar el alcance de la suspensión que se pretende, pero sin concretar los perjuicios que le produce la no suspensión de las obras, ni argumentar en modo alguno la irreparabilidad de los eventuales perjuicios, lo que más bien parece desmentirse al relatar el carácter desmontable de las obras realizadas y, como se razonó supra, resulta esencial a fin de excepcionar la regla general de no suspensión.</w:t>
      </w:r>
    </w:p>
    <w:p w:rsidR="00CF03FA" w:rsidRDefault="00CF03FA" w:rsidP="00CF03FA">
      <w:pPr>
        <w:pStyle w:val="TextoNormal"/>
      </w:pPr>
      <w:r>
        <w:t>Por lo demás asiste la razón al Ministerio Fiscal cuando aduce que el otorgamiento de la solicitada suspensión de las resoluciones judiciales impugnadas llevaría consigo el restablecimiento de la paralización de las obras que se acordó en el seno del juicio verbal interdictal, a cuyas Sentencias definitivas (de instancia y apelación) se reprocha la vulneración de derechos fundamentales. De este modo la peculiar ordenación de este tipo de proceso especial y sumario, que comienza con la paralización de las obras y concluye con una decisión sobre el alzamiento o mantenimiento de la paralización inicialmente acordada, implicaría que la suspensión de la Sentencia recaída en aquél produjese el efecto reflejo del restablecimiento de dicha paralización, lo cual supondría alcanzar a través de la suspensión ahora solicitada prácticamente el mismo efecto que si se hubiera obtenido una Sentencia favorable en el juicio verbal.</w:t>
      </w:r>
    </w:p>
    <w:p w:rsidR="00CF03FA" w:rsidRDefault="00CF03FA" w:rsidP="00CF03FA">
      <w:pPr>
        <w:pStyle w:val="TextoNormal"/>
      </w:pPr>
      <w:r>
        <w:t>Consecuentemente, por las razones acabadas de exponer, resulta procedente denegar la suspensión de las resoluciones judiciales impugnadas.</w:t>
      </w:r>
    </w:p>
    <w:p w:rsidR="00CF03FA" w:rsidRDefault="00CF03FA" w:rsidP="00CF03FA">
      <w:pPr>
        <w:pStyle w:val="TextoNormal"/>
      </w:pPr>
    </w:p>
    <w:p w:rsidR="00CF03FA" w:rsidRDefault="00CF03FA" w:rsidP="00CF03FA">
      <w:pPr>
        <w:pStyle w:val="TextoNormal"/>
      </w:pPr>
      <w:r w:rsidRPr="00CF03FA">
        <w:rPr>
          <w:rStyle w:val="NumeroAFNegritaCaracter"/>
        </w:rPr>
        <w:t>3</w:t>
      </w:r>
      <w:r>
        <w:t>. Finalmente el Ministerio Fiscal alude a la posibilidad de que este Tribunal acordase, conforme al art. 56.3 LOTC, la exigencia de una caución para impedir que la continuación de las obras por el demandado pudiera causar un beneficio sin contraprestación si el amparo llegara a otorgarse en su día y las nuevas Sentencias estimasen la acción interdictal. Ahora bien, ni tal medida ha sido solicitada por la parte a quien interesa ni está orientada estrictamente a preservar la finalidad del amparo, ceñida a la obtención de una Sentencia de fondo sobre las pretensiones ejercitadas en el juicio verbal. Por lo demás, en la hipótesis de que la Sentencia de este Tribunal fuese estimatoria del amparo, acordando la retroacción de actuaciones para que se dicte una nueva Sentencia sobre el fondo de las pretensiones ejercitadas, y de que, también hipotéticamente, la decisión judicial fuese estimatoria de la demanda, los eventuales perjuicios causados por la construcción de cuya paralización se trataba en el juicio verbal origen de este recurso de amparo siempre serían reparables económicamente, razón por la cual tampoco resultaría adecuada la fijación de caución alguna.</w:t>
      </w:r>
    </w:p>
    <w:p w:rsidR="00CF03FA" w:rsidRDefault="00CF03FA" w:rsidP="00CF03FA">
      <w:pPr>
        <w:pStyle w:val="TextoNormal"/>
      </w:pPr>
    </w:p>
    <w:p w:rsidR="00CF03FA" w:rsidRDefault="00CF03FA" w:rsidP="00CF03FA">
      <w:pPr>
        <w:pStyle w:val="TextoNormal"/>
      </w:pPr>
      <w:r>
        <w:t>Por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lastRenderedPageBreak/>
        <w:t>Denegar la suspensión solicitada.</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1" w:name="AUTO_2008_40"/>
      <w:r>
        <w:lastRenderedPageBreak/>
        <w:t>AUTO 40/2008, de 11 de febrero de 2008</w:t>
      </w:r>
    </w:p>
    <w:bookmarkEnd w:id="101"/>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ECLI:ES:TC:2008:40A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Deniega la suspensión en el recurso de amparo 28-2006, promovido por la sociedad civil San Fermín en contencioso sobre embargo de bienes inmuebles.</w:t>
      </w:r>
    </w:p>
    <w:p w:rsidR="00CF03FA" w:rsidRDefault="00CF03FA" w:rsidP="00CF03FA">
      <w:pPr>
        <w:pStyle w:val="SntesisDescriptiva"/>
      </w:pPr>
    </w:p>
    <w:p w:rsidR="00CF03FA" w:rsidRDefault="00CF03FA" w:rsidP="00CF03FA">
      <w:pPr>
        <w:pStyle w:val="SntesisAnaltica"/>
      </w:pPr>
      <w:r>
        <w:t>Suspensión cautelar de resoluciones contencioso-administrativas: contenido patrimonial; embargo de bienes inmuebles,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presentado en el Registro General de este Tribunal el día 2 de enero de 2006 don Julián Sanz Aragón, Procurador de los Tribunales, en nombre y representación de la mercantil Sociedad Civil San Fermín, interpuso recurso de amparo contra el Auto de 15 de noviembre de 2005 de la Sección Primera de la Sala de lo Contencioso-Administrativo del Tribunal Superior de Justicia de Canarias, con sede en las Palmas de Gran Canaria, desestimatorio de la solicitud de completar la Sentencia de la misma Sección de 12 de noviembre de 2004, y contra ésta, que, habiendo estimado parcialmente el recurso de apelación contra la Sentencia del Juzgado de lo Contencioso-Administrativo núm. 2 de la Palmas de Gran Canaria de 14 de junio de 2004, desestimó el recurso contencioso-administrativo promovido contra el Decreto del Concejal Delegado de Hacienda del Ayuntamiento de Tía, de 12 de junio de 2002, desestimatorio del recurso de reposición contra diligencia de embargo de bienes inmuebles por liquidaciones de tasa por basuras, impuesto de bienes inmuebles y plusvalía. </w:t>
      </w:r>
    </w:p>
    <w:p w:rsidR="00CF03FA" w:rsidRDefault="00CF03FA" w:rsidP="00CF03FA">
      <w:pPr>
        <w:pStyle w:val="TextoNormal"/>
      </w:pPr>
      <w:r>
        <w:t>Por medio de otrosí la demandante de amparo, con base en el art. 56 LOTC, interesó la suspensión de la ejecución de la Sentencia recurrida, ya que la posible ejecución de las diligencias de embargo haría inútil la obtención de un fallo estimatorio de la pretensión.</w:t>
      </w:r>
    </w:p>
    <w:p w:rsidR="00CF03FA" w:rsidRDefault="00CF03FA" w:rsidP="00CF03FA">
      <w:pPr>
        <w:pStyle w:val="TextoNormal"/>
      </w:pPr>
    </w:p>
    <w:p w:rsidR="00CF03FA" w:rsidRDefault="00CF03FA" w:rsidP="00CF03FA">
      <w:pPr>
        <w:pStyle w:val="TextoNormal"/>
      </w:pPr>
      <w:r w:rsidRPr="00CF03FA">
        <w:rPr>
          <w:rStyle w:val="NumeroAFNegritaCaracter"/>
        </w:rPr>
        <w:t>2</w:t>
      </w:r>
      <w:r>
        <w:t>. La Sala Segunda del Tribunal Constitucional, por sendas providencias de 23 de junio de 2007, acordó, respectivamente, admitir a trámite la demanda y formar la oportuna pieza para la tramitación del incidente de suspensión, concediendo un plazo de tres días a la parte recurrente y al Ministerio Fiscal para que alegaran lo que estimasen pertinente sobre la suspensión solicitada.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El Ministerio Fiscal evacuó el trámite de alegaciones conferido mediante escrito registrado en fecha 6 de agosto de 2007, en el que, tras reproducir la doctrina constitucional sobre el incidente de ejecución, los distintos intereses a ponderar y, más concretamente, </w:t>
      </w:r>
      <w:r>
        <w:lastRenderedPageBreak/>
        <w:t>sobre la suspensión de la ejecución de las resoluciones con efectos meramente económicos o patrimoniales, considera que en este caso el perjuicio que se invoca -embargo de bienes inmuebles- es de contenido patrimonial, no acreditándose en el momento actual la existencia de perjuicios irreparables, pues en la demanda se solicita la suspensión únicamente para prevenir una eventualidad futura -la posible ejecución del embargo decretado sobre bienes propiedad de la recurrente para garantizar la deuda tributaria-, por lo que no procede acceder a la suspensión solicitada, sin perjuicio de que si se llegara a ejecutar el embargo pudiese volver a solicitar la suspensión (art. 57 LOTC).</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F03FA" w:rsidRDefault="00CF03FA" w:rsidP="00CF03FA">
      <w:pPr>
        <w:pStyle w:val="TextoNormal"/>
      </w:pPr>
      <w:r>
        <w:t>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w:t>
      </w:r>
    </w:p>
    <w:p w:rsidR="00CF03FA" w:rsidRDefault="00CF03FA" w:rsidP="00CF03FA">
      <w:pPr>
        <w:pStyle w:val="TextoNormal"/>
      </w:pPr>
    </w:p>
    <w:p w:rsidR="00CF03FA" w:rsidRDefault="00CF03FA" w:rsidP="00CF03FA">
      <w:pPr>
        <w:pStyle w:val="TextoNormal"/>
      </w:pPr>
      <w:r w:rsidRPr="00CF03FA">
        <w:rPr>
          <w:rStyle w:val="NumeroAFNegritaCaracter"/>
        </w:rPr>
        <w:t>2</w:t>
      </w:r>
      <w:r>
        <w:t>. Más concretamente, a los efectos que a este concreto incidente de suspensión interesan, este Tribunal ha establecido como criterio general la improcedencia de la suspensión de la ejecución de aquellos fallos judiciales que admiten la restitución íntegra de lo ejecutado, como, por lo general, sucede con las condenas de contenido patrimonial, salvo que por su importancia o cuantía o por las especiales circunstancias concurrentes su cumplimiento pueda causar daños irreparables. Ahora bien en tales supuestos, para acceder a la suspensión solicitada, el demandante de amparo ha de acreditar el carácter efectivamente irreparable del perjuicio aducido, correspondiéndole, por tanto, además de alegar, “probar, o, por lo menos, justificar, ofreciendo un principio de prueba razonable, la irreparabilidad o dificultad de la reparación de los perjuicios de seguirse la ejecución del acto impugnado” (AATC 56/2004, de 23 de febrero, FJ 3; 216/2005, de 23 de mayo, FJ 2; 235/2005, de 6 de junio, FJ 3).</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este caso la entidad demandante de amparo, cuya representación procesal ni siquiera ha evacuado el trámite conferido al efecto por providencia de 23 de julio de 2007 </w:t>
      </w:r>
      <w:r>
        <w:lastRenderedPageBreak/>
        <w:t>para que alegase lo que estimara procedente sobre la suspensión solicitada, no ha sastisfecho la carga que le incumbía de justificar y acreditar la irreparabilidad o dificultad de la reparación de los perjuicios que pudieran derivarse de la ejecución de las resoluciones impugnadas, por lo que ha de desestimarse su solicitud de suspensión.</w:t>
      </w:r>
    </w:p>
    <w:p w:rsidR="00CF03FA" w:rsidRDefault="00CF03FA" w:rsidP="00CF03FA">
      <w:pPr>
        <w:pStyle w:val="TextoNormal"/>
      </w:pPr>
      <w:r>
        <w:t>A mayor abundamiento el perjuicio meramente alegado en el escrito de la demanda de amparo —la posible ejecución de la diligencia de embargo de los bienes inmuebles de su propiedad—, es una eventualidad futura, cuya existencia no se ha acreditado, por lo que tampoco con base sólo en dicho alegato procedería adoptar en este momento ninguna medida al respecto (ATC 235/2005, de 6 de junio, FJ 3)</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 en el recurso de amparo núm. 28-2006, promovido por la mercantil Sociedad Civil San Fermín.</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2" w:name="AUTO_2008_41"/>
      <w:r>
        <w:lastRenderedPageBreak/>
        <w:t>AUTO 41/2008, de 11 de febrero de 2008</w:t>
      </w:r>
    </w:p>
    <w:bookmarkEnd w:id="102"/>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ECLI:ES:TC:2008:41A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Inadmite a trámite el recurso de amparo 1090-2006, promovido por Tecomat, S.A., en pleito por quiebra voluntaria.</w:t>
      </w:r>
    </w:p>
    <w:p w:rsidR="00CF03FA" w:rsidRDefault="00CF03FA" w:rsidP="00CF03FA">
      <w:pPr>
        <w:pStyle w:val="SntesisDescriptiva"/>
      </w:pPr>
    </w:p>
    <w:p w:rsidR="00CF03FA" w:rsidRDefault="00CF03FA" w:rsidP="00CF03FA">
      <w:pPr>
        <w:pStyle w:val="SntesisAnaltica"/>
      </w:pPr>
      <w:r>
        <w:t>Agotamiento de recursos en la vía judicial: incidente de nulidad de actuaciones, falta. Delitos: quiebra fraudulenta. Inadmisión de recurso de amparo: causas de inadmisión. Recurso de apelación: reformatio in peius.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el 3 de febrero de 2006 el Procurador don José Luis Pinto Marabotto en nombre de “Técnicas y Aplicaciones en procesos del calzado, manutención y almacenaje Tecomat, S.A.”, en situación de quiebra voluntaria, interpuso recurso de amparo contra la Sentencia de la Audiencia Provincial de Barcelona, Sección Decimoquinta, de 4 de enero de 2006, desestimatoria del recurso de apelación interpuesto por la aquí recurrente en amparo contra la Sentencia del Juez de Primera Instancia núm. 4 de Badalona, de 2 de diciembre de 1997, que calificó como de fraudulenta la quiebra de dicha entidad.</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de los que trae causa la demanda de amparo relevantes para la resolución del caso son, en síntesis, los siguientes: 1. Instada la declaración de quiebra voluntaria por los representantes de la mercantil indicada, ésta se acordó por Auto del Juez de Primera Instancia núm. 4 de Badalona de 2 de febrero de 1996, en el cual se ordenó la apertura de la pieza quinta sobre calificación. Una vez sustanciado el procedimiento, y con base en los informes de la Sindicatura y del Ministerio Fiscal, atendida la pericial contable practicada, fue calificada la quiebra de fraudulenta por Sentencia de 2 de diciembre de 1997, al entender concurrente la circunstancia primera del art. 890 CCom. de 1885 (“Alzarse con todo o parte de sus bienes”). 2. Contra esta última la representación de la entidad, y sólo ella, interpuso recurso de apelación, el cual devino desestimado, previa celebración de vista en la segunda instancia, por Sentencia de la Audiencia Provincial de Barcelona, Sección Decimoquinta, de 8 de mayo de 2000, que confirmó la Sentencia a quo y, por tanto, la calificación de la quiebra como fraudulenta. 3. La entidad quebrada interpuso recurso de amparo núm. 3820-2000 ante este Tribunal Constitucional, aduciendo la vulneración de su derecho fundamental a la tutela judicial efectiva sin indefensión (art. 24.1 CE) por dos motivos: no haber participado en la vista oral de segunda instancia uno de los magistrados que luego suscribió la Sentencia de apelación recurrida (falta de inmediación judicial) y la infracción del principio </w:t>
      </w:r>
      <w:r>
        <w:lastRenderedPageBreak/>
        <w:t>prohibitivo de la reformatio in peius. 4. La Sala Primera del Tribunal Constitucional, mediante Sentencia 215/2005, de 12 de septiembre, acordó otorgar el amparo solicitado apreciando la estimación de la primera de las quejas invocadas (falta de inmediación judicial), lo que hacía innecesario el examen de la segunda de ellas (la reformatio in peius), que quedó imprejuzgada, con la consiguiente retroacción de actuaciones a fin de que se subsanara la falta y se dictara nueva Sentencia. 5. En cumplimiento de este mandato la Sección de la Audiencia Provincial, luego de practicada nueva vista oral en fecha 30 de noviembre de 2005, dictó Sentencia el 4 de enero de 2006 por la que desestimó el recurso de apelación promovido, confirmando así por segunda vez la decisión del Juez a quo en cuanto a la calificación como fraudulenta de la quiebra de la aquí recurrente, con arreglo a las pruebas de autos pero incardinada en la circunstancia decimoquinta del mismo art. 890 CCom. de 1885 (“Si, hecha la declaración de quiebra, hubiere percibido y aplicado a usos personales dinero, efectos o créditos de la masa, o distraído de ésta alguna de sus pertenencias”), no en la apreciada por el Juez. 6. Notificada esta segunda Sentencia de apelación se promueve contra ella el presente recurso de amparo.</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La demanda de amparo se funda en una única queja, imputada en exclusiva a la Sentencia de apelación de 4 de enero de 2006: la vulneración del derecho de la entidad recurrente a la tutela judicial efectiva sin padecimiento de indefensión, por haber incurrido aquella resolución judicial en reforma peyorativa de la posición de la apelante respecto de la que ésta tenía con la Sentencia de primera instancia. </w:t>
      </w:r>
    </w:p>
    <w:p w:rsidR="00CF03FA" w:rsidRDefault="00CF03FA" w:rsidP="00CF03FA">
      <w:pPr>
        <w:pStyle w:val="TextoNormal"/>
      </w:pPr>
      <w:r>
        <w:t xml:space="preserve">A juicio de la entidad recurrente, siendo el suyo el único recurso de apelación interpuesto, no podía la Audiencia resolver con base en hechos distintos a los apreciados por el Juez a quo para calificar la quiebra de fraudulenta y, en concreto, para mantener dicha calificación; hechos recogidos en la Sentencia del Juez a los cuales dicha apelante se ciñó en su escrito de interposición de la apelación, dejando a la vez fuera de su análisis y consiguiente impugnación las demás circunstancias alegadas en la primera instancia por los Síndicos para pedir la calificación de quiebra fraudulenta, pero que no fueron tenidas en consideración por la Sentencia apelada. </w:t>
      </w:r>
    </w:p>
    <w:p w:rsidR="00CF03FA" w:rsidRDefault="00CF03FA" w:rsidP="00CF03FA">
      <w:pPr>
        <w:pStyle w:val="TextoNormal"/>
      </w:pPr>
      <w:r>
        <w:t xml:space="preserve">Por lo tanto, no habiendo apelado ni la Sindicatura ni el Ministerio Fiscal, ni habiéndose adherido después a su apelación, sostiene la recurrente en amparo que se ha perpetrado la inobservancia del principio de la reformatio in peius, en los términos con los que esta garantía viene entendida por la jurisprudencia constitucional, entendiendo que la calificación como fraudulenta que hace la Audiencia al atender a hechos ajenos a los aceptados por el Juez configura un objeto distinto del debatido, prescindiendo con ello del principio “tantum devolutum quantum apellatum”, propio de la segunda instancia, lo que le ha causado indefensión por infringir “la necesaria congruencia que en todo recurso ha de existir entre la pretensión impugnatoria y el correspondiente fallo de la sentencia”. </w:t>
      </w:r>
    </w:p>
    <w:p w:rsidR="00CF03FA" w:rsidRDefault="00CF03FA" w:rsidP="00CF03FA">
      <w:pPr>
        <w:pStyle w:val="TextoNormal"/>
      </w:pPr>
      <w:r>
        <w:t>En definitiva, se solicita en la demanda de amparo la declaración de nulidad de la Sentencia de apelación, con retroacción de las actuaciones al momento de dictarse ésta a fin de que se falle de nuevo con respeto al derecho vulnerado.</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fecha 20 de noviembre de 2007 la Sección Tercera de este Tribunal acordó, de conformidad con lo dispuesto en el art. 50.3 LOTC, conceder al demandante y al Ministerio Público plazo de diez días para que formulasen las alegaciones pertinentes en relación con la posible inadmisión del recurso por alguna de las causas previstas en el art. 50.1 LOTC.</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5</w:t>
      </w:r>
      <w:r>
        <w:t xml:space="preserve">. El Fiscal, en escrito registrado en este Tribunal el 4 de enero de 2008, interesó la inadmisión de la demanda de amparo por carecer manifiestamente de contenido constitucional. </w:t>
      </w:r>
    </w:p>
    <w:p w:rsidR="00CF03FA" w:rsidRDefault="00CF03FA" w:rsidP="00CF03FA">
      <w:pPr>
        <w:pStyle w:val="TextoNormal"/>
      </w:pPr>
      <w:r>
        <w:t>Evacuando idéntico trámite, la entidad recurrente, en escrito registrado el 12 de diciembre de 2007, reiteró los argumentos que fundan su demanda de amparo, solicitando la admisión a trámite de ésta y el dictado posterior de Sentencia estimatoria.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Según ha quedado ya indicado el presente recurso de amparo se dirige contra la Sentencia dictada por la Audiencia Provincial de Barcelona, Sección Decimoquinta, el 4 de enero de 2006, resolviendo por segunda vez (y por la nulidad previa de la primera que había dictado el 8 de mayo de 2000, al estimarse el recurso de amparo entonces interpuesto contra ella) el recurso de apelación promovido contra la Sentencia del Juez de Primera Instancia competente de 2 de diciembre de 1997, el cual había calificado la quiebra de la entidad recurrente como fraudulenta con base en algunos de los hechos discutidos mediante alegaciones y pruebas por las partes.</w:t>
      </w:r>
    </w:p>
    <w:p w:rsidR="00CF03FA" w:rsidRDefault="00CF03FA" w:rsidP="00CF03FA">
      <w:pPr>
        <w:pStyle w:val="TextoNormal"/>
      </w:pPr>
      <w:r>
        <w:t>Frente a esta nueva Sentencia de apelación la recurrente en amparo denunció la vulneración del principio de prohibición de la reformatio in peius, al desestimar la Audiencia aquel recurso y confirmar la calificación hecha por el Juez, pero dando relevancia a otras circunstancias del caso no mencionadas en la Sentencia apelada.</w:t>
      </w:r>
    </w:p>
    <w:p w:rsidR="00CF03FA" w:rsidRDefault="00CF03FA" w:rsidP="00CF03FA">
      <w:pPr>
        <w:pStyle w:val="TextoNormal"/>
      </w:pPr>
    </w:p>
    <w:p w:rsidR="00CF03FA" w:rsidRDefault="00CF03FA" w:rsidP="00CF03FA">
      <w:pPr>
        <w:pStyle w:val="TextoNormal"/>
      </w:pPr>
      <w:r w:rsidRPr="00CF03FA">
        <w:rPr>
          <w:rStyle w:val="NumeroAFNegritaCaracter"/>
        </w:rPr>
        <w:t>2</w:t>
      </w:r>
      <w:r>
        <w:t>. Así planteada la queja de amparo surge un primer motivo de inadmisión del presente recurso que no puede pasar desapercibido, como es la falta de agotamiento de la vía judicial procedente para la reparación de la lesión invocada [art. 44.1 a), en relación con el art. 50.1 a LOTC].</w:t>
      </w:r>
    </w:p>
    <w:p w:rsidR="00CF03FA" w:rsidRDefault="00CF03FA" w:rsidP="00CF03FA">
      <w:pPr>
        <w:pStyle w:val="TextoNormal"/>
      </w:pPr>
      <w:r>
        <w:t>En efecto, este Tribunal Constitucional ha venido afirmando reiteradamente que la infracción de la garantía de la prohibición de reforma peyorativa en los recursos configura una modalidad de incongruencia extra petita o por exceso. Como tal su análisis debe ser abordado desde los parámetros de medición de la congruencia cualitativa (identidad entre las pretensiones de las partes y lo resuelto en la sentencia) cuya infracción genera incongruencia extra petita con resultado de indefensión. Entre otras y últimamente: SSTC 87/2006, de 27 de marzo, FJ 4; 347/2006, de 11 de diciembre, FJ 3 d); 50/2007, de 12 de marzo, FJ 5; 204/2007, de 24 de septiembre, FJJ 3 y 4; así como AATC 253/2000, de 31 de octubre, FJ 2; 252/2002, de 5 de diciembre, FJ 3; 226/2004, de 4 de junio, FJ 2; 308/2006, de 25 de septiembre, FJJ 2 y 3.</w:t>
      </w:r>
    </w:p>
    <w:p w:rsidR="00CF03FA" w:rsidRDefault="00CF03FA" w:rsidP="00CF03FA">
      <w:pPr>
        <w:pStyle w:val="TextoNormal"/>
      </w:pPr>
      <w:r>
        <w:t>De esta manera, además, como tal incongruencia la define expresamente la propia entidad recurrente en su demanda de amparo, según ya se ha indicado en los Antecedentes.</w:t>
      </w:r>
    </w:p>
    <w:p w:rsidR="00CF03FA" w:rsidRDefault="00CF03FA" w:rsidP="00CF03FA">
      <w:pPr>
        <w:pStyle w:val="TextoNormal"/>
      </w:pPr>
      <w:r>
        <w:t xml:space="preserve">Siendo todo ello así, y atribuyéndose por la demanda de amparo tal incongruencia, de manera directa e inmediata, a la Sentencia de apelación, parece lógico exigir a la recurrente que antes de haber acudido a este proceso constitucional de amparo hubiese solicitado la apertura de un incidente de nulidad de actuaciones, ex art. 241 LOPJ, con el fin de impetrar, ante el propio Tribunal que la cometió, la reparación de la falta, que, de haber sido cierta, desde luego habría podido repararse. Al no haberlo pedido, sin embargo, la recurrente privó a la Audiencia de la posibilidad de hacerlo, trayendo el asunto per saltum ante nosotros con olvido de la naturaleza eminentemente subsidiaria que es propia del recurso de amparo (SSTC 25/2005, de 14 de febrero, FJ 3; 115/2005, de 9 de mayo, FJ 2; 277/2005, de 7 de </w:t>
      </w:r>
      <w:r>
        <w:lastRenderedPageBreak/>
        <w:t>noviembre, FJ 2; 335/2005, de 20 de diciembre, FJ 2; 48/2006, de 13 de febrero, FJ 2; 137/2006, de 8 de mayo, FJ 2; 245/2007, de 10 de diciembre, FJ 2 a).</w:t>
      </w:r>
    </w:p>
    <w:p w:rsidR="00CF03FA" w:rsidRDefault="00CF03FA" w:rsidP="00CF03FA">
      <w:pPr>
        <w:pStyle w:val="TextoNormal"/>
      </w:pPr>
      <w:r>
        <w:t>Se ha producido, por tanto, una falta de agotamiento de la vía judicial que constituye un motivo de inadmisión formal, como acaba de decirse.</w:t>
      </w:r>
    </w:p>
    <w:p w:rsidR="00CF03FA" w:rsidRDefault="00CF03FA" w:rsidP="00CF03FA">
      <w:pPr>
        <w:pStyle w:val="TextoNormal"/>
      </w:pPr>
    </w:p>
    <w:p w:rsidR="00CF03FA" w:rsidRDefault="00CF03FA" w:rsidP="00CF03FA">
      <w:pPr>
        <w:pStyle w:val="TextoNormal"/>
      </w:pPr>
      <w:r w:rsidRPr="00CF03FA">
        <w:rPr>
          <w:rStyle w:val="NumeroAFNegritaCaracter"/>
        </w:rPr>
        <w:t>3</w:t>
      </w:r>
      <w:r>
        <w:t>. En cualquier caso, y dado que las partes han sido consultadas sobre la concurrencia de las causas del art. 50.1 LOTC sin limitación, y así han respondido, no resulta impertinente ni ocioso añadir que la queja de la recurrente carecía asimismo del necesario contenido constitucional de fondo, y por ello resulta también inadmisible ex art.  50.1 c) LOTC.</w:t>
      </w:r>
    </w:p>
    <w:p w:rsidR="00CF03FA" w:rsidRDefault="00CF03FA" w:rsidP="00CF03FA">
      <w:pPr>
        <w:pStyle w:val="TextoNormal"/>
      </w:pPr>
      <w:r>
        <w:t>No cabe entender que se haya producido en el caso la denunciada reformatio in peius, en cuanto que la Sala de apelación, en definitiva, no hizo otra cosa sino examinar los mismos hechos y pruebas obrantes en autos, demostrativos, a su juicio, de la misma calificación jurídica de fraude que había declarado la Sentencia del Juez, bien que dando relevancia a datos que éste último no había tenido necesidad de ponderar, pues entendió concurrente el primero de los supuestos legales para la calificación de la quiebra fraudulenta, criterio que el Tribunal de apelación no compartió, por lo que continuó examinando el factum y lo subsumió en otro apartado distinto de la norma de aplicación.</w:t>
      </w:r>
    </w:p>
    <w:p w:rsidR="00CF03FA" w:rsidRDefault="00CF03FA" w:rsidP="00CF03FA">
      <w:pPr>
        <w:pStyle w:val="TextoNormal"/>
      </w:pPr>
      <w:r>
        <w:t>La Sala de apelación explica correctamente en su Sentencia que las potestades como órgano revisor de segunda instancia le permiten analizar la concurrencia de los otros supuestos del art. 890 del Código de comercio (Ccom). 1885 en orden a mantener o no la calificación de la quiebra como fraudulenta. Este Tribunal Constitucional tiene asentado el reconocimiento a la plenitud de jurisdicción de los tribunales de apelación para revisar los hechos y el Derecho, con independencia y de manera compatible, eso sí, con el respeto debido al carácter de revisio prioris instantiae atribuido a la apelación civil, y su correlato objetivo, el principio tantum devolutum quantum apellatum (SSTC 139/2002, de 3 de junio, FJ 2; 250/2004, de 20 de diciembre, FJ 3 c); 87/2006, de 27 de marzo, FJ 4), delimitado éste en primera línea por el contenido de la resolución impugnada y lo alegado y pedido por la partes en el recurso, pero también, y en segunda línea, por el objeto litigioso tratado en la primera instancia del proceso, conformado a su vez por las pretensiones allí deducidas por las mismas partes.</w:t>
      </w:r>
    </w:p>
    <w:p w:rsidR="00CF03FA" w:rsidRDefault="00CF03FA" w:rsidP="00CF03FA">
      <w:pPr>
        <w:pStyle w:val="TextoNormal"/>
      </w:pPr>
      <w:r>
        <w:t>Lo que no puede pretender la entidad recurrente, en fin, es limitar la labor de la Audiencia so capa de que ni la Sindicatura ni el Ministerio Fiscal apelaron la Sentencia del Juez, algo lógico, dado que ya habían obtenido el resultado que querían (la calificación de la quiebra como fraudulenta). De haber apelado, de hecho, es casi seguro que se habría cuestionado respecto de ellos el cumplimiento del requisito del gravamen (art.  448.1 de la Ley de enjuiciamiento civil: LEC) para poder recurrir.</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el presente recurso de amparo.</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3" w:name="AUTO_2008_42"/>
      <w:r>
        <w:lastRenderedPageBreak/>
        <w:t>AUTO 42/2008, de 11 de febrero de 2008</w:t>
      </w:r>
    </w:p>
    <w:bookmarkEnd w:id="103"/>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ECLI:ES:TC:2008:42A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Deniega la suspensión en el recurso de amparo 5094-2006, promovido por doña Ainara Fresneda Echevarría en pleito por quiebra voluntaria.</w:t>
      </w:r>
    </w:p>
    <w:p w:rsidR="00CF03FA" w:rsidRDefault="00CF03FA" w:rsidP="00CF03FA">
      <w:pPr>
        <w:pStyle w:val="SntesisDescriptiva"/>
      </w:pPr>
    </w:p>
    <w:p w:rsidR="00CF03FA" w:rsidRDefault="00CF03FA" w:rsidP="00CF03FA">
      <w:pPr>
        <w:pStyle w:val="SntesisAnaltica"/>
      </w:pPr>
      <w:r>
        <w:t>Suspensión cautelar de sentencias penales: responsabilidad personal subsidiaria,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El 6 de septiembre de 2006 se presentó en el Registro General de este Tribunal un recurso de amparo interpuesto por doña Ainara Fresneda Echeverría contra providencia de Sección 1ª de la Sala de lo Penal de la Audiencia Nacional, de 31 de enero de 2006, por la que se aprobaba la liquidación de la condena de cinco años de prisión y multa de 18 meses, impuesta a la demandante en Sentencia de la propia Sala de 21 de diciembre de 2004, así como Auto de 29 de marzo de 2006 que desestimó el recurso de súplica deducido contra aquella providencia. La impugnación en vía judicial se centró en si resultaba procedente o no la imposición de nueve meses de responsabilidad personal subsidiaria por impago de la multa impuesta. </w:t>
      </w:r>
    </w:p>
    <w:p w:rsidR="00CF03FA" w:rsidRDefault="00CF03FA" w:rsidP="00CF03FA">
      <w:pPr>
        <w:pStyle w:val="TextoNormal"/>
      </w:pPr>
      <w:r>
        <w:t>En la demanda de amparo, mediante otrosí, se solicitaba la suspensión de la ejecución de la resolución impugnada en lo que se refiere a nueve meses de responsabilidad subsidiaria por impago de multa, basándose tal solicitud en que el cumplimiento de los indicados nueve meses de responsabilidad personal subsidiaria causaría un perjuicio que resultaría irreparable si llegara a otorgarse el amparo.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sendas providencias de 13 de diciembre de 2007 la Sala Segunda de este Tribunal acordó admitir a trámite la demanda de amparo y formar la oportuna pieza de suspensión, dando audiencia al demandante y al Ministerio público para que, en el plazo común de tres días, pudieran alegar lo que estimasen conveniente en relación con dicha suspensión.</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Mediante escrito presentado el 27 de diciembre de 2007 la representación procesal de la demandante de amparo solicitó la suspensión, razonando que, de no accederse a ello, la pena de nueve meses impuesta por impago de la multa a la que fue condenada se habría cumplido en su integridad y que, en consecuencia, la Sentencia que estimara la demanda habría perdido su efectividad. Por el contrario la suspensión del cumplimiento de los nueve </w:t>
      </w:r>
      <w:r>
        <w:lastRenderedPageBreak/>
        <w:t>meses de prisión no causaría perjuicios al interés público, toda vez que, si la Sentencia desestimase la demanda de amparo, siempre podría acordarse el cumplimiento de los nueve meses de responsabilidad personal por impago de la multa.</w:t>
      </w:r>
    </w:p>
    <w:p w:rsidR="00CF03FA" w:rsidRDefault="00CF03FA" w:rsidP="00CF03FA">
      <w:pPr>
        <w:pStyle w:val="TextoNormal"/>
      </w:pPr>
    </w:p>
    <w:p w:rsidR="00CF03FA" w:rsidRDefault="00CF03FA" w:rsidP="00CF03FA">
      <w:pPr>
        <w:pStyle w:val="TextoNormal"/>
      </w:pPr>
      <w:r w:rsidRPr="00CF03FA">
        <w:rPr>
          <w:rStyle w:val="NumeroAFNegritaCaracter"/>
        </w:rPr>
        <w:t>4</w:t>
      </w:r>
      <w:r>
        <w:t>. El Fiscal postula la denegación de la suspensión solicitada. Tras recoger la doctrina constitucional en la materia razona que, pese a que la duración de la pena (inferior a los cinco años por debajo de los cuales suele concederse la suspensión) no sea larga, lo cierto es que forma parte de la liquidación de condena junto a la pena de cinco años impuesta en la misma Sentencia, razón por la cual no se extinguirá sino en conjunto, estando prevista tal extinción para el día 19 de marzo de 2011. Tal circunstancia, junto con la gravedad de los hechos por los que la demandante de amparo fue condenada (colaboración con organización terrorista), le llevan a solicitar la desestimación de la solicitud de suspensión.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Establece el art. 56.2 LOTC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F03FA" w:rsidRDefault="00CF03FA" w:rsidP="00CF03FA">
      <w:pPr>
        <w:pStyle w:val="TextoNormal"/>
      </w:pPr>
      <w:r>
        <w:t>En aplicación del art. 56.1 LOTC, en gran parte similar en su redacción a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00CF03FA" w:rsidRDefault="00CF03FA" w:rsidP="00CF03FA">
      <w:pPr>
        <w:pStyle w:val="TextoNormal"/>
      </w:pPr>
      <w:r>
        <w:t>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w:t>
      </w:r>
    </w:p>
    <w:p w:rsidR="00CF03FA" w:rsidRDefault="00CF03FA" w:rsidP="00CF03FA">
      <w:pPr>
        <w:pStyle w:val="TextoNormal"/>
      </w:pPr>
    </w:p>
    <w:p w:rsidR="00CF03FA" w:rsidRDefault="00CF03FA" w:rsidP="00CF03FA">
      <w:pPr>
        <w:pStyle w:val="TextoNormal"/>
      </w:pPr>
      <w:r w:rsidRPr="00CF03FA">
        <w:rPr>
          <w:rStyle w:val="NumeroAFNegritaCaracter"/>
        </w:rPr>
        <w:t>2</w:t>
      </w:r>
      <w:r>
        <w:t>. En el supuesto sometido a nuestra consideración la suspensión que se interesa por la demandante de amparo afecta exclusivamente a los nueve meses de responsabilidad subsidiaria por impago de multa. Ahora bien, los indicados nueve meses de prisión acompañan a la pena de cinco años impuesta en la misma Sentencia, cuyo cumplimiento está previsto para el 19 de marzo de 2011, razón por la cual resulta patente que la eventual estimación del recurso de amparo se habría de producir en un momento en el que no se habría empezado a cumplir la indicada pena de nueve meses impuesta por impago de la multa a la que principalmente fue condenada la demandante. En consecuencia la efectividad del recurso de amparo no se ve en peligro por la ejecución de la resolución impugnada.</w:t>
      </w:r>
    </w:p>
    <w:p w:rsidR="00CF03FA" w:rsidRDefault="00CF03FA" w:rsidP="00CF03FA">
      <w:pPr>
        <w:pStyle w:val="TextoNormal"/>
      </w:pPr>
    </w:p>
    <w:p w:rsidR="00CF03FA" w:rsidRDefault="00CF03FA" w:rsidP="00CF03FA">
      <w:pPr>
        <w:pStyle w:val="TextoNormal"/>
      </w:pPr>
      <w:r>
        <w:t>Por todo ello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4" w:name="AUTO_2008_43"/>
      <w:r>
        <w:lastRenderedPageBreak/>
        <w:t>AUTO 43/2008, de 11 de febrero de 2008</w:t>
      </w:r>
    </w:p>
    <w:bookmarkEnd w:id="104"/>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ECLI:ES:TC:2008:43A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Deniega la suspensión en el recurso de amparo 7991-2006, promovido por don Jesús Bollada Álvarez en procedimiento sobre licenciamiento definitivo.</w:t>
      </w:r>
    </w:p>
    <w:p w:rsidR="00CF03FA" w:rsidRDefault="00CF03FA" w:rsidP="00CF03FA">
      <w:pPr>
        <w:pStyle w:val="SntesisDescriptiva"/>
      </w:pPr>
    </w:p>
    <w:p w:rsidR="00CF03FA" w:rsidRDefault="00CF03FA" w:rsidP="00CF03FA">
      <w:pPr>
        <w:pStyle w:val="SntesisAnaltica"/>
      </w:pPr>
      <w:r>
        <w:t>Recurso de amparo: tramitación preferente. Suspensión cautelar de resoluciones penales: liquidación de condena,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registrado en este Tribunal el día 28 de julio de 2006, don José Javier Cuevas Rivas, Procurador de los Tribunales y de don Jesús Bollada Álvarez, interpuso recurso de amparo contra el Auto de la Sección Tercera de la Sala de lo Penal de la Audiencia Nacional, de 27 de junio de 2006, que desestima el recurso de súplica contra el Auto de 5 de junio de 2006, por el que se deniega el licenciamiento definitivo propuesto por el Centro penitenciario de León para el día 20 de mayo de 2006 y ordena mantener al recurrente en su situación de penado, por considerar que, de acuerdo con el nuevo criterio jurisprudencial introducido por la STS 197/2006, de 28 de febrero, la liquidación de la condena impuesta, contados los día cumplidos y los que restan por cumplir, y aun calculadas también las posibles redenciones, se producirá el 25 de septiembre de 2017. </w:t>
      </w:r>
    </w:p>
    <w:p w:rsidR="00CF03FA" w:rsidRDefault="00CF03FA" w:rsidP="00CF03FA">
      <w:pPr>
        <w:pStyle w:val="TextoNormal"/>
      </w:pPr>
      <w:r>
        <w:t>Posteriormente, en escrito registrado el 12 diciembre de 2006, solicitó “la suspensión de la ejecución de la condena y aplicación de la STS de 28 de febrero”, por considerar que, en otro caso, el mantenimiento de su situación de penado le ocasionaría un perjuicio irreparable que haría perder al amparo su finalidad.</w:t>
      </w:r>
    </w:p>
    <w:p w:rsidR="00CF03FA" w:rsidRDefault="00CF03FA" w:rsidP="00CF03FA">
      <w:pPr>
        <w:pStyle w:val="TextoNormal"/>
      </w:pPr>
    </w:p>
    <w:p w:rsidR="00CF03FA" w:rsidRDefault="00CF03FA" w:rsidP="00CF03FA">
      <w:pPr>
        <w:pStyle w:val="TextoNormal"/>
      </w:pPr>
      <w:r w:rsidRPr="00CF03FA">
        <w:rPr>
          <w:rStyle w:val="NumeroAFNegritaCaracter"/>
        </w:rPr>
        <w:t>2</w:t>
      </w:r>
      <w:r>
        <w:t>. Por sendas providencias de 30 de octubre de 2007 la Sala Segunda de este Tribunal acordó la admisión a trámite de la demanda y formar la correspondiente pieza separada de suspensión, concediendo, de conformidad con lo previsto en el art. 56 LOTC, plazo común de tres días al Ministerio Fiscal y al recurrente en amparo para que alegaran lo que estimaran pertinente en relación con la petición de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3</w:t>
      </w:r>
      <w:r>
        <w:t>. Mediante escrito registrado en este Tribunal el día 13 de noviembre de 2007 el recurrente presentó sus alegaciones reiterando en esencia las ya argumentadas en su escrito anterior para fundar su solicitud de suspensión, bien que precisando ahora que la suspensión que solicita no supone “en absoluto [su] licenciamiento definitivo”, y que habrá de decidir la Sentencia a dictar sobre el fondo.</w:t>
      </w:r>
    </w:p>
    <w:p w:rsidR="00CF03FA" w:rsidRDefault="00CF03FA" w:rsidP="00CF03FA">
      <w:pPr>
        <w:pStyle w:val="TextoNormal"/>
      </w:pPr>
    </w:p>
    <w:p w:rsidR="00CF03FA" w:rsidRDefault="00CF03FA" w:rsidP="00CF03FA">
      <w:pPr>
        <w:pStyle w:val="TextoNormal"/>
      </w:pPr>
      <w:r w:rsidRPr="00CF03FA">
        <w:rPr>
          <w:rStyle w:val="NumeroAFNegritaCaracter"/>
        </w:rPr>
        <w:t>4</w:t>
      </w:r>
      <w:r>
        <w:t>. Con fecha de 21 de noviembre de 2007 el Ministerio Fiscal presentó escrito de alegaciones oponiéndose a la suspensión solicitada, por considerar, con cita de los AATC 214/2007, 287/2007 y 366/2007, que, al igual que sucedía en estos otros asuntos, el otorgamiento de la suspensión considerada equivaldría de hecho a la concesión anticipada del amparo, toda vez que lo discutido en el recurso es la determinación de la fecha en que procede aprobar el licenciamiento definitivo del recurrente, por cumplimiento de la pena impuesta. Lo que no obsta, concluye el Fiscal, a que, teniendo en cuenta los motivos de amparo y los derechos fundamentales en juego, este Tribunal proceda a la tramitación y resolución urgente del recurso para que, caso de otorgarse el amparo, el perjuicio para el recurrente fuera el menor posible.</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Conforme se ha expuesto en los antecedentes de esta Resolución, el recurrente en amparo impugna el Auto de la Sección Tercera de la Sala de lo Penal de la Audiencia Nacional, de 5 de junio de 2006, que rechazó su licenciamiento definitivo propuesto por el Centro penitenciario de León, así como el posterior Auto de 27 de junio de 2006, que desestimó el recurso de súplica interpuesto contra el anterior. De modo que, en el presente asunto, las resoluciones judiciales recurridas en amparo no son aquellas que impusieron las penas privativas de libertad, sino las que, como se ha señalado, rechazaron aprobar la citada propuesta de licenciamiento definitivo por cumplimiento de la pena impuesta en aplicación del nuevo criterio jurisprudencial introducido por la STS 197/2006, de 28 de febrero.</w:t>
      </w:r>
    </w:p>
    <w:p w:rsidR="00CF03FA" w:rsidRDefault="00CF03FA" w:rsidP="00CF03FA">
      <w:pPr>
        <w:pStyle w:val="TextoNormal"/>
      </w:pPr>
      <w:r>
        <w:t>Sin embargo, según se desprende del contenido y suplico de su escrito de alegaciones, el recurrente en rigor, antes que la suspensión de la efectividad de las citadas Resoluciones judiciales o la aprobación del licenciamiento definitivo que las mismas rechazaron, lo que interesa en realidad es la suspensión de la aplicación del nuevo criterio jurisprudencial y, suma, la suspensión de la condena penal que cumple. En otros términos, lo que el recurrente pretende en verdad es que este Tribunal acuerde cautelarmente su inmediata puesta en libertad en tanto se resuelve su recurso de amparo y, en consecuencia, se pronuncie sobre si el recurrente habría cumplido ya su condena el día 20 de mayo de 2006 (según sostiene de consuno con la propuesta de licenciamiento inicialmente formulada por el Centro penitenciario) o, en cambio, no ha de cumplirla hasta el día 25 de septiembre de 2017 (como es el criterio de las Resoluciones de la Audiencia Nacional impugnadas), pues lo contrario, añade el recurrente, le produciría en su derecho a la libertad personal (art. 17.1 CE) un perjuicio irreparable caso de otorgarse finalmente el amparo .</w:t>
      </w:r>
    </w:p>
    <w:p w:rsidR="00CF03FA" w:rsidRDefault="00CF03FA" w:rsidP="00CF03FA">
      <w:pPr>
        <w:pStyle w:val="TextoNormal"/>
      </w:pPr>
      <w:r>
        <w:t xml:space="preserve">Semejante petición no puede ser atendida, toda vez que el recurrente no puede interesar válidamente la suspensión de la ejecución de la pena privativa de libertad impuesta en su día ni, menos aún, la suspensión del nuevo criterio jurisprudencial introducido por el Tribunal Supremo. Concluyentemente porque, como se ha señalado, ni la condena impuesta ni la citada Sentencia de ese Alto Tribunal han sido impugnadas formalmente por el recurrente, por lo que no puede pretender obtener ahora por vía cautelar más de lo que llegado el caso podría lograr en la vía principal, de estimarse finalmente el amparo que ha solicitado. En términos más tajantes, y como este Tribunal ha declarado (por todos, ATC 267/2005, de 20 de junio, FJ 2), con arreglo al art.  56 LOTC no hay posibilidad de suspender la ejecución </w:t>
      </w:r>
      <w:r>
        <w:lastRenderedPageBreak/>
        <w:t>de una resolución judicial que no ha sido recurrida en amparo, sin que la pretendida conexión a que alude el recurrente entre la condena de privación de libertad y la decisión judicial que rechaza la aprobación de su licenciamiento definitivo sirva para excepcionar esta regla.</w:t>
      </w:r>
    </w:p>
    <w:p w:rsidR="00CF03FA" w:rsidRDefault="00CF03FA" w:rsidP="00CF03FA">
      <w:pPr>
        <w:pStyle w:val="TextoNormal"/>
      </w:pPr>
    </w:p>
    <w:p w:rsidR="00CF03FA" w:rsidRDefault="00CF03FA" w:rsidP="00CF03FA">
      <w:pPr>
        <w:pStyle w:val="TextoNormal"/>
      </w:pPr>
      <w:r w:rsidRPr="00CF03FA">
        <w:rPr>
          <w:rStyle w:val="NumeroAFNegritaCaracter"/>
        </w:rPr>
        <w:t>2</w:t>
      </w:r>
      <w:r>
        <w:t>. Tampoco es posible acceder a la suspensión de las resoluciones judiciales formalmente impugnadas. En este caso porque, según es ya consolidada doctrina constitucional, que arranca del ATC 132/1982, de 31 de marzo, y confirman, entre otros muchos, los más recientes AATC 292/2005, de 4 de julio, FJ 2; 3/2006, de 16 de enero; FJ 2; 314/2006, de 25 de septiembre, FJ 2, las resoluciones judiciales de mero contenido negativo (como lo es, desde luego, el caso de las cuestionadas en amparo que rechazaron la propuesta de licenciamiento interesada por el centro penitenciario) no son susceptibles de suspensión, puesto que lo contrario equivaldría a adelantar, sin observar el procedimiento y las garantías exigibles para ello, un eventual fallo estimatorio del recurso de amparo y, en consecuencia, aprobar en el presente asunto el licenciamiento definitivo que el órgano judicial rechazó en el proceso a quo, y que constituye cabalmente el objeto de la pretensión principal que ha deducido en su recurso de amparo.</w:t>
      </w:r>
    </w:p>
    <w:p w:rsidR="00CF03FA" w:rsidRDefault="00CF03FA" w:rsidP="00CF03FA">
      <w:pPr>
        <w:pStyle w:val="TextoNormal"/>
      </w:pPr>
      <w:r>
        <w:t>Por otra parte, teniendo en cuenta que el eventual otorgamiento del amparo solicitado y, por tanto, la anulación de las resoluciones judiciales impugnadas no podría producir el efecto directo de la aprobación de la propuesta inicial de licenciamiento y la puesta en libertad del recurrente, sino simplemente, en rigor, el efecto de dejar pendiente la aprobación judicial de la nueva propuesta a formular por el Centro penitenciario sin atender ya al criterio jurisprudencial censurado, la excarcelación cautelar del recurrente significaría, no ya anticipar el contenido del fallo a dictar, sino lisa y llanamente acordar en vía cautelar un pronunciamiento que excede del contenido posible de la futura Sentencia, lo que, como antes hemos señalado, debe ser rechazado.</w:t>
      </w:r>
    </w:p>
    <w:p w:rsidR="00CF03FA" w:rsidRDefault="00CF03FA" w:rsidP="00CF03FA">
      <w:pPr>
        <w:pStyle w:val="TextoNormal"/>
      </w:pPr>
      <w:r>
        <w:t>Lo que no obsta a que, como ha interesado el Fiscal y constituye ya práctica habitual en supuestos como el considerado en los que está comprometido el derecho a la libertad del art. 17 CE, este Tribunal proceda, a la vista de los motivos de amparo y los derechos fundamentales en juego, a tramitar y resolver el presente recurso anticipándolo en el orden de señalamientos.</w:t>
      </w:r>
    </w:p>
    <w:p w:rsidR="00CF03FA" w:rsidRDefault="00CF03FA" w:rsidP="00CF03FA">
      <w:pPr>
        <w:pStyle w:val="TextoNormal"/>
      </w:pPr>
    </w:p>
    <w:p w:rsidR="00CF03FA" w:rsidRDefault="00CF03FA" w:rsidP="00CF03FA">
      <w:pPr>
        <w:pStyle w:val="TextoNormal"/>
      </w:pPr>
      <w:r>
        <w:t>En virtud de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 por don Jesús Bollada Álvarez en el recurso de amparo núm. 7991-2006.</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5" w:name="AUTO_2008_44"/>
      <w:r>
        <w:lastRenderedPageBreak/>
        <w:t>AUTO 44/2008, de 11 de febrero de 2008</w:t>
      </w:r>
    </w:p>
    <w:bookmarkEnd w:id="105"/>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ECLI:ES:TC:2008:44A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don Eugeni Gay Montalvo, doña Elisa Pérez Vera, don Ramón Rodríguez Arribas y don Pascual Sala Sánchez.</w:t>
      </w:r>
    </w:p>
    <w:p w:rsidR="00CF03FA" w:rsidRDefault="00CF03FA" w:rsidP="00CF03FA">
      <w:pPr>
        <w:pStyle w:val="SntesisDescriptiva"/>
      </w:pPr>
    </w:p>
    <w:p w:rsidR="00CF03FA" w:rsidRDefault="00CF03FA" w:rsidP="00CF03FA">
      <w:pPr>
        <w:pStyle w:val="SntesisDescriptiva"/>
      </w:pPr>
      <w:r>
        <w:t>Acuerda la suspensión en el recurso de amparo 9283-2006, promovido por don José María Bases Sebastián y otros en causa por delito contra la hacienda pública.</w:t>
      </w:r>
    </w:p>
    <w:p w:rsidR="00CF03FA" w:rsidRDefault="00CF03FA" w:rsidP="00CF03FA">
      <w:pPr>
        <w:pStyle w:val="SntesisDescriptiva"/>
      </w:pPr>
    </w:p>
    <w:p w:rsidR="00CF03FA" w:rsidRDefault="00CF03FA" w:rsidP="00CF03FA">
      <w:pPr>
        <w:pStyle w:val="SntesisAnaltica"/>
      </w:pPr>
      <w:r>
        <w:t>Suspensión cautelar de sentencias penales: inhabilitación especial del derecho de sufragio pasivo e inhabilitación especial para profesión, suspende; privación de libertad efectiva.</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En fecha 10 de octubre de 2006 se presenta en el registro del Tribunal Constitucional escrito del Procurador Sr. Molina Santiago, en representación de los Srs. don José María Bases Sebastián, doña María Asunción Romero Pujol y don Miguel Ángel Gutiérrez Miguel, en el que interponen recurso de amparo, por vulneración del derecho a la tutela judicial efectiva e interdicción de la indefensión (art. 24.1 CE), y al proceso público con todas las garantías (art. 24. 2 CE), contra la Sentencia núm.285/2006, de 7 de septiembre, de la Sección Decimoquinta de la Audiencia Provincial de Madrid, que, estimando el recurso de apelación interpuesto por la Abogacía del Estado, condena a los recurrentes por la comisión de un delito contra la Hacienda Pública del art.305 CP, a las penas, para el Sr. Bases Sebastián (autor) de un año y tres meses de prisión, inhabilitación especial para el ejercicio del derecho sufragio pasivo durante el tiempo la condena, multa de 501.887,85 € con la responsabilidad subsidiaria en caso de pago de quince días de privación de libertad, y pérdida de la posible obtener subvenciones o incentivos fiscales o de la seguridad social por el periodo de cuatro años; para la Sra. Romero Pujol (cooperadora necesaria), seis meses de prisión, con la accesoria de inhabilitación especial para el derecho de sufragio pasivo durante el tiempo la condena, multa de 143.396,50 €, con una responsabilidad subsidiaria en caso de impago de 10 días de arresto sustitutorio, y pérdida de la posible obtener beneficios o incentivos fiscales o de la seguridad social por un periodo de dos años; y para Sr. Gutiérrez Miguel (cooperador necesario), seis meses de prisión, con la accesoria de inhabilitación especial para el ejercicio del derecho sufragio pasivo durante el tiempo de la condena, multa de 143.396,54 € con una responsabilidad subsidiaria en caso de impago de 10 días de arresto sustitutorio, y la pérdida de posibilidad de obtener beneficios o incentivos fiscales o de la seguridad social por un periodo de dos años. </w:t>
      </w:r>
    </w:p>
    <w:p w:rsidR="00CF03FA" w:rsidRDefault="00CF03FA" w:rsidP="00CF03FA">
      <w:pPr>
        <w:pStyle w:val="TextoNormal"/>
      </w:pPr>
      <w:r>
        <w:t>Dicho recurso, concluye solicitando el otorgamiento del amparo y el restablecimiento en los derechos vulnerados, así como, por otrosí digo, que conforme al art. 56.1 LOTC, y dada la similitud el presente supuesto con el del ATC 87/1997 de 17 de marzo en el cual se sus</w:t>
      </w:r>
      <w:r>
        <w:lastRenderedPageBreak/>
        <w:t>pendían la pena privativa de libertad, accesorias, y multas cuantiosas impuestas por la comisión de un delito contra la Hacienda pública; la suspensión de la ejecución de todas las penas impuestas a los Srs. Bases, Romero y Gutiérrez, especialmente respecto de este último, dado que la ejecución implicaría la inhabilitación en el ejercicio de la profesión de auditor de cuentas, conforme a la Ley de Auditoría de Cuentas.</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providencia de la Sala Segunda del Tribunal Constitucional de 16 de octubre de 2007 (notificada el 23 de octubre de 2007) se acordó la admisión a trámite de la presente demanda de amparo, y formación de pieza separada sobre el incidente de suspensión, concediendo plazo para alegaciones a los demandantes y al Ministerio Fiscal sobre suspensión.</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Mediante escrito de ingreso el 26 de octubre de 2007 el Procurador Sr. Molina Santiago, en representación de los Srs. Bases, Romero y Gutiérrez, evacua el traslado oportuno sobre la suspensión. En primer lugar procede a exponer como, conforme al art.56 LOTC, la regla general es la de no suspensión de las resoluciones judiciales, salvo que la ejecución de las mismas ocasionase un perjuicio irreparable, que hiciere ilusorio del amparo; expone igualmente la procedibilidad de la suspensión de una resolución judicial, siempre y cuando no haya perturbación grave del interés general, ni de los derechos fundamentales y libertades de un tercero. </w:t>
      </w:r>
    </w:p>
    <w:p w:rsidR="00CF03FA" w:rsidRDefault="00CF03FA" w:rsidP="00CF03FA">
      <w:pPr>
        <w:pStyle w:val="TextoNormal"/>
      </w:pPr>
      <w:r>
        <w:t xml:space="preserve">Acto seguido, expone cómo la naturaleza de penas privativas de libertad cortas de las impuestas en el presente supuesto (un año y tres meses de prisión para el Sr. Bases, y seis meses para la Sra. Romero y el Sr. Gutiérrez) aconseja la suspensión. Expone igualmente los solicitantes como el Sr. Gutiérrez Miguel, al ser auditor de cuentas, tiene, como consecuencia de la condena y de los arts. 7.1 y 9 de la Ley de auditoría de cuentas, que padecer el efecto accesorio de la inhabilitación profesional (pérdida sobrevenida de las condiciones de aptitud para el ejercicio de la auditoría), lo cual le ocasiona perjuicio irreparable; por ello, y dado que la adecuada interpretación del art.56 LOTC permite la adopción por el Tribunal no sólo la suspensión de la ejecución de la resolución impugnada, sino también la adopción de todas las medidas necesarias para evitar que se frustre la finalidad del recurso, solicita: para todos los recurrentes (con cita de AATC 87/1997; 117/2004, 238/2004; 263/2004 y 235/2005) la suspensión de las penas privativas de libertad, así como las accesorias de inhabilitación para el ejercicio del derecho sufragio pasivo, y para el Sr. Gutiérrez, además, la adopción de la medida cautelar tendiente a evitar su inhabilitación profesional. </w:t>
      </w:r>
    </w:p>
    <w:p w:rsidR="00CF03FA" w:rsidRDefault="00CF03FA" w:rsidP="00CF03FA">
      <w:pPr>
        <w:pStyle w:val="TextoNormal"/>
      </w:pPr>
      <w:r>
        <w:t xml:space="preserve">En escrito de ingreso el 29 de octubre de 2007 la representación de los Srs. Bases, Romero, y Gutiérrez Miguel expone cómo el escrito presentado el 26 de octubre de 2007 constituía “un borrador de trabajo que no se corresponde con la versión definitiva elaborada”, por lo que solicitan “que sea admitido y se tenga por sustituido el escrito de alegaciones presentado por el que se acompaña”. Simultáneamente se presenta escrito en el que se justifica el daño irreparable que produciría la ejecución de las penas privativas de libertad y accesorias de inhabilitación, con concreta mención al daño irreparable que entraña para el Sr. Gutiérrez Miguel la inhabilitación profesional, tanto por razones familiares y personales como por razones profesionales, no sólo de pérdida de la clientela e ingresos económicos sino de honorabilidad profesional; a continuación procede a justificar la concurrencia de los requisitos para la adopción de la medida cautelar de suspensión, con “la adopción de todas aquellas medidas cautelares que impidan el periculum in mora del proceso amparo”, que tendría su apoyo en el art.56.3 LOTC. Concluye el escrito solicitando para todos los recurrentes la suspensión de la ejecución de las penas privativas de libertad y de las penas accesorias de inhabilitación especial para el ejercicio del derecho de sufragio pasivo durante el </w:t>
      </w:r>
      <w:r>
        <w:lastRenderedPageBreak/>
        <w:t>tiempo de la condena, y para el Sr. Gutiérrez Miguel la adopción de la medida cautelar tendiente a evitar su inhabilitación profesional, por el daño irreparable que dicha inhabilitación produciría, haciendo inútil el amparo solicitado (y admitido a trámite).</w:t>
      </w:r>
    </w:p>
    <w:p w:rsidR="00CF03FA" w:rsidRDefault="00CF03FA" w:rsidP="00CF03FA">
      <w:pPr>
        <w:pStyle w:val="TextoNormal"/>
      </w:pPr>
    </w:p>
    <w:p w:rsidR="00CF03FA" w:rsidRDefault="00CF03FA" w:rsidP="00CF03FA">
      <w:pPr>
        <w:pStyle w:val="TextoNormal"/>
      </w:pPr>
      <w:r w:rsidRPr="00CF03FA">
        <w:rPr>
          <w:rStyle w:val="NumeroAFNegritaCaracter"/>
        </w:rPr>
        <w:t>4</w:t>
      </w:r>
      <w:r>
        <w:t>. En escrito de ingreso el 6 de noviembre de 2007 el Fiscal ante el Tribunal Constitucional interesa la suspensión de la ejecución de las penas privativas de libertad impuestas a los demandantes, por el perjuicio irreparable que les ocasionaría su ejecución, para el caso de un eventual fallo estimatorio del amparo; interesando, por el contrario, la no suspensión respecto de las penas de multa, ni respecto de las responsabilidades civiles impuestas, ni de la pérdida de la posibilidad obtener subvenciones públicas, ya que no se acredita la irreparabilidad de los perjuicios; ni de la responsabilidad personal subsidiaria para el caso de impago de la multa, por ser eventual y futura.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Señala el art.56 LOTC en redacción dada por la Ley Orgánica 6/2007 de 24 de mayo:</w:t>
      </w:r>
    </w:p>
    <w:p w:rsidR="00CF03FA" w:rsidRDefault="00CF03FA" w:rsidP="00CF03FA">
      <w:pPr>
        <w:pStyle w:val="TextoNormal"/>
      </w:pPr>
      <w:r>
        <w:t>“1. La interposición del recurso de amparo no suspenderá los efectos del acto o sentencia impugnados.</w:t>
      </w:r>
    </w:p>
    <w:p w:rsidR="00CF03FA" w:rsidRDefault="00CF03FA" w:rsidP="00CF03FA">
      <w:pPr>
        <w:pStyle w:val="TextoNormal"/>
      </w:pPr>
    </w:p>
    <w:p w:rsidR="00CF03FA" w:rsidRDefault="00CF03FA" w:rsidP="00CF03FA">
      <w:pPr>
        <w:pStyle w:val="TextoNormal"/>
      </w:pPr>
      <w:r w:rsidRPr="00CF03FA">
        <w:rPr>
          <w:rStyle w:val="NumeroAFNegritaCaracter"/>
        </w:rPr>
        <w:t>2</w:t>
      </w:r>
      <w:r>
        <w:t>.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F03FA" w:rsidRDefault="00CF03FA" w:rsidP="00CF03FA">
      <w:pPr>
        <w:pStyle w:val="TextoNormal"/>
      </w:pPr>
    </w:p>
    <w:p w:rsidR="00CF03FA" w:rsidRDefault="00CF03FA" w:rsidP="00CF03FA">
      <w:pPr>
        <w:pStyle w:val="TextoNormal"/>
      </w:pPr>
      <w:r w:rsidRPr="00CF03FA">
        <w:rPr>
          <w:rStyle w:val="NumeroAFNegritaCaracter"/>
        </w:rPr>
        <w:t>3</w:t>
      </w:r>
      <w:r>
        <w:t>. Asimismo, la Sala o la Sección podrá adoptar cualesquiera medidas cautelares y resoluciones provisionales previstas en el ordenamiento, que, por su naturaleza, puedan aplicarse en el proceso de amparo y tiendan a evitar que el recurso pierda su finalidad.</w:t>
      </w:r>
    </w:p>
    <w:p w:rsidR="00CF03FA" w:rsidRDefault="00CF03FA" w:rsidP="00CF03FA">
      <w:pPr>
        <w:pStyle w:val="TextoNormal"/>
      </w:pPr>
    </w:p>
    <w:p w:rsidR="00CF03FA" w:rsidRDefault="00CF03FA" w:rsidP="00CF03FA">
      <w:pPr>
        <w:pStyle w:val="TextoNormal"/>
      </w:pPr>
      <w:r w:rsidRPr="00CF03FA">
        <w:rPr>
          <w:rStyle w:val="NumeroAFNegritaCaracter"/>
        </w:rPr>
        <w:t>4</w:t>
      </w:r>
      <w:r>
        <w:t>. La suspensión u otra medida cautelar podrá pedirse en cualquier tiempo, antes de haberse pronunciado la sentencia o decidirse el amparo de otro modo. El incidente de suspensión se sustanciará con audiencia de las partes y del Ministerio Fiscal, por un plazo común que no excederá de tres días y con el informe de las autoridades responsables de la ejecución, si la Sala o la Sección lo creyera necesario. La Sala o la Sección podrá condicionar la denegación de la suspensión en el caso de que pudiera seguirse perturbación grave de los derechos de un tercero, a la constitución de caución suficiente para responder de los daños o perjuicios que pudieran originarse.”</w:t>
      </w:r>
    </w:p>
    <w:p w:rsidR="00CF03FA" w:rsidRDefault="00CF03FA" w:rsidP="00CF03FA">
      <w:pPr>
        <w:pStyle w:val="TextoNormal"/>
      </w:pPr>
      <w:r>
        <w:t xml:space="preserve">Dicho precepto coincide con la doctrina reiterada por este Tribunal de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w:t>
      </w:r>
      <w:r>
        <w:lastRenderedPageBreak/>
        <w:t>vulnerado sea tardío e impida su efectiva restauración (AATC 20/1992, 370/1996, 69/1997, 25/2002, 9/2003).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(AATC 293/2001, de 26 de noviembre, FJ 1, 211/2004, de 2 junio, FJ 2, y 362/2007 de 10 septiembre, FJ 1).</w:t>
      </w:r>
    </w:p>
    <w:p w:rsidR="00CF03FA" w:rsidRDefault="00CF03FA" w:rsidP="00CF03FA">
      <w:pPr>
        <w:pStyle w:val="TextoNormal"/>
      </w:pPr>
      <w:r>
        <w:t>2. Aplicando la referida doctrina al presente supuesto hemos de convenir que, sin perjuicio de lo dispuesto en los arts.80 y ss del Código penal (CP), el carácter menos grave de las penas privativas de libertad impuestas por la Sentencia núm.285/2006, de 7 de septiembre, de la Sección Decimoquinta de la Audiencia Provincial de Madrid recurrida (un año y tres meses de prisión para el Sr. Bases, y seis meses para la Sra. Romero y el Sr. Gutiérrez), así como la justificación del perjuicio que el ingreso en prisión supondría para los recurrentes, cumplen con los requisitos que venimos exigiendo para la suspensión de la ejecución de las penas cortas privativas de libertad (por todos ATC 263/2004 , FJ 3) y aconsejan la adopción de la cautela solicitada.</w:t>
      </w:r>
    </w:p>
    <w:p w:rsidR="00CF03FA" w:rsidRDefault="00CF03FA" w:rsidP="00CF03FA">
      <w:pPr>
        <w:pStyle w:val="TextoNormal"/>
      </w:pPr>
      <w:r>
        <w:t>Igualmente procede la suspensión de la pena accesoria legal de inhabilitación especial para el ejercicio de del derecho de sufragio pasivo durante el tiempo de la condena, pues, conforme a nuestra doctrina las penas accesorias han de seguir la misma suerte que la principal (AATC 114/1984, 267/1995, 286/1997, 258/2000, 63/2001, 106/2002).</w:t>
      </w:r>
    </w:p>
    <w:p w:rsidR="00CF03FA" w:rsidRDefault="00CF03FA" w:rsidP="00CF03FA">
      <w:pPr>
        <w:pStyle w:val="TextoNormal"/>
      </w:pPr>
      <w:r>
        <w:t>Sin embargo, respecto de la pena de multa, a tenor de la ausencia de pedimento al respecto por los recurrentes (al contrario, reconocen que están procediendo a hacerla efectiva), unida a nuestra doctrina de que en las condenas de contenido económico los perjuicios anejos a su ejecución son perfectamente reparables (AATC 189/2000, 193/2000, 204/2000 y 106/2002), debe acordarse la no suspensión. Otro tanto cabe decir respecto de la responsabilidad personal subsidiaria para el caso de impago de la pena de multa, pues se trata de una eventualidad incierta en este momento, ya que depende de que la multa no llegue a ser abonada voluntariamente o por la vía de apremio (ATC 223/2002, FJ 2).</w:t>
      </w:r>
    </w:p>
    <w:p w:rsidR="00CF03FA" w:rsidRDefault="00CF03FA" w:rsidP="00CF03FA">
      <w:pPr>
        <w:pStyle w:val="TextoNormal"/>
      </w:pPr>
      <w:r>
        <w:t>Respecto de la suspensión de la ejecución de las penas de pérdida de la posibilidad de obtener beneficios o incentivos fiscales o de la Seguridad Social (por cuatro años para el Sr. Bases y por dos para los Srs. Romero y Gutiérrez), el carácter exclusivamente económico de este pronunciamiento, perfectamente reparable en el caso de que se concediese el amparo que solicita (ver AATC 109/1997, 13/1999, y 117/2004, FJ 4), conduce a denegar la suspensión.</w:t>
      </w:r>
    </w:p>
    <w:p w:rsidR="00CF03FA" w:rsidRDefault="00CF03FA" w:rsidP="00CF03FA">
      <w:pPr>
        <w:pStyle w:val="TextoNormal"/>
      </w:pPr>
      <w:r>
        <w:t>3. Cuestión que merece específica consideración es la petición relativa al recurrente Sr. Gutiérrez, fundada en la redacción dada al art.56.3 LOTC por la Ley Orgánica 6/2007 de 24 de mayo, de que se adopten las medidas específicas por el Tribunal a fin de evitar que por la ejecución de la Sentencia recurrida, condenatoria por delito doloso, y que es firme, y se inscribe en los registros correspondientes (y, en concreto, respecto del Registro Oficial de Auditores de Cuentas, implica la exclusión), se produzca la consecuencia insoportable para el recurrente de que sea inhabilitado en el ejercicio de su profesión de auditor de cuentas, por aplicación de los arts. 7.1 c) y 9 a de la Ley de auditoría de cuentas.</w:t>
      </w:r>
    </w:p>
    <w:p w:rsidR="00CF03FA" w:rsidRDefault="00CF03FA" w:rsidP="00CF03FA">
      <w:pPr>
        <w:pStyle w:val="TextoNormal"/>
      </w:pPr>
      <w:r>
        <w:lastRenderedPageBreak/>
        <w:t>La cuestión debe analizarse aplicando, por similitud, nuestro canon elaborado en relación con las penas privativas de libertad de ponderación o “equilibrio entre los intereses del recurrente, los generales de la sociedad y los derechos de terceros” (ATC 369/2005); “de conciliar el interés en la ejecución de las resoluciones judiciales y derecho afectado, examinando las circunstancias específicas que concurren en cada supuesto, pues las mismas pueden incrementar o disminuir el peso de los citados intereses, inclinando la resolución a favor del interés general o del interés particular que siempre concurren en el supuesto de hecho” (AATC 287/2007 y 396/2007).</w:t>
      </w:r>
    </w:p>
    <w:p w:rsidR="00CF03FA" w:rsidRDefault="00CF03FA" w:rsidP="00CF03FA">
      <w:pPr>
        <w:pStyle w:val="TextoNormal"/>
      </w:pPr>
      <w:r>
        <w:t>En el presente caso la finalidad de la suspensión es permitir la efectividad del amparo, que, como solicita el recurrente en su demanda principal, persigue la “declaración de la vulneración” y “el restablecimiento en el ejercicio del derecho”. Un primer dato a ponderar lo constituye, por lo tanto, que —efectivamente— la no adopción de la cautela de la suspensión de efectividad de la Sentencia haría que el hipotético amparo a otorgar deviniera inútil cara al ejercicio profesional, puesto que el recurrente, en el caso de que las cosas siguieren su curso normal y legal, ya habría sido expulsado de la lista de auditores y perdido tal condición. Por otra parte la propia expulsión del cuerpo de auditores, aunque sea autónoma en su declaración por el colegio correspondiente, es una de las consecuencias jurídicas de la imposición de una condena, cuyos efectos, en todo lo que no sean patrimoniales, este Tribunal admite suspender.</w:t>
      </w:r>
    </w:p>
    <w:p w:rsidR="00CF03FA" w:rsidRDefault="00CF03FA" w:rsidP="00CF03FA">
      <w:pPr>
        <w:pStyle w:val="TextoNormal"/>
      </w:pPr>
      <w:r>
        <w:t>A mayor abundamiento el principio de accesoriedad, impone que si se suspende la pena privativa de libertad, y las privativas de derechos accesorias a la misma, no resultaría lógico que se limitara la suspensión a ello y no se extendiese a otras consecuencias accesorias perniciosas, personal y profesionalmente, para el recurrente, y que son —igualmente—, sino accesorias, sí consecuencia de la pena principal.</w:t>
      </w:r>
    </w:p>
    <w:p w:rsidR="00CF03FA" w:rsidRDefault="00CF03FA" w:rsidP="00CF03FA">
      <w:pPr>
        <w:pStyle w:val="TextoNormal"/>
      </w:pPr>
      <w:r>
        <w:t>Por otra parte hemos destacado que el daño que tiende a preservar la suspensión de la ejecución de un fallo, es tanto la certeza como “el riesgo” (AATC208/2001 y 37/2006) de que se ocasionará un perjuicio que hará inútil el amparo a otorgar. En el presente caso la inexorabilidad del iter procesal de inhabilitación descrito por el recurrente, si bien no existe actualmente, es inapelable por imperativo de la Ley de auditoría de cuentas, por lo que la suspensión a otorgar, debe extenderse a esta consecuencia perjudicial.</w:t>
      </w:r>
    </w:p>
    <w:p w:rsidR="00CF03FA" w:rsidRDefault="00CF03FA" w:rsidP="00CF03FA">
      <w:pPr>
        <w:pStyle w:val="TextoNormal"/>
      </w:pPr>
      <w:r>
        <w:t>Finalmente, aunque la justificación de la irreparabilidad de los perjuicios ofrecida por el recurrente, para el caso de que se le privara de la condición de auditor, ha sido preeminentemente económica (incluso en lo relativo a “lo profesional”, o en relación con la “pérdida de la clientela”), y, por tanto, reconducible a lucro cesante y daño emergente (sin que haya efectuado estimación alguna entorno a su importe y gravedad), no obstante, la argumentación relativa a su honor introduce un bien jurídico de carácter personal, cuya reparabilidad no es monetaria, lo cual justifica que este Tribunal deba atender a su tutela, evitando su lesión irremediable.</w:t>
      </w:r>
    </w:p>
    <w:p w:rsidR="00CF03FA" w:rsidRDefault="00CF03FA" w:rsidP="00CF03FA">
      <w:pPr>
        <w:pStyle w:val="TextoNormal"/>
      </w:pPr>
    </w:p>
    <w:p w:rsidR="00CF03FA" w:rsidRDefault="00CF03FA" w:rsidP="00CF03FA">
      <w:pPr>
        <w:pStyle w:val="TextoNormal"/>
      </w:pPr>
      <w:r>
        <w:t>Por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1. La suspensión de la ejecución de las penas privativas de libertad y de las penas accesorias de inhabilitación para el ejercicio del derecho de sufragio pasivo, impuestas en Sentencia núm.285/2006, de 7 de septiembre, de la Sección Decimoquinta de la</w:t>
      </w:r>
    </w:p>
    <w:p w:rsidR="00CF03FA" w:rsidRDefault="00CF03FA" w:rsidP="00CF03FA">
      <w:pPr>
        <w:pStyle w:val="TextoNormal"/>
      </w:pPr>
      <w:r>
        <w:t>Audiencia Provincial de Madrid, a los Srs. Bases, Romero y Gutierrez.</w:t>
      </w:r>
    </w:p>
    <w:p w:rsidR="00CF03FA" w:rsidRDefault="00CF03FA" w:rsidP="00CF03FA">
      <w:pPr>
        <w:pStyle w:val="TextoNormal"/>
      </w:pPr>
      <w:r>
        <w:lastRenderedPageBreak/>
        <w:t>2. La suspensión de la inhabilitación prevista en los arts.6, 7 y 9 de la Ley 19/1988 de 12 de julio de auditoría de cuentas, derivada de la firmeza de la Sentencia núm.285/2006, de 7 de septiembre, respecto del Sr. Gutierrez.</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6" w:name="AUTO_2008_45"/>
      <w:r>
        <w:lastRenderedPageBreak/>
        <w:t>AUTO 45/2008, de 11 de febrero de 2008</w:t>
      </w:r>
    </w:p>
    <w:bookmarkEnd w:id="106"/>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ECLI:ES:TC:2008:45A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Acuerda la suspensión  en el recurso de amparo 10178-2006, promovido por don Carlos Holgueras Gimeno en causa por delito de receptación.</w:t>
      </w:r>
    </w:p>
    <w:p w:rsidR="00CF03FA" w:rsidRDefault="00CF03FA" w:rsidP="00CF03FA">
      <w:pPr>
        <w:pStyle w:val="SntesisDescriptiva"/>
      </w:pPr>
    </w:p>
    <w:p w:rsidR="00CF03FA" w:rsidRDefault="00CF03FA" w:rsidP="00CF03FA">
      <w:pPr>
        <w:pStyle w:val="SntesisAnaltica"/>
      </w:pPr>
      <w:r>
        <w:t>Suspensión cautelar de sentencias penales: costas procesales, no suspende; inhabilitación especial del derecho de sufragio pasivo y prisión de seis meses,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presentado en el Registro General de este Tribunal el día 13 de noviembre de 2006 don Luis Alfaro Rodríguez, Procurador de los Tribunales, en nombre y representación de don Carlos Holgueras Gimeno, interpuso recurso de amparo contra la Sentencia de la Audiencia Provincial de Palencia núm. 50/2006, de 16 de octubre, recaída en el rollo de apelación núm. 34-2006 dimanante del procedimiento abreviado núm. 559-2005, que, revocando la dictada por el Juzgado de lo Penal núm. 1 de Palencia de 17 de marzo de 2006, condenó al recurrente en amparo, como autor de un delito de receptación, a las penas de seis meses de prisión con inhabilitación especial para el derecho de sufragio pasivo durante la condena y al pago de la mitad de las costas procesales de la primera instancia. </w:t>
      </w:r>
    </w:p>
    <w:p w:rsidR="00CF03FA" w:rsidRDefault="00CF03FA" w:rsidP="00CF03FA">
      <w:pPr>
        <w:pStyle w:val="TextoNormal"/>
      </w:pPr>
      <w:r>
        <w:t>Por medio de otrosí, el demandante de amparo, con base en el art. 56 LOTC, interesó la suspensión de la ejecución de la Sentencia recurrida.</w:t>
      </w:r>
    </w:p>
    <w:p w:rsidR="00CF03FA" w:rsidRDefault="00CF03FA" w:rsidP="00CF03FA">
      <w:pPr>
        <w:pStyle w:val="TextoNormal"/>
      </w:pPr>
    </w:p>
    <w:p w:rsidR="00CF03FA" w:rsidRDefault="00CF03FA" w:rsidP="00CF03FA">
      <w:pPr>
        <w:pStyle w:val="TextoNormal"/>
      </w:pPr>
      <w:r w:rsidRPr="00CF03FA">
        <w:rPr>
          <w:rStyle w:val="NumeroAFNegritaCaracter"/>
        </w:rPr>
        <w:t>2</w:t>
      </w:r>
      <w:r>
        <w:t>. La Sala Segunda del Tribunal Constitucional, por sendas providencias de 19 de diciembre de 2007, acordó, respectivamente, admitir a trámite la demanda y formar la oportuna pieza para la tramitación del incidente de suspensión, concediendo un plazo de tres días a la parte recurrente y al Ministerio Fiscal para que alegasen lo que estimaran pertinente sobre la suspensión solicitada.</w:t>
      </w:r>
    </w:p>
    <w:p w:rsidR="00CF03FA" w:rsidRDefault="00CF03FA" w:rsidP="00CF03FA">
      <w:pPr>
        <w:pStyle w:val="TextoNormal"/>
      </w:pPr>
    </w:p>
    <w:p w:rsidR="00CF03FA" w:rsidRDefault="00CF03FA" w:rsidP="00CF03FA">
      <w:pPr>
        <w:pStyle w:val="TextoNormal"/>
      </w:pPr>
      <w:r w:rsidRPr="00CF03FA">
        <w:rPr>
          <w:rStyle w:val="NumeroAFNegritaCaracter"/>
        </w:rPr>
        <w:t>3</w:t>
      </w:r>
      <w:r>
        <w:t>. El recurrente en amparo evacuó el trámite de alegaciones conferido mediante escrito registrado en fecha 3 de enero de 2008, en el que reiteró la petición de suspensión formulada en el escrito de demanda, puesto que la ejecución de la Sentencia recurrida le causaría un perjuicio irreparable y privaría al recurso de amparo de su finalidad.</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El Ministerio Fiscal evacuó el trámite de alegaciones conferido mediante escrito registrado en fecha 14 de enero de 2008, en el que, tras reproducir la doctrina constitucional </w:t>
      </w:r>
      <w:r>
        <w:lastRenderedPageBreak/>
        <w:t xml:space="preserve">sobre este incidente de suspensión, los distintos intereses a ponderar y, más concretamente, sobre la suspensión de la ejecución de las resoluciones judiciales penales en cuyo fallo se declare la condena a penas privativas de libertad, considera que en este caso, en aplicación de la doctrina referida, procede acceder a la suspensión de la ejecución de la pena privativa de libertad, dada su duración y el tiempo que normalmente requiere la tramitación de un recurso de amparo como éste, pues de lo contrario se ocasionaría al recurrente un perjuicio irreparable que dejaría totalmente en entredicho la eficacia de un eventual fallo estimatorio del recurso, ya que entonces la pena de prisión estaría cumplida. Además, atendidas las circunstancias del caso, no cabe apreciar que la suspensión solicitada ocasione una lesión específica y grave de los intereses generales -más allá de aquélla que de por sí produce la no ejecución del fallo judicial-, ni derechos fundamentales o libertades públicas de terceros, mientras que el supuesto contrario sí irrogaría al demandante perjuicios de muy difícil o imposible reparación. </w:t>
      </w:r>
    </w:p>
    <w:p w:rsidR="00CF03FA" w:rsidRDefault="00CF03FA" w:rsidP="00CF03FA">
      <w:pPr>
        <w:pStyle w:val="TextoNormal"/>
      </w:pPr>
      <w:r>
        <w:t xml:space="preserve">Del mismo modo procede también acceder a la suspensión de la ejecución de la pena accesoria impuesta, al tener que seguir la misma suerte que la principal. </w:t>
      </w:r>
    </w:p>
    <w:p w:rsidR="00CF03FA" w:rsidRDefault="00CF03FA" w:rsidP="00CF03FA">
      <w:pPr>
        <w:pStyle w:val="TextoNormal"/>
      </w:pPr>
      <w:r>
        <w:t>Sin embargo no procede extender la suspensión de la condena al pago de las costas procesales, pues al entrañar dicha condena un pago en dinero su ejecución no provoca ningún perjuicio que pueda hacer inútil el recurso de amparo.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F03FA" w:rsidRDefault="00CF03FA" w:rsidP="00CF03FA">
      <w:pPr>
        <w:pStyle w:val="TextoNormal"/>
      </w:pPr>
      <w:r>
        <w:t>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Más concretamente, a los efectos que a este concreto incidente de suspensión interesan, este Tribunal ha establecido como criterio general la improcedencia de la suspensión de la ejecución de aquellos fallos judiciales que admiten la restitución íntegra de lo ejecutado, como, por lo general, sucede con las condenas de contenido económico o patrimonial, salvo que por su importancia o cuantía o por las especiales circunstancias concurrentes su </w:t>
      </w:r>
      <w:r>
        <w:lastRenderedPageBreak/>
        <w:t>cumplimiento pueda causar daños irreparables. De otra parte, también tiene declarado que la suspensión de la ejecución de las resoluciones judiciales en cuyo fallo se declare la condena a penas privativas de libertad tampoco es aplicable con carácter absoluto y sin restricciones, dado que el citado art.  56.1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caso, pues las mismas pueden incrementar o disminuir el peso de los citados valores inclinando la resolución a favor del interés general o del interés particular que siempre concurren en el supuesto de hecho. Resulta pertinente ponderar, por lo tanto, la gravedad y naturaleza de los hechos enjuiciados y el bien jurídico protegido, su trascendencia social, la duración de la pena impuesta, el tiempo que reste de cumplimiento de la misma, el riesgo de eludir la acción de la justicia y la posible desprotección de las víctimas. De entre todos estos criterios cobra especial relevancia el referido a la gravedad de la pena impuesta, ya que expresa de forma sintética la reprobación que el ordenamiento asigna al hecho delictivo —la importancia del bien jurídico tutelado, la gravedad y trascendencia social del delito— y, en consecuencia, la magnitud del interés general en su ejecución (por todos, AATC 359/2007, de 10 de septiembre, FJ 2; 366/2007, de 11 de septiembre, FJ 2; 418/2007, de 5 de noviembre, FJ 1).</w:t>
      </w:r>
    </w:p>
    <w:p w:rsidR="00CF03FA" w:rsidRDefault="00CF03FA" w:rsidP="00CF03FA">
      <w:pPr>
        <w:pStyle w:val="TextoNormal"/>
      </w:pPr>
    </w:p>
    <w:p w:rsidR="00CF03FA" w:rsidRDefault="00CF03FA" w:rsidP="00CF03FA">
      <w:pPr>
        <w:pStyle w:val="TextoNormal"/>
      </w:pPr>
      <w:r w:rsidRPr="00CF03FA">
        <w:rPr>
          <w:rStyle w:val="NumeroAFNegritaCaracter"/>
        </w:rPr>
        <w:t>3</w:t>
      </w:r>
      <w:r>
        <w:t>. La aplicación al caso de la doctrina expuesta conduce a considerar, como el Ministerio Fiscal pone de manifiesto en su escrito de alegaciones, si se compara la duración de la pena privativa de libertad impuesta al demandante (seis meses) con el tiempo que requiere normalmente la tramitación de un proceso de amparo como el presente, que, de no proceder a la suspensión de su ejecución, se le ocasionaría al recurrente un perjuicio irreparable que dejaría totalmente en entredicho la eficacia de un eventual fallo estimatorio de la demanda, por cuanto la pena de prisión estaría ya cumplida. Por otro lado, atendidas todas las circunstancias concurrentes en este caso, no se aprecia que la suspensión ocasione una lesión específica y grave de los intereses constitucionalmente protegidos —más allá de aquélla de que por sí produce la no ejecución del fallo judicial—, ni de derechos fundamentales o libertades públicas de terceros, mientras que, por el contrario, de no accederse a la suspensión, sí se irrogarían al demandante el perjuicio de muy difícil o imposible reparación ya señalado.</w:t>
      </w:r>
    </w:p>
    <w:p w:rsidR="00CF03FA" w:rsidRDefault="00CF03FA" w:rsidP="00CF03FA">
      <w:pPr>
        <w:pStyle w:val="TextoNormal"/>
      </w:pPr>
      <w:r>
        <w:t>La suspensión de la ejecución de la pena privativa de libertad conlleva también, de acuerdo con una reiterada doctrina constitucional, la suspensión de la pena accesoria de privación del derecho de sufragio pasivo, al seguir la pena accesoria la misma suerte que la principal (ATC 286/2007, de 18 de junio, FJ 3, por todas).</w:t>
      </w:r>
    </w:p>
    <w:p w:rsidR="00CF03FA" w:rsidRDefault="00CF03FA" w:rsidP="00CF03FA">
      <w:pPr>
        <w:pStyle w:val="TextoNormal"/>
      </w:pPr>
      <w:r>
        <w:t>Sin embargo no procede acceder a la suspensión de la condena al pago de la mitad de las costas de la primera instancia, por tratarse de un pronunciamiento de carácter estrictamente económico, sin que el recurrente haya alegado nada sobre las serias dificultades o irreversibles daños que podría ocasionarle el cumplimiento de dicha condena (AATC 359/2007, de 10 de septiembre, FJ 3; 411/2007, de 5 de noviembre, FJ 2).</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lastRenderedPageBreak/>
        <w:t>Suspender la ejecución de la Sentencia de la Audiencia Provincial de Palencia núm. 50/2006, de 16 de octubre, recaída en el rollo de apelación núm. 34-2006 dimanante del procedimiento abreviado núm. 559-2005, exclusivamente en lo relativo a la pena</w:t>
      </w:r>
    </w:p>
    <w:p w:rsidR="00CF03FA" w:rsidRDefault="00CF03FA" w:rsidP="00CF03FA">
      <w:pPr>
        <w:pStyle w:val="TextoNormal"/>
      </w:pPr>
      <w:r>
        <w:t>privativa de libertad y a la accesoria de suspensión del derecho de sufragio pasivo.</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7" w:name="AUTO_2008_46"/>
      <w:r>
        <w:lastRenderedPageBreak/>
        <w:t>AUTO 46/2008, de 11 de febrero de 2008</w:t>
      </w:r>
    </w:p>
    <w:bookmarkEnd w:id="107"/>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ECLI:ES:TC:2008:46A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Desestima el recurso de súplica interpuesto por el Ministerio Fiscal sobre inadmisión del recurso de amparo 92-2007, promovido por don Luis Terol Gómez y otra en contencioso sobre ruina de inmueble.</w:t>
      </w:r>
    </w:p>
    <w:p w:rsidR="00CF03FA" w:rsidRDefault="00CF03FA" w:rsidP="00CF03FA">
      <w:pPr>
        <w:pStyle w:val="SntesisDescriptiva"/>
      </w:pPr>
    </w:p>
    <w:p w:rsidR="00CF03FA" w:rsidRDefault="00CF03FA" w:rsidP="00CF03FA">
      <w:pPr>
        <w:pStyle w:val="SntesisAnaltica"/>
      </w:pPr>
      <w:r>
        <w:t>Error judicial: requisitos. Recurso de súplica contra providencias de inadmisión del Tribunal Constitucional: desestimación.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4 de enero de 2007 se interpone por don Luis Terol Gómez y doña Ángeles Fernández López recurso de amparo, por vulneración del derecho a la tutela judicial efectiva del art.24.1 CE (en la vertiente de resolución motivada en derecho sin incurrirse en error o arbitrariedad), contra la Sentencia núm.905/2006, de 17 de noviembre de 2006, de la Sala de lo Contencioso-Administrativo del TSJ de Murcia (apelación núm.286-2006), confirmatoria del Auto núm.115/2006, de 2 de marzo de 2006, del Juzgado de lo Contencioso-Administrativo núm.1 de Cartagena (entrada en domicilio núm.687-2005) por el que se autorizaba la entrada en domicilio para la ejecución del Decreto de ruina 15-6-2005 del Ayuntamiento de Cartagena.</w:t>
      </w:r>
    </w:p>
    <w:p w:rsidR="00CF03FA" w:rsidRDefault="00CF03FA" w:rsidP="00CF03FA">
      <w:pPr>
        <w:pStyle w:val="TextoNormal"/>
      </w:pPr>
    </w:p>
    <w:p w:rsidR="00CF03FA" w:rsidRDefault="00CF03FA" w:rsidP="00CF03FA">
      <w:pPr>
        <w:pStyle w:val="TextoNormal"/>
      </w:pPr>
      <w:r w:rsidRPr="00CF03FA">
        <w:rPr>
          <w:rStyle w:val="NumeroAFNegritaCaracter"/>
        </w:rPr>
        <w:t>2</w:t>
      </w:r>
      <w:r>
        <w:t>. Tras el oportuno trámite de admisión, en providencia de 8 de octubre de 2007, la Sección Cuarta, del Tribunal Constitucional acordó, por unanimidad, la inadmisión del recurso, conforme al art.50.1 c) LOTC (redacción anterior a la Ley Orgánica 6/2007 de 24 de mayo), “por carecer manifiestamente de contenido que justifique una decisión sobre el fondo por parte del” Tribunal.</w:t>
      </w:r>
    </w:p>
    <w:p w:rsidR="00CF03FA" w:rsidRDefault="00CF03FA" w:rsidP="00CF03FA">
      <w:pPr>
        <w:pStyle w:val="TextoNormal"/>
      </w:pPr>
    </w:p>
    <w:p w:rsidR="00CF03FA" w:rsidRDefault="00CF03FA" w:rsidP="00CF03FA">
      <w:pPr>
        <w:pStyle w:val="TextoNormal"/>
      </w:pPr>
      <w:r w:rsidRPr="00CF03FA">
        <w:rPr>
          <w:rStyle w:val="NumeroAFNegritaCaracter"/>
        </w:rPr>
        <w:t>3</w:t>
      </w:r>
      <w:r>
        <w:t>. Notificada la Resolución, el 23 de octubre de 2007 al recurrente y el 2 de noviembre al Ministerio Fiscal, en escrito de entrada en el Registro General el 7 de noviembre de 2007 el Fiscal ante el Tribunal Constitucional interpone recurso de súplica contra la referida providencia de inadmisión, fundado en el error patente en el que incurre tanto el Juzgado de lo Contencioso-Administrativo como la Sala de lo Contencioso del TSJ, ya que ambos fundamentan su inadmisión en que el recurrente “no había instado recurso alguno contra la declaración municipal de ruina del edificio de autos”.</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En providencia de 14 de noviembre de 2007 (notificada el 23 de noviembre de 2007), la Sección Cuarta, del Tribunal Constitucional acordó, conforme al art. 93.2 LOTC, dar </w:t>
      </w:r>
      <w:r>
        <w:lastRenderedPageBreak/>
        <w:t>traslado a la representación legal del recurrente para alegaciones por término de tres días. En escrito, ingresado el 27 de noviembre de 2007, de la representación legal de don Luis Terol Gómez y de doña Ángeles Fernández López se adhieren al recurso de súplica del Ministerio Fiscal, indicando que, efectivamente, se aportó al procedimiento judicial copia del recurso de reposición, de 7 de julio de 2005, contra el decreto municipal de ruina, lo cual evidencia la lesión a la tutela judicial efectiva, y además añade dos errores imputables a la jurisdicción, el primero que la Sra. Fernández López no es la dueña del inmueble, y el segundo de la Sala de lo Contencioso sólo que resolvió el recurso de la Sra. Fernández López pero no el del Sr. Terol Gómez.</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Señala el art.93.2 LOTC, al regular el régimen de los recursos frente a las resoluciones dictadas por el Tribunal Constitucional que: “Contra las providencias y los Autos que dicte el Tribunal Constitucional sólo procederá, en su caso, el recurso de súplica, que no tendrá efecto suspensivo. El recurso podrá interponerse en el plazo de tres días y se resolverá, previa audiencia común de las partes por igual tiempo, en los dos siguientes”.</w:t>
      </w:r>
    </w:p>
    <w:p w:rsidR="00CF03FA" w:rsidRDefault="00CF03FA" w:rsidP="00CF03FA">
      <w:pPr>
        <w:pStyle w:val="TextoNormal"/>
      </w:pPr>
      <w:r>
        <w:t>En el presente supuesto nos encontramos ante un recurso de súplica interpuesto por el Ministerio Fiscal frente a una providencia de inadmisión que estima que la demanda carece manifiestamente de contenido que justifique una decisión sobre el fondo de la misma, al entender el representante del Ministerio público que, la causa determinante de la inadmisión ha sido considerar que no existía error, no obstante constar en la fundamentación de las resoluciones recurridas (decisorias, en instancia y apelación, de un procedimiento de autorización judicial para entrada y ejecución de una resolución administrativa firme de ruina) que no había sido recurrida la resolución administrativa, cuando constaba impugnada en el procedimiento administrativo originario la orden de ruina. El recurrente, estima que, además, se ha producido otro error, consistente en ignorar que la Sra. Fernández López no era propietaria, y una incongruencia, en cuanto que la Sala de lo Contencioso de Murcia no se pronunció sobre la apelación interpuesta por el Sr. Terol Gómez.</w:t>
      </w:r>
    </w:p>
    <w:p w:rsidR="00CF03FA" w:rsidRDefault="00CF03FA" w:rsidP="00CF03FA">
      <w:pPr>
        <w:pStyle w:val="TextoNormal"/>
      </w:pPr>
    </w:p>
    <w:p w:rsidR="00CF03FA" w:rsidRDefault="00CF03FA" w:rsidP="00CF03FA">
      <w:pPr>
        <w:pStyle w:val="TextoNormal"/>
      </w:pPr>
      <w:r w:rsidRPr="00CF03FA">
        <w:rPr>
          <w:rStyle w:val="NumeroAFNegritaCaracter"/>
        </w:rPr>
        <w:t>2</w:t>
      </w:r>
      <w:r>
        <w:t>. Respecto de la primera cuestión planteada por el Ministerio Fiscal hemos de recordar, la doctrina establecida en la STC 161/2002, de 16 de septiembre (FJ.2), según la cual los requisitos del error para tener trascendencia, cara a la motivación de las resoluciones, en relación con la tutela judicial efectiva del art.24.1 CE. son: “en primer lugar, debe tratarse de un error atribuible al órgano judicial, no a la negligencia de la parte, pues sólo en el caso de que el error sea imputable al órgano judicial existirá en sentido estricto una vulneración del derecho fundamental, tal y como presupone el art. 44.1 LOTC; en segundo lugar, el error debe ser material o de hecho y patente, esto es, un error fáctico, y no de interpretación jurídica, inmediatamente verificable de forma incontrovertible a partir de las actuaciones judiciales; en tercer lugar, el error debe ser determinante de la decisión adoptada, esto es,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y por último, la equivocación ha de producir efectos negativos en la esfera del ciudadano, de ahí que las meras inexactitudes que no produzcan efectos para las partes carezcan de relevancia constitucional”.</w:t>
      </w:r>
    </w:p>
    <w:p w:rsidR="00CF03FA" w:rsidRDefault="00CF03FA" w:rsidP="00CF03FA">
      <w:pPr>
        <w:pStyle w:val="TextoNormal"/>
      </w:pPr>
      <w:r>
        <w:lastRenderedPageBreak/>
        <w:t>Con la lectura de las actuaciones puede verificarse que, si bien es cierto que en la comparecencia ante el Juez de lo Contencioso-Administrativo de Murcia se hizo constar, con independencia de la falta de legitimación, la faltada impugnación de la resolución de ruina en el procedimiento de origen, se aprecia en los fundamentos jurídicos del Auto núm.115/2006, de 2 de marzo, del Juzgado, y en los de la Sentencia núm.905/2006 de la Sala, que la existencia de dicha impugnación no constituyó ni la única ni la principal razón de la decisión adoptada (ratio decidendi). Por ello podemos concluir ya en la ausencia del carácter determinante del error relevante a efectos de motivación.</w:t>
      </w:r>
    </w:p>
    <w:p w:rsidR="00CF03FA" w:rsidRDefault="00CF03FA" w:rsidP="00CF03FA">
      <w:pPr>
        <w:pStyle w:val="TextoNormal"/>
      </w:pPr>
      <w:r>
        <w:t>A mayor abundamiento debemos recordar el deber que recae en la parte recurrente en amparo de ofrecer, al menos prima facie, los fundamentos de las alegaciones efectuadas en su recurso (SSTC 291/2006, FJ 2 d) y 155/2003, FJ 7 b), cuestión que no cabe considerar cumplimentada en el presente caso, existiendo dicha posibilidad, por la disponibilidad de sus propios documentos, y, aun de actuaciones judiciales que le afectan, negligencia que impide, por lo tanto, verificar también el alcance, fáctico o jurídico, del carácter del error denunciado.</w:t>
      </w:r>
    </w:p>
    <w:p w:rsidR="00CF03FA" w:rsidRDefault="00CF03FA" w:rsidP="00CF03FA">
      <w:pPr>
        <w:pStyle w:val="TextoNormal"/>
      </w:pPr>
    </w:p>
    <w:p w:rsidR="00CF03FA" w:rsidRDefault="00CF03FA" w:rsidP="00CF03FA">
      <w:pPr>
        <w:pStyle w:val="TextoNormal"/>
      </w:pPr>
      <w:r w:rsidRPr="00CF03FA">
        <w:rPr>
          <w:rStyle w:val="NumeroAFNegritaCaracter"/>
        </w:rPr>
        <w:t>3</w:t>
      </w:r>
      <w:r>
        <w:t>. Han de ser asimismo desestimadas las otras cuestiones planteadas por los recurrentes en el traslado del recurso de súplica, puesto que la cuestión de la falta de legitimación de la Sra. Fernández López excede del objeto del recurso de amparo, dada la naturaleza de la autorización judicial para la ejecución de actos administrativos de entrada en domicilio, y la del Sr. Terol fue, claramente, tácitamente desestimada (cfr.FJ 2.2 de la Sentencia núm.905/2006 recurrida, con doctrina STC 176/2007, FJ 2).</w:t>
      </w:r>
    </w:p>
    <w:p w:rsidR="00CF03FA" w:rsidRDefault="00CF03FA" w:rsidP="00CF03FA">
      <w:pPr>
        <w:pStyle w:val="TextoNormal"/>
      </w:pPr>
      <w:r>
        <w:t>A lo anteriormente expuesto hay que añadir que ambos recurrentes han tenido conocimiento procesal de las actuaciones judiciales, como se deriva, por un lado, del propio reconocimiento que así hacen (folio 6, párrafos penúltimo y último, y folio 7, de la demanda), y, por otro, de la situación jurídica conscientemente generada (propietario-precarista-tercero, recurrentes ambos al final y uno al principio) que subyace en el conflicto jurídico en origen. Todo ello resulta cabalmente contrario a la naturaleza de la propia jurisdicción de amparo, y determina la inadmisión de la demanda por carecer de contenido que justifique una decisión sobre el fondo, desestimándose la súplica.</w:t>
      </w:r>
    </w:p>
    <w:p w:rsidR="00CF03FA" w:rsidRDefault="00CF03FA" w:rsidP="00CF03FA">
      <w:pPr>
        <w:pStyle w:val="TextoNormal"/>
      </w:pPr>
    </w:p>
    <w:p w:rsidR="00CF03FA" w:rsidRDefault="00CF03FA" w:rsidP="00CF03FA">
      <w:pPr>
        <w:pStyle w:val="TextoNormal"/>
      </w:pPr>
      <w:r>
        <w:t>Por todo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Desestimar el recurso de súplica interpuesto, confirmando íntegramente la resolución recurrida.</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8" w:name="AUTO_2008_47"/>
      <w:r>
        <w:lastRenderedPageBreak/>
        <w:t>AUTO 47/2008, de 11 de febrero de 2008</w:t>
      </w:r>
    </w:p>
    <w:bookmarkEnd w:id="108"/>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ECLI:ES:TC:2008:47A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Desestima el recurso de súplica interpuesto por el Ministerio Fiscal sobre inadmisión del recurso de amparo 2211-2007, promovido por doña Misericordia Domingo Roig en pleito civil.</w:t>
      </w:r>
    </w:p>
    <w:p w:rsidR="00CF03FA" w:rsidRDefault="00CF03FA" w:rsidP="00CF03FA">
      <w:pPr>
        <w:pStyle w:val="SntesisDescriptiva"/>
      </w:pPr>
    </w:p>
    <w:p w:rsidR="00CF03FA" w:rsidRDefault="00CF03FA" w:rsidP="00CF03FA">
      <w:pPr>
        <w:pStyle w:val="SntesisAnaltica"/>
      </w:pPr>
      <w:r>
        <w:t>Inadmisión de recurso de amparo: carencia de contenido que justifique una decisión sobre el fondo del asunto. Recurso de apelación: efectos de la no personación del apelado. Recurso de súplica contra providencias de inadmisión del Tribunal Constitucional: desestimación.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el 12 de marzo de 2007, el Procurador don Antonio Briones en nombre de doña Misericordia Domingo Roig, interpuso recurso de amparo contra el Auto de la Audiencia Provincial de Tarragona, Sección Tercera, de 9 de febrero de 2007, que confirmó la decisión de declarar desierto el recurso de apelación presentado por dicha parte procesal.</w:t>
      </w:r>
    </w:p>
    <w:p w:rsidR="00CF03FA" w:rsidRDefault="00CF03FA" w:rsidP="00CF03FA">
      <w:pPr>
        <w:pStyle w:val="TextoNormal"/>
      </w:pPr>
    </w:p>
    <w:p w:rsidR="00CF03FA" w:rsidRDefault="00CF03FA" w:rsidP="00CF03FA">
      <w:pPr>
        <w:pStyle w:val="TextoNormal"/>
      </w:pPr>
      <w:r w:rsidRPr="00CF03FA">
        <w:rPr>
          <w:rStyle w:val="NumeroAFNegritaCaracter"/>
        </w:rPr>
        <w:t>2</w:t>
      </w:r>
      <w:r>
        <w:t>. Por providencia de fecha 24 de septiembre de 2007, la Sección Cuarta de este Tribunal Constitucional acordó, de conformidad con lo dispuesto en el art. 50.1 c) LOTC, la inadmisión del presente recurso de amparo por carencia manifiesta de contenido constitucional que justifique una decisión sobre el fondo.</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El Ministerio Fiscal, en escrito registrado en este Tribunal el 18 de octubre de 2007, interpuso recurso de súplica al amparo del art. 50.3 LOTC, atendido el tenor de lo peticionado por la parte recurrente en el escrito de personación de 8 de noviembre de 2006, en el que textualmente se decía: “súplica a la Sala, tenga por presentado este escrito con los documentos que lo acompañan, uniéndolo a la causa de referencia, me tenga por comparecido y parte en la representación que ostento y acredito y disponga se entiendan conmigo las siguientes actuaciones, dando impulso procedimental a los Autos”. </w:t>
      </w:r>
    </w:p>
    <w:p w:rsidR="00CF03FA" w:rsidRDefault="00CF03FA" w:rsidP="00CF03FA">
      <w:pPr>
        <w:pStyle w:val="TextoNormal"/>
      </w:pPr>
      <w:r>
        <w:t>Antes, por escrito de 9 de octubre de 2007, la recurrente en amparo solicitó una aclaración de la providencia de inadmisión.</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Mediante providencia de 23 de octubre de 2007, esta Sección admitió a trámite el recurso de súplica de la Fiscalía y teniendo por presentado el escrito de la recurrente, abrió un trámite de tres días para alegaciones respecto del recurso. </w:t>
      </w:r>
    </w:p>
    <w:p w:rsidR="00CF03FA" w:rsidRDefault="00CF03FA" w:rsidP="00CF03FA">
      <w:pPr>
        <w:pStyle w:val="TextoNormal"/>
      </w:pPr>
      <w:r>
        <w:lastRenderedPageBreak/>
        <w:t>La recurrente en amparo, en escrito registrado el 15 de noviembre de 2007, se adhirió al recurso de súplica del Ministerio Fiscal mientras que este último presentó escrito el 21 de noviembre de 2007, oponiéndose a la solicitud de aclaración de la providencia de inadmisión.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Conviene precisar como cuestión previa, que el objeto del presente Auto ha de limitarse a resolver el recurso de súplica interpuesto por el Ministerio Fiscal contra la providencia de inadmisión de este recurso de amparo. No así acerca de la solicitud de aclaración de dicha providencia formulada por la recurrente, cuya improcedencia de plano y consiguiente inadmisión a limine deriva del art. 50.3, en relación aquí con la disposición transitoria tercera, ambos de la Ley Orgánica 6/2007, de 24 de mayo, de reforma parcial de la Ley Orgánica 2/1979, de 3 de octubre, del Tribunal Constitucional, al preverse el carácter inmotivado de las providencias de inadmisión salvo en cuanto a indicar el específico motivo del art. 50.1 LOTC aplicado en cada caso, único requisito exigible por ley aquí cumplido.</w:t>
      </w:r>
    </w:p>
    <w:p w:rsidR="00CF03FA" w:rsidRDefault="00CF03FA" w:rsidP="00CF03FA">
      <w:pPr>
        <w:pStyle w:val="TextoNormal"/>
      </w:pPr>
      <w:r>
        <w:t>No obstante y precisamente porque ha de darse respuesta al recurso de súplica de la Fiscalía sobre el fundamento de la inadmisión adoptada, cabe explicar a continuación las razones que condujeron a esta Sección a apreciar la carencia de contenido constitucional de la pretensión de amparo; razones que hemos de mantener, con desestimación de la súplica interpuesta, al no concurrir motivos que lleven a una reconsideración de lo resuelto.</w:t>
      </w:r>
    </w:p>
    <w:p w:rsidR="00CF03FA" w:rsidRDefault="00CF03FA" w:rsidP="00CF03FA">
      <w:pPr>
        <w:pStyle w:val="TextoNormal"/>
      </w:pPr>
    </w:p>
    <w:p w:rsidR="00CF03FA" w:rsidRDefault="00CF03FA" w:rsidP="00CF03FA">
      <w:pPr>
        <w:pStyle w:val="TextoNormal"/>
      </w:pPr>
      <w:r w:rsidRPr="00CF03FA">
        <w:rPr>
          <w:rStyle w:val="NumeroAFNegritaCaracter"/>
        </w:rPr>
        <w:t>2</w:t>
      </w:r>
      <w:r>
        <w:t>. En efecto, la decisión de la Audiencia Provincial de declarar desierto el recurso de apelación de la recurrente, por no personarse ante ella por medio de procurador en el plazo de 30 días contados desde el siguiente a la providencia de emplazamiento del Juzgado, ha venido siendo convalidado por este Tribunal Constitucional, al no considerarse un efecto jurídico contrario al derecho fundamental de tutela judicial efectiva, entendido en su concreta manifestación de derecho de acceso al recurso establecido en la ley, que sería el único concernido.</w:t>
      </w:r>
    </w:p>
    <w:p w:rsidR="00CF03FA" w:rsidRDefault="00CF03FA" w:rsidP="00CF03FA">
      <w:pPr>
        <w:pStyle w:val="TextoNormal"/>
      </w:pPr>
      <w:r>
        <w:t>Aparte lo amplio del plazo de 30 días del que disponía la parte recurrente para personarse (art. 463 LEC) y el que no se aleguen circunstancias de fuerza mayor que le impidieran cumplirlo, la personación ante la Audiencia entraña una regla de proceder que el legislador ha introducido en la apelación civil con la Ley 22/2003 de 9 de julio (cuya disposición final tercera reformó el citado art. 463 LEC 1/2000), en línea con lo que se dispone también para el recurso de casación (art. 482.1 LEC) y el extraordinario por infracción procesal (art. 472 LEC) y como ya estaba en la apelación de la LEC 1881 (art. 840, que incluso advertía de la posibilidad de esa sanción de inadmisión del recurso).</w:t>
      </w:r>
    </w:p>
    <w:p w:rsidR="00CF03FA" w:rsidRDefault="00CF03FA" w:rsidP="00CF03FA">
      <w:pPr>
        <w:pStyle w:val="TextoNormal"/>
      </w:pPr>
      <w:r>
        <w:t>Materializar su personación ante el tribunal ad quem resulta expresivo del interés procesal que las partes han de mantener hasta el final del procedimiento, especialmente en lo que concierne a la apelante que es quien instó el procedimiento, además de la necesidad de contar con ellas ante posibles incidentes o trámites interlocutorios -aunque no haya vista para la práctica de pruebas- que pudieran abrirse durante la segunda instancia.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Dada la importancia de esta personación, pues, el vincular su inobservancia voluntaria por la parte recurrente, con un efecto de desistimiento tácito del recurso, declarándolo desierto con archivo de lo actuado, tal y como han hecho las resoluciones que aquí se impugnan, ha de considerarse una interpretación judicial de la norma razonada y razonable, como </w:t>
      </w:r>
      <w:r>
        <w:lastRenderedPageBreak/>
        <w:t>hemos tenido ocasión ya de afirmar en nuestro ATC 244/2004, de 6 de julio, FJ 2. En efecto, debe tenerse en cuenta, la menor incidencia del principio pro actione cuando se trata no ya de la fase de acceso inicial a la Jurisdicción, sino del ejercicio de un instrumento impugnatorio concreto (derecho al recurso), sometido como está a unos condicionantes esenciales, establecidos legalmente y que no pueden ser desconocidos, cual es en este caso la carga de personación de la parte recurrente y las consecuencias de su incumplimiento.</w:t>
      </w:r>
    </w:p>
    <w:p w:rsidR="00CF03FA" w:rsidRDefault="00CF03FA" w:rsidP="00CF03FA">
      <w:pPr>
        <w:pStyle w:val="TextoNormal"/>
      </w:pPr>
    </w:p>
    <w:p w:rsidR="00CF03FA" w:rsidRDefault="00CF03FA" w:rsidP="00CF03FA">
      <w:pPr>
        <w:pStyle w:val="TextoNormal"/>
      </w:pPr>
      <w:r w:rsidRPr="00CF03FA">
        <w:rPr>
          <w:rStyle w:val="NumeroAFNegritaCaracter"/>
        </w:rPr>
        <w:t>4</w:t>
      </w:r>
      <w:r>
        <w:t>. En el presente caso, es cierto que el escrito de personación formalizado por el Procurador de la recurrente contenía todo lo necesario, incluyendo su suplico, para alcanzar el resultado pretendido, pero el problema no es de contenido sino del momento en que se presentó, es decir, de su presentación extemporánea y del efecto preclusivo (art. 136 LEC) que ello acarrea, en los términos ya descritos.</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Desestimar el recurso de súplica interpuesto por el Ministerio Fiscal contra la providencia de inadmisión del presente recurso de amparo, dictada el pasado 24 de septiembre de 2007, la cual se confirma en todas sus partes.</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09" w:name="AUTO_2008_48"/>
      <w:r>
        <w:lastRenderedPageBreak/>
        <w:t>AUTO 48/2008, de 11 de febrero de 2008</w:t>
      </w:r>
    </w:p>
    <w:bookmarkEnd w:id="109"/>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ECLI:ES:TC:2008:48A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Desestima el recurso de súplica interpuesto por el Ministerio Fiscal sobre inadmisión del recurso de amparo 2524-2007, promovido por don Isidoro Álvarez Álvarez en contencioso sobre liquidación tributaria.</w:t>
      </w:r>
    </w:p>
    <w:p w:rsidR="00CF03FA" w:rsidRDefault="00CF03FA" w:rsidP="00CF03FA">
      <w:pPr>
        <w:pStyle w:val="SntesisDescriptiva"/>
      </w:pPr>
    </w:p>
    <w:p w:rsidR="00CF03FA" w:rsidRDefault="00CF03FA" w:rsidP="00CF03FA">
      <w:pPr>
        <w:pStyle w:val="SntesisAnaltica"/>
      </w:pPr>
      <w:r>
        <w:t>Agotamiento de recursos en la vía judicial: cuestión sub iudice. Recurso de súplica contra providencias de inadmisión del Tribunal Constitucional: desestimación. Tributos: incrementos patrimoniales irregulares.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20 de marzo de 2007 tuvo entrada en el Registro General de este Tribunal el recurso de amparo interpuesto por don Isidoro Álvarez Álvarez contra la Sentencia de la Sección Segunda de la Sala de lo Contencioso-Administrativo del Tribunal Supremo de fecha 13 de febrero de 2007, dictada en el recurso de casación núm. 8094-2002, por la que se estimó el recurso de casación interpuesto por la Administración General del Estado contra la Sentencia dictada por la Sección Segunda de la Sala de lo Contencioso-Administrativo de la Audiencia Nacional de fecha 31 de octubre de 2002, que estimó el recurso contencioso-administrativo núm. 550-2000.</w:t>
      </w:r>
    </w:p>
    <w:p w:rsidR="00CF03FA" w:rsidRDefault="00CF03FA" w:rsidP="00CF03FA">
      <w:pPr>
        <w:pStyle w:val="TextoNormal"/>
      </w:pPr>
    </w:p>
    <w:p w:rsidR="00CF03FA" w:rsidRDefault="00CF03FA" w:rsidP="00CF03FA">
      <w:pPr>
        <w:pStyle w:val="TextoNormal"/>
      </w:pPr>
      <w:r w:rsidRPr="00CF03FA">
        <w:rPr>
          <w:rStyle w:val="NumeroAFNegritaCaracter"/>
        </w:rPr>
        <w:t>2</w:t>
      </w:r>
      <w:r>
        <w:t>. Con fecha 5 de noviembre de 2007 la Sección Tercera de este Tribunal acordó inadmitirlo, por unanimidad, con arreglo a lo previsto en el art. 50.1 a), en relación con el art. 44.2 LOTC en su redacción anterior a la aprobada por la Ley Orgánica 6/2007, de 24 de mayo, aplicable en este caso en virtud de lo dispuesto en la disposición transitoria tercera de la referida Ley Orgánica, toda vez que el recurso incurre en falta de agotamiento de los recursos en la vía judicial.</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Por escrito registrado el 12 de diciembre de 2007, el Ministerio Fiscal interpuso recurso de súplica ex art. 50.2 LOTC contra la providencia de 5 de noviembre, en el que interesa que se acuerde la revocación de la referida providencia. El motivo del recurso se basa en el error cometido en la resolución impugnada, que inadmite el recurso de amparo al considerar que incurre en la causa de inadmisión de falta de agotamiento de los recursos en la vía judicial prevenida en el art. 50.1 a) LOTC. </w:t>
      </w:r>
    </w:p>
    <w:p w:rsidR="00CF03FA" w:rsidRDefault="00CF03FA" w:rsidP="00CF03FA">
      <w:pPr>
        <w:pStyle w:val="TextoNormal"/>
      </w:pPr>
      <w:r>
        <w:t xml:space="preserve">Según señala el Ministerio Fiscal la demanda de amparo reprochaba a la Sentencia de casación la vulneración del deber de motivación de las resoluciones judiciales (art. 24.1 CE) y el derecho a la igualdad en la aplicación de la ley (art. 14 CE) en conexión con el art. 24.1 </w:t>
      </w:r>
      <w:r>
        <w:lastRenderedPageBreak/>
        <w:t>CE, dándose la circunstancia de que ninguno de estos dos derechos fundamentales se encuentra entre los supuestos que permitirían (art. 241.1 LOPJ) plantear incidente de nulidad de actuaciones posterior a la Sentencia de casación y previo a la deducción de la demanda de amparo. Ello es así porque la Sentencia de casación que se recurre en amparo es de fecha anterior a la entrada en vigor de la modificación de la regulación del incidente previo de nulidad de actuaciones de nueva redacción de conformidad con lo prevenido en la disposición final primera de la Ley Orgánica 6/2007, de 24 de mayo, de modificación de la LOTC en relación con el art. 241.1 LOPJ, por lo que no sería de aplicación esa normativa.</w:t>
      </w:r>
    </w:p>
    <w:p w:rsidR="00CF03FA" w:rsidRDefault="00CF03FA" w:rsidP="00CF03FA">
      <w:pPr>
        <w:pStyle w:val="TextoNormal"/>
      </w:pPr>
    </w:p>
    <w:p w:rsidR="00CF03FA" w:rsidRDefault="00CF03FA" w:rsidP="00CF03FA">
      <w:pPr>
        <w:pStyle w:val="TextoNormal"/>
      </w:pPr>
      <w:r w:rsidRPr="00CF03FA">
        <w:rPr>
          <w:rStyle w:val="NumeroAFNegritaCaracter"/>
        </w:rPr>
        <w:t>4</w:t>
      </w:r>
      <w:r>
        <w:t>. Mediante providencia de 17 de diciembre de 2007 esta Sección acordó unir a las actuaciones los escritos presentados por el Ministerio Fiscal interponiendo recurso de súplica, dar traslado a la representación del recurrente para que en el plazo de tres días a fin de que formule las alegaciones que estime pertinentes (art. 93.2 LOTC).</w:t>
      </w:r>
    </w:p>
    <w:p w:rsidR="00CF03FA" w:rsidRDefault="00CF03FA" w:rsidP="00CF03FA">
      <w:pPr>
        <w:pStyle w:val="TextoNormal"/>
      </w:pPr>
    </w:p>
    <w:p w:rsidR="00CF03FA" w:rsidRDefault="00CF03FA" w:rsidP="00CF03FA">
      <w:pPr>
        <w:pStyle w:val="TextoNormal"/>
      </w:pPr>
      <w:r w:rsidRPr="00CF03FA">
        <w:rPr>
          <w:rStyle w:val="NumeroAFNegritaCaracter"/>
        </w:rPr>
        <w:t>5</w:t>
      </w:r>
      <w:r>
        <w:t>. La parte recurrente formuló alegaciones mediante escrito registrado el 2 de enero de 2008 en el que manifiesta la plena conformidad con el recurso de súplica interpuesto por el Ministerio Fiscal y solicita a este Tribunal que dicte una resolución estimatoria del referido recurso.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Son hechos relevantes deducidos de la demanda y documentos que la acompañan los siguientes:</w:t>
      </w:r>
    </w:p>
    <w:p w:rsidR="00CF03FA" w:rsidRDefault="00CF03FA" w:rsidP="00CF03FA">
      <w:pPr>
        <w:pStyle w:val="TextoNormal"/>
      </w:pPr>
      <w:r>
        <w:t>a) Con fecha 9 de julio de 1997 la Dependencia de Inspección, de la Delegación Especial de la Agencia Tributaria en Madrid, instruyó contra el Sr. Álvarez Álvarez Acta de disconformidad, modelo A.02, núm. 61604883, en el que, entre otros extremos, se hacía constar que el sujeto pasivo presentó declaración individual en la que se consignaban unos incrementos y disminuciones de patrimonio, ambos anualizadas, entre los que figuraba una disminución procedente de la compraventa de bonos de la República de Austria; los rendimientos explícitos por cobro del cupón derivados de los mencionados títulos no fueron computados como rendimientos del capital mobiliario en aplicación del Convenio con Austria para evitar la doble imposición, que los declara exentos.  Se emitió el preceptivo informe del Inspector actuario y, habiendo presentado el interesado, con fecha 31 de julio y 18 de noviembre de 1997, escritos de alegaciones, el Inspector Jefe de la Oficina Técnica de Inspección dictó Resolución de 3 de diciembre de 1997, practicando liquidación confirmatoria de la propuesta en el Acta.</w:t>
      </w:r>
    </w:p>
    <w:p w:rsidR="00CF03FA" w:rsidRDefault="00CF03FA" w:rsidP="00CF03FA">
      <w:pPr>
        <w:pStyle w:val="TextoNormal"/>
      </w:pPr>
      <w:r>
        <w:t>La Resolución fue notificada al interesado, quien interpuso contra la misma reclamación económico-administrativa ante el Tribunal Regional de Madrid. Éste, en sesión de 14 de abril de 1999, adoptó Acuerdo en primera instancia de estimar la reclamación interpuesta, anulando la liquidación impugnada, por considerarla no ajustada a Derecho.</w:t>
      </w:r>
    </w:p>
    <w:p w:rsidR="00CF03FA" w:rsidRDefault="00CF03FA" w:rsidP="00CF03FA">
      <w:pPr>
        <w:pStyle w:val="TextoNormal"/>
      </w:pPr>
      <w:r>
        <w:t>Con fecha 15 de julio de 1999, por el Director General de Tributos, del Ministerio de Economía y Hacienda, y por el Director del Departamento de Inspección Financiera y Tributaria, de la Agencia Tributaria, se interpusieron sendos recursos ordinarios de alzada. En fecha 8 de junio de 2000 la Sala Primera del Tribunal Económico-Administrativo Central estimó los recursos interpuestos y revocó el Acuerdo del Tribunal Regional impugnado, confirmando la liquidación practicada por Resolución de la Dependencia de Inspección, de la Delegación Especial de la Agencia Tributaria en Madrid, de 3 de diciembre de 1997.</w:t>
      </w:r>
    </w:p>
    <w:p w:rsidR="00CF03FA" w:rsidRDefault="00CF03FA" w:rsidP="00CF03FA">
      <w:pPr>
        <w:pStyle w:val="TextoNormal"/>
      </w:pPr>
      <w:r>
        <w:lastRenderedPageBreak/>
        <w:t>b) Por el Sr. Álvarez Álvarez se interpuso recurso contencioso-administrativo, en el que plantea los siguientes motivos de oposición a la Resolución recurrida: prescripción del derecho a liquidar, cambio de motivación por parte de la Administración y tratamiento fiscal de los resultados producidos como consecuencia de la compra y posterior venta de bonos austríacos. Por Sentencia de 31 de octubre de 2001 la Sala de lo Contencioso-Administrativo (Sección Segunda) de la Audiencia Nacional estimó el recurso y anuló la Resolución impugnada pues ésta resultaba disconforme a Derecho al haber prescrito el derecho de la Administración a determinar la deuda tributaria mediante la oportuna liquidación respecto del actor por el IRPF, ejercicio 1991.</w:t>
      </w:r>
    </w:p>
    <w:p w:rsidR="00CF03FA" w:rsidRDefault="00CF03FA" w:rsidP="00CF03FA">
      <w:pPr>
        <w:pStyle w:val="TextoNormal"/>
      </w:pPr>
      <w:r>
        <w:t>c) La Administración General del Estado, representada y dirigida por el Abogado del Estado, interpuso recurso de casación, el cual fue estimado por Sentencia de la Sala de lo Contencioso-Administrativo del Tribunal Supremo de 13 de febrero de 2007.</w:t>
      </w:r>
    </w:p>
    <w:p w:rsidR="00CF03FA" w:rsidRDefault="00CF03FA" w:rsidP="00CF03FA">
      <w:pPr>
        <w:pStyle w:val="TextoNormal"/>
      </w:pPr>
      <w:r>
        <w:t>d) Con fecha 20 de marzo de 2007 tuvo ingreso en el Registro General del Tribunal Constitucional el recurso de amparo interpuesto por el Sr. Álvarez Álvarez contra la Sentencia de 13 de febrero de 2007 de la Sala Segunda del Tribunal Supremo. En la demanda se hace constar que la referida Sentencia ha vulnerado el derecho a la tutela judicial efectiva (art. 24.1 CE) del demandante, en la medida en que el fallo de la Sentencia no se corresponde con el relato fáctico y la argumentación contenida en la misma. Se alega asimismo que la Sentencia vulnera el derecho a la igualdad del recurrente en la aplicación de la Ley (art. 14 CE) ya que la Sala se ha apartado sin justificación de su doctrina anterior.</w:t>
      </w:r>
    </w:p>
    <w:p w:rsidR="00CF03FA" w:rsidRDefault="00CF03FA" w:rsidP="00CF03FA">
      <w:pPr>
        <w:pStyle w:val="TextoNormal"/>
      </w:pPr>
      <w:r>
        <w:t>e) La demanda de amparo hace constar en el apartado correspondiente a los fundamentos jurídico-procesales que han sido agotados todos los recursos judiciales requeridos en el art. 44.1 LOTC, sin haber interpuesto incidente de nulidad de actuaciones, pues el art. 241 de la Ley Orgánica del Poder Judicial (LOPJ) prevé únicamente como motivos susceptibles de invocación en tales incidentes la incongruencia del fallo y los defectos de forma determinantes de indefensión. Ello no obstante, en la página 4 de la demanda de amparo puede leerse que “quiere esta parte dejar constancia de que con carácter simultáneo al presente recurso de amparo ha interpuesto incidente de nulidad de actuaciones al amparo del art. 241 LOPJ. Ahora bien, el incidente de nulidad está basado en motivos distintos a los del presente recurso de amparo que sí tienen cabida en el citado art. 241 LOPJ”.</w:t>
      </w:r>
    </w:p>
    <w:p w:rsidR="00CF03FA" w:rsidRDefault="00CF03FA" w:rsidP="00CF03FA">
      <w:pPr>
        <w:pStyle w:val="TextoNormal"/>
      </w:pPr>
    </w:p>
    <w:p w:rsidR="00CF03FA" w:rsidRDefault="00CF03FA" w:rsidP="00CF03FA">
      <w:pPr>
        <w:pStyle w:val="TextoNormal"/>
      </w:pPr>
      <w:r w:rsidRPr="00CF03FA">
        <w:rPr>
          <w:rStyle w:val="NumeroAFNegritaCaracter"/>
        </w:rPr>
        <w:t>2</w:t>
      </w:r>
      <w:r>
        <w:t>. El presente recurso de amparo ha de ser calificado como prematuro, ya que no fue agotada la vía judicial sin cuyo requisito resulta inadmisible la pretensión que le sirve de soporte. En efecto, como el recurrente ha puesto de relieve en su demanda de amparo, contra la Sentencia de la Sección Segunda de la Sala de lo Contencioso-Administrativo del Tribunal Supremo de fecha 13 de febrero de 2007 presentó recurso de amparo y simultáneamente incidente de nulidad de actuaciones, sin que en el momento de presentar la demanda de amparo el órgano judicial hubiera resuelto todavía el mencionado incidente.</w:t>
      </w:r>
    </w:p>
    <w:p w:rsidR="00CF03FA" w:rsidRDefault="00CF03FA" w:rsidP="00CF03FA">
      <w:pPr>
        <w:pStyle w:val="TextoNormal"/>
      </w:pPr>
      <w:r>
        <w:t>Como hemos señalado en reiteradas ocasiones “cuando, por su propia decisión el ciudadano ha intentado un remedio procesal o recurso contra una resolución judicial, el proceso constitucional no puede iniciarse hasta que la vía judicial, continuada a través de ese remedio o recurso, no se haya extinguido, dado que contradice el carácter subsidiario del recurso de amparo su coexistencia temporal con otro recurso seguido en la vía judicial ordinaria” (por todas, 85/2006, de 27 de marzo, FJ 2).</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lastRenderedPageBreak/>
        <w:t>ACUERDA</w:t>
      </w:r>
    </w:p>
    <w:p w:rsidR="00CF03FA" w:rsidRDefault="00CF03FA" w:rsidP="00CF03FA">
      <w:pPr>
        <w:pStyle w:val="TextoNormalCentrado"/>
      </w:pPr>
    </w:p>
    <w:p w:rsidR="00CF03FA" w:rsidRDefault="00CF03FA" w:rsidP="00CF03FA">
      <w:pPr>
        <w:pStyle w:val="TextoNormal"/>
      </w:pPr>
      <w:r>
        <w:t>Desestimar el recurso de súplica interpuesto por el Ministerio Fiscal y, en consecuencia, confirmar en su integridad la providencia de 5 de noviembre de 2007.</w:t>
      </w:r>
    </w:p>
    <w:p w:rsidR="00CF03FA" w:rsidRDefault="00CF03FA" w:rsidP="00CF03FA">
      <w:pPr>
        <w:pStyle w:val="TextoNormal"/>
      </w:pPr>
    </w:p>
    <w:p w:rsidR="00CF03FA" w:rsidRDefault="00CF03FA" w:rsidP="00CF03FA">
      <w:pPr>
        <w:pStyle w:val="TextoNormal"/>
      </w:pPr>
      <w:r>
        <w:t>Madrid, a once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10" w:name="AUTO_2008_49"/>
      <w:r>
        <w:lastRenderedPageBreak/>
        <w:t>AUTO 49/2008, de 12 de febrero de 2008</w:t>
      </w:r>
    </w:p>
    <w:bookmarkEnd w:id="110"/>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ECLI:ES:TC:2008:49A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Inadmite a trámite el recurso de amparo 3339-2004, promovido por BMC Maderas, S.A., en contencioso por reclamación de cantidad por contrato de obras.</w:t>
      </w:r>
    </w:p>
    <w:p w:rsidR="00CF03FA" w:rsidRDefault="00CF03FA" w:rsidP="00CF03FA">
      <w:pPr>
        <w:pStyle w:val="SntesisDescriptiva"/>
      </w:pPr>
    </w:p>
    <w:p w:rsidR="00CF03FA" w:rsidRDefault="00CF03FA" w:rsidP="00CF03FA">
      <w:pPr>
        <w:pStyle w:val="SntesisAnaltica"/>
      </w:pPr>
      <w:r>
        <w:t>Inadmisión de recurso de amparo: carencia de contenido que justifique una decisión sobre el fondo del asunto. Proceso contencioso-administrativo: inadmisión de recurso contencioso-administrativo por falta de denuncia de mora.</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25 de mayo de 2004, se interpuso en tiempo y forma demanda de amparo núm. 3339-2004, promovida por “BMC Maderas, S.A.”, representados por la Procuradora de los Tribunales doña Nuria Munar Serrano y asistida por el Letrado don Santiago Rodríguez-Monsalve Garrigós, contra la Sentencia de la Sala de lo Contencioso-Administrativo del Tribunal Superior de Justicia de Castilla y León (sede Valladolid) de 8 de marzo de 2004, recaída en el recurso contencioso-administrativo 753-1998, que desestima el recurso contencioso-administrativo interpuesto por la ahora demandante de amparo contra el acto denegatorio de reclamación de cantidad por contrato de obras efectuadas al Ayuntamiento de Valladolid, contenido en el escrito de contestación a la demanda en los autos 789-1995 del juicio de menor cuantía seguido ante el Juzgado de Primera Instancia núm. 2 de Valladolid.</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de los que trae su causa el presente recurso de amparo son, sucintamente expuestos, los que siguen: </w:t>
      </w:r>
    </w:p>
    <w:p w:rsidR="00CF03FA" w:rsidRDefault="00CF03FA" w:rsidP="00CF03FA">
      <w:pPr>
        <w:pStyle w:val="TextoNormal"/>
      </w:pPr>
      <w:r>
        <w:t xml:space="preserve">a) La mercantil ahora demandante de amparo, BMC Maderas S.A., acudió a la jurisdicción civil en reclamación de una determinada cantidad que, a su entender, le debía el Ayuntamiento de Valladolid como consecuencia de un contrato de suministro de madera, presentando la oportuna demanda que correspondió por turno de reparto al Juzgado de Primera Instancia núm. 2 de Valladolid, quedando registrada como autos de juicio de menor cuantía núm. 789-1995. </w:t>
      </w:r>
    </w:p>
    <w:p w:rsidR="00CF03FA" w:rsidRDefault="00CF03FA" w:rsidP="00CF03FA">
      <w:pPr>
        <w:pStyle w:val="TextoNormal"/>
      </w:pPr>
      <w:r>
        <w:t>b) En su escrito de contestación a la demanda la representación procesal de la indicada Corporación municipal alegó la excepción de incompetencia de jurisdicción por entender que se trataba de un contrato administrativo y que la jurisdicción competente para su conocimiento era la Jurisdicción Contencioso-Administrativa. El Juzgado estimó dicha excep</w:t>
      </w:r>
      <w:r>
        <w:lastRenderedPageBreak/>
        <w:t xml:space="preserve">ción. Recurrida en apelación la sentencia dictada, la Sección Tercera de la Audiencia Provincial de aquella capital dictó nueva resolución por la que confirmó íntegramente la anterior recurrida. </w:t>
      </w:r>
    </w:p>
    <w:p w:rsidR="00CF03FA" w:rsidRDefault="00CF03FA" w:rsidP="00CF03FA">
      <w:pPr>
        <w:pStyle w:val="TextoNormal"/>
      </w:pPr>
      <w:r>
        <w:t xml:space="preserve">c) Entonces, la representación procesal de la actora interpuso recurso contencioso-administrativo contra el acto denegatorio de reclamación de cantidad por contrato de obras, que había efectuado el Ayuntamiento citado en su escrito de contestación a la demanda presentado en los autos civiles de referencia, quedando registrado como procedimiento ordinario con el núm. 753-1998 de los de su clase, correspondiendo su conocimiento a la Sala de lo Contencioso-Administrativo del Tribunal Superior de Justicia de Castilla y León (sede de Valladolid). </w:t>
      </w:r>
    </w:p>
    <w:p w:rsidR="00CF03FA" w:rsidRDefault="00CF03FA" w:rsidP="00CF03FA">
      <w:pPr>
        <w:pStyle w:val="TextoNormal"/>
      </w:pPr>
      <w:r>
        <w:t>d) Alegada por la Administración demandada la inexistencia de acto administrativo previo susceptible de impugnación en la jurisdicción contencioso-administrativa como causa de inadmisibilidad, la misma fue estimada por el Tribunal de lo Contencioso que, en Sentencia de 8 de marzo de 2004, declaró la inadmisibilidad del recurso con imposición de costas a la parte recurrente. Esta resolución fue notificada a la actora el día 27 de abril siguiente.</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Funda la recurrente su demanda de amparo en la alegada vulneración de su derecho a la tutela judicial efectiva en su vertiente del derecho de acceso a la jurisdicción pues entiende que la decisión de la Sala de lo Contencioso-Administrativo acordando la inadmisibilidad del recurso es desproporcionada e incompatible con la efectividad del derecho fundamental denunciado. </w:t>
      </w:r>
    </w:p>
    <w:p w:rsidR="00CF03FA" w:rsidRDefault="00CF03FA" w:rsidP="00CF03FA">
      <w:pPr>
        <w:pStyle w:val="TextoNormal"/>
      </w:pPr>
      <w:r>
        <w:t xml:space="preserve">En concreto, pone de manifiesto que después de haber acudido a la Jurisdicción civil en reclamación de una deuda por contrato de obras que el Ayuntamiento de Valladolid tenía contraída con la actora y de haber destacado los órganos de la indicada jurisdicción que la competencia objetiva correspondía en este caso a la Jurisdicción contencioso-administrativa no era necesario ya instar de la Corporación local de referencia un nuevo acto administrativo para poder formalizar el recurso contencioso-administrativo, sino que ya se entendía que la decisión denegatoria adoptada por el Ayuntamiento en su escrito de contestación a la demanda civil debía reputarse como tal acto y, por tanto, susceptible de impugnación procesal. </w:t>
      </w:r>
    </w:p>
    <w:p w:rsidR="00CF03FA" w:rsidRDefault="00CF03FA" w:rsidP="00CF03FA">
      <w:pPr>
        <w:pStyle w:val="TextoNormal"/>
      </w:pPr>
      <w:r>
        <w:t>En consecuencia, la declaración de inadmisibilidad, según entiende la demanda, resulta absolutamente desproporcionada habiéndole generado una real y efectiva indefensión.</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20 de septiembre de 2005, la Sección Primera de este Tribunal decide, al amparo de lo previsto en el art. 50.3 LOTC, conceder a los demandantes de amparo y al Ministerio Fiscal un plazo común de diez días para que formulen, con las aportaciones documentales que procedan, las alegaciones que estimen pertinentes en relación con la carencia manifiesta de contenido constitucional de la demanda [art. 50.1 c) LOTC].</w:t>
      </w:r>
    </w:p>
    <w:p w:rsidR="00CF03FA" w:rsidRDefault="00CF03FA" w:rsidP="00CF03FA">
      <w:pPr>
        <w:pStyle w:val="TextoNormal"/>
      </w:pPr>
    </w:p>
    <w:p w:rsidR="00CF03FA" w:rsidRDefault="00CF03FA" w:rsidP="00CF03FA">
      <w:pPr>
        <w:pStyle w:val="TextoNormal"/>
      </w:pPr>
      <w:r w:rsidRPr="00CF03FA">
        <w:rPr>
          <w:rStyle w:val="NumeroAFNegritaCaracter"/>
        </w:rPr>
        <w:t>5</w:t>
      </w:r>
      <w:r>
        <w:t>. El posterior 10 de octubre se registra en este Tribunal, el escrito de la representación procesal de los recurrentes de amparo, reiterando los argumentos contenidos en la demanda de amparo y añadiendo diversas consideraciones acerca del mantenimiento del recurso de amparo como remedio útil frente a los abusos judiciales así como que lo que debía haber hecho el Tribunal Contencioso-Administrativo era declararse incompetente y promover conflicto negativo de competencia para que lo resolviera la Sala pertinente del Tribunal Supremo.</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6</w:t>
      </w:r>
      <w:r>
        <w:t xml:space="preserve">. El Fiscal interesa, en su escrito de alegaciones presentado el 4 de octubre de 2005, que se acuerde la inadmisión de la demanda, por entender que los motivos de amparo carecen de modo manifiesto de fundamento. </w:t>
      </w:r>
    </w:p>
    <w:p w:rsidR="00CF03FA" w:rsidRDefault="00CF03FA" w:rsidP="00CF03FA">
      <w:pPr>
        <w:pStyle w:val="TextoNormal"/>
      </w:pPr>
      <w:r>
        <w:t xml:space="preserve">Entiende el Ministerio público que la decisión judicial adoptada no es arbitraria, manifiestamente irracional o incurra en error patente, habida cuenta de que, apoyándose en una interpretación del art. 1.1 LJCA, no puede reputarse como tal acto el que le atribuye la recurrente a la Administración para entender cumplido el presupuesto procesal de la existencia del mismo, pues el cumplimiento del trámite de contestación a la demanda en un procedimiento de otra jurisdicción, no puede ser considerado como tal acto administrativo, sino más bien como una actuación procesal de parte que expone una determinada postura de oposición a la pretensión ejercitada. </w:t>
      </w:r>
    </w:p>
    <w:p w:rsidR="00CF03FA" w:rsidRDefault="00CF03FA" w:rsidP="00CF03FA">
      <w:pPr>
        <w:pStyle w:val="TextoNormal"/>
      </w:pPr>
      <w:r>
        <w:t xml:space="preserve">En el criterio del Fiscal, el motivo de amparo carece manifiestamente de fundamento y merece su inadmisión, pues se ha debido a la inactividad de la propia parte recurrente, no habiendo formulado la oportuna reclamación previa para así instar a la Administración a dictar un acto que fuera susceptible de impugnación en la vía jurisdiccional utilizada. </w:t>
      </w:r>
    </w:p>
    <w:p w:rsidR="00CF03FA" w:rsidRDefault="00CF03FA" w:rsidP="00CF03FA">
      <w:pPr>
        <w:pStyle w:val="TextoNormal"/>
      </w:pPr>
      <w:r>
        <w:t>Concluye el Fiscal interesando que, de acuerdo con lo dispuesto en los arts. 86. 1, inciso segundo y 80 de la Ley Orgánica del Tribunal Constitucional, en relación con el art. 245 b) de la Ley Orgánica del Poder Judicial, por el Tribunal Constitucional se dicte Auto inadmitiendo a trámite la demanda, por entender que el motivo de amparo así formalizado carece de modo manifiesto de fundamento.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Funda la recurrente su demanda de amparo en la alegada vulneración de su derecho a la tutela judicial efectiva en su vertiente del derecho de acceso a la jurisdicción pues entiende que la decisión de la Sala de lo Contencioso-Administrativo acordando la inadmisibilidad del recurso por no haber interpuesto reclamación en vía administrativa es desproporcionada e incompatible con la efectividad del derecho fundamental denunciado. En concreto, pone de manifiesto que después de haber acudido a la Jurisdicción civil en reclamación de una deuda por contrato de obras que el Ayuntamiento de Valladolid tenía contraída con la actora y de haber destacado los órganos de la indicada jurisdicción que la competencia objetiva correspondía en este caso a la Jurisdicción contencioso-administrativa no era necesario ya instar de la Corporación local de referencia un nuevo acto administrativo para poder formalizar el recurso contencioso-administrativo, sino que ya se entendía que la decisión denegatoria adoptada por el Ayuntamiento en su escrito de contestación a la demanda civil debía reputarse como tal acto y, por tanto, susceptible de impugnación procesal.</w:t>
      </w:r>
    </w:p>
    <w:p w:rsidR="00CF03FA" w:rsidRDefault="00CF03FA" w:rsidP="00CF03FA">
      <w:pPr>
        <w:pStyle w:val="TextoNormal"/>
      </w:pPr>
      <w:r>
        <w:t>Sin embargo, examinadas las alegaciones efectuadas por el recurrente y por el Ministerio Fiscal, hemos de confirmar nuestra apreciación inicial expuesta en la providencia de 20 de septiembre de 2005, acerca de la carencia de contenido de la demanda que justifique una decisión sobre su fondo, en forma de Sentencia, por parte de este Tribunal [art.50.1 c) LOTC].</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Constituye doctrina plenamente asentada de este Tribunal, sintetizada, entre otras, en la STC 73/2006, de 13 de marzo, FJ 3, que el derecho a obtener de los Jueces y Tribunales una resolución razonable, motivada y fundada en Derecho sobre el fondo de las pretensiones oportunamente deducidas por las partes se satisface con la obtención de una resolución de inadmisión, que impide entrar en el fondo de la cuestión planteada, cuando tal decisión se </w:t>
      </w:r>
      <w:r>
        <w:lastRenderedPageBreak/>
        <w:t>funda en la existencia de una causa legal que así lo justifica y que resulta aplicada razonablemente por el órgano judicial.</w:t>
      </w:r>
    </w:p>
    <w:p w:rsidR="00CF03FA" w:rsidRDefault="00CF03FA" w:rsidP="00CF03FA">
      <w:pPr>
        <w:pStyle w:val="TextoNormal"/>
      </w:pPr>
      <w:r>
        <w:t>El primer contenido del derecho a la tutela judicial efectiva de los Jueces y Tribunales constitucionalizado en el art. 24.1 CE es el derecho de acceso a la jurisdicción (STC 124/2002, de 20 de mayo, FJ 3), con respecto al cual el principio pro actione actúa con toda su intensidad, por lo cual las decisiones de inadmisión sólo serán conformes con el art. 24.1 CE cuando no eliminen u obstaculicen injustificadamente el derecho a que un órgano judicial conozca y resuelva la pretensión formulada. Esta consideración general se concreta en los siguientes extremos: a)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pues es facultad propia de la jurisdicción ordinaria la interpretación, selección y aplicación de las normas a cada supuesto litigioso concreto. b) 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del Tribunal Constitucional, puesto que, aunque no es misión de este Tribunal interpretar las normas procesales, sí lo es determinar si la ofrecida por los órganos jurisdiccionales se ajusta a la Constitución. Y c) la plena operatividad del principio pro actione en relación con el derecho de acceso a la jurisdicción no supone que los órganos judiciales deban necesariamente optar por la interpretación de las normas procesales más favorable a la admisión de los recursos de entre todas las posibles.</w:t>
      </w:r>
    </w:p>
    <w:p w:rsidR="00CF03FA" w:rsidRDefault="00CF03FA" w:rsidP="00CF03FA">
      <w:pPr>
        <w:pStyle w:val="TextoNormal"/>
      </w:pPr>
    </w:p>
    <w:p w:rsidR="00CF03FA" w:rsidRDefault="00CF03FA" w:rsidP="00CF03FA">
      <w:pPr>
        <w:pStyle w:val="TextoNormal"/>
      </w:pPr>
      <w:r w:rsidRPr="00CF03FA">
        <w:rPr>
          <w:rStyle w:val="NumeroAFNegritaCaracter"/>
        </w:rPr>
        <w:t>3</w:t>
      </w:r>
      <w:r>
        <w:t>. Pues bien, ciñéndonos al supuesto de autos se advierte que el órgano judicial, en la Sentencia impugnada, analizó en primer lugar la naturaleza de la relación contractual existente entre la recurrente y el Ayuntamiento de Valladolid llegando a la conclusión de que se trataba de un contrato administrativo y por tanto sujeto al conocimiento de la Jurisdicción contencioso-administrativa; y, en segundo término, pasó al estudio de la causa de inadmisibilidad que había alegado la Corporación municipal, entendiendo que, por no existir verdadero acto administrativo susceptible de impugnación, no podía prosperar la admisión a trámite de la impugnación.</w:t>
      </w:r>
    </w:p>
    <w:p w:rsidR="00CF03FA" w:rsidRDefault="00CF03FA" w:rsidP="00CF03FA">
      <w:pPr>
        <w:pStyle w:val="TextoNormal"/>
      </w:pPr>
      <w:r>
        <w:t>Analizando el contenido del fundamento de derecho cuarto de la Sentencia que es el que constituye el verdadero objeto de la impugnación de la demandante, se advierte que la decisión de la Sala de instancia se apoya en que lo que aquella considera como acto susceptible de recurso —la contestación a la demanda en el proceso civil que hizo la Corporación municipal— no puede ser considerada como verdadero acto, por cuanto no es una declaración de voluntad, deseo o conocimiento dictada en el ejercicio de una potestad administrativa, sino más bien un acto procesal de parte, elaborado, no por quien tiene potestad normativa para ello, sino por los letrados que le asesoran y con la única finalidad de poner de manifiesto una determinada posición procesal de oposición a la pretensión ejercitada, pero sin facultad decisoria alguna.</w:t>
      </w:r>
    </w:p>
    <w:p w:rsidR="00CF03FA" w:rsidRDefault="00CF03FA" w:rsidP="00CF03FA">
      <w:pPr>
        <w:pStyle w:val="TextoNormal"/>
      </w:pPr>
      <w:r>
        <w:lastRenderedPageBreak/>
        <w:t>Además, agrega la Sala que para que pudiera acudirse, en consecuencia, a la jurisdicción habría sido necesario presentar una reclamación ante el Ayuntamiento para que este resolviera atendiendo o denegando dicha petición y entonces se habría obtenido un acto contra el recurrir, bien expreso, bien presunto, operando entonces el silencio negativo.</w:t>
      </w:r>
    </w:p>
    <w:p w:rsidR="00CF03FA" w:rsidRDefault="00CF03FA" w:rsidP="00CF03FA">
      <w:pPr>
        <w:pStyle w:val="TextoNormal"/>
      </w:pPr>
      <w:r>
        <w:t>Como señala el Ministerio Fiscal, la decisión judicial adoptada no es arbitraria, manifiestamente irracional o incurra en error patente, habida cuenta de que, apoyándose en una interpretación del art. 1.1 de la Ley reguladora de la jurisdicción contencioso-administrativa (LJCA), si esta Jurisdicción conoce de las pretensiones que se deduzcan en relación con los actos de cualquier Administración pública, entendiendo por tales los dictados al amparo del ejercicio de una potestad que la ley les reconozca a aquéllas, es evidente que, con una interpretación lógica de las normas, no puede reputarse como tal acto el que le atribuye la recurrente a la Administración para entender cumplido el presupuesto procesal de la existencia del mismo, pues el cumplimiento del trámite de contestación a la demanda en un procedimiento de otra jurisdicción, no puede ser considerado como tal acto administrativo, sino más bien como una actuación procesal de parte que expone una determinada postura de oposición a la pretensión ejercitada.</w:t>
      </w:r>
    </w:p>
    <w:p w:rsidR="00CF03FA" w:rsidRDefault="00CF03FA" w:rsidP="00CF03FA">
      <w:pPr>
        <w:pStyle w:val="TextoNormal"/>
      </w:pPr>
      <w:r>
        <w:t>La declaración de inadmisibilidad del recurso contencioso-administrativo se ha apoyado, pues, en la consideración de que la actora lo formalizó sin haber mediado acto administrativo susceptible de impugnación, por no ser considerado como tal el que aquella afirma, apoyándose para ello en una interpretación de la legalidad que no puede ser considerada ni arbitraria, ni manifiestamente irracional ni se halla tampoco incursa en error patente, en los términos en que es susceptible el control externo de este Tribunal en lo que atañe al derecho fundamental que se invoca.</w:t>
      </w:r>
    </w:p>
    <w:p w:rsidR="00CF03FA" w:rsidRDefault="00CF03FA" w:rsidP="00CF03FA">
      <w:pPr>
        <w:pStyle w:val="TextoNormal"/>
      </w:pPr>
      <w:r>
        <w:t>El motivo de amparo carece manifiestamente de fundamento y merece su inadmisión, pues se ha debido a la inactividad de la propia parte recurrente, no habiendo formulado la oportuna reclamación previa para así instar a la Administración a dictar un acto que fuera susceptible de impugnación en la vía jurisdiccional utilizada. Procede pues inadmitir a trámite la demanda por entender que el motivo de amparo, así formalizado, carece de modo manifiesto de fundamento.</w:t>
      </w:r>
    </w:p>
    <w:p w:rsidR="00CF03FA" w:rsidRDefault="00CF03FA" w:rsidP="00CF03FA">
      <w:pPr>
        <w:pStyle w:val="TextoNormal"/>
      </w:pPr>
    </w:p>
    <w:p w:rsidR="00CF03FA" w:rsidRDefault="00CF03FA" w:rsidP="00CF03FA">
      <w:pPr>
        <w:pStyle w:val="TextoNormal"/>
      </w:pPr>
      <w:r>
        <w:t>Por lo expuesto, y en atención a la manifiesta ausencia de contenido constitucional de la pretensión,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La inadmisión del presente recurso de amparo y el archivo de las actuaciones.</w:t>
      </w:r>
    </w:p>
    <w:p w:rsidR="00CF03FA" w:rsidRDefault="00CF03FA" w:rsidP="00CF03FA">
      <w:pPr>
        <w:pStyle w:val="TextoNormal"/>
      </w:pPr>
    </w:p>
    <w:p w:rsidR="00CF03FA" w:rsidRDefault="00CF03FA" w:rsidP="00CF03FA">
      <w:pPr>
        <w:pStyle w:val="TextoNormal"/>
      </w:pPr>
      <w:r>
        <w:t>Madrid, a doce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11" w:name="AUTO_2008_50"/>
      <w:r>
        <w:lastRenderedPageBreak/>
        <w:t>AUTO 50/2008, de 12 de febrero de 2008</w:t>
      </w:r>
    </w:p>
    <w:bookmarkEnd w:id="111"/>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ECLI:ES:TC:2008:50A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Acuerda la  rectificación de la providencia de  21 de mayo de 2007 y confirma la inadmisión del  recurso de amparo 7149-2006, promovido por don Antonio Fernández Carmona en causa por delito penal.</w:t>
      </w:r>
    </w:p>
    <w:p w:rsidR="00CF03FA" w:rsidRDefault="00CF03FA" w:rsidP="00CF03FA">
      <w:pPr>
        <w:pStyle w:val="SntesisDescriptiva"/>
      </w:pPr>
    </w:p>
    <w:p w:rsidR="00CF03FA" w:rsidRDefault="00CF03FA" w:rsidP="00CF03FA">
      <w:pPr>
        <w:pStyle w:val="SntesisAnaltica"/>
      </w:pPr>
      <w:r>
        <w:t>Autos del Tribunal Constitucional: rectificación de error material. Igualdad en la aplicación de la ley: alteridad.</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La representación procesal de don Antonio Fernández Carmona presentó recurso de amparo contra la Sentencia dictada por la Sección Primera de la Audiencia Provincial de Granada, de 5 de junio de 2006, por la que se desestimó el recurso de apelación interpuesto contra la Sentencia del Juzgado de lo Penal núm. 5 de Granada, de 20 de marzo de 2006. La demanda de amparo fue inadmitida por providencia dictada el 21 de mayo de 2007 por esta Sección Segunda.</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escrito registrado el 28 de mayo de 2007, el Procurador de los Tribunales don Ignacio Argos Linares, en nombre y representación de don Antonio Fernández Carmona, solicita aclaración de la mencionada providencia a fin de que se rectifiquen los siguientes errores: a) que la resolución mencionada en el párrafo 3 de la providencia como Sentencia de 13 de diciembre de 2005 recaída en el procedimiento abreviado núm. 1989-2005 es, en realidad, la Sentencia de 3 de febrero de 2006 correspondiente al procedimiento abreviado núm. 190-2005. b) Que en el procedimiento en el que recayó la Sentencia de 3 de febrero de 2006 sólo fue acusado el demandante de amparo, se practicó la prueba necesaria y la Sentencia no fue dictada de conformidad entre las partes. Se pide, por último, que, advertidos tales errores, se admita a trámite la demanda de amparo.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art. 267.3 de la Ley Orgánica del Poder Judicial (LOPJ), aplicable supletoriamente a esta jurisdicción constitucional (ex art. 80 LOTC), determina que los errores materiales manifiestos y los aritméticos en que incurran las resoluciones judiciales podrán ser rectificados en cualquier momento.</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2</w:t>
      </w:r>
      <w:r>
        <w:t>. Un nuevo examen de las actuaciones pone de manifiesto la existencia de los errores materiales advertidos por la representación procesal de recurrente, por lo que procede acceder a su corrección. Pero ello no conlleva que la demanda de amparo en su día interpuesta deba prosperar, ya que los criterios doctrinales contenidos en la providencia de 21 de mayo de 2007 siguen justificando, en su correcta subsunción en los hechos enjuiciados, que la Sección se reafirme en su decisión inicial, por ser acorde a Derecho.</w:t>
      </w:r>
    </w:p>
    <w:p w:rsidR="00CF03FA" w:rsidRDefault="00CF03FA" w:rsidP="00CF03FA">
      <w:pPr>
        <w:pStyle w:val="TextoNormal"/>
      </w:pPr>
      <w:r>
        <w:t>En efecto, debemos reafirmar el alcance del derecho a la tutela judicial efectiva, en lo que atañe al concreto derecho a recibir una resolución judicial motivada, que se resume en el primer párrafo de la providencia impugnada. Y es oportuno añadir que la apreciación o no de circunstancias eximentes o atenuantes de la responsabilidad penal es una cuestión de estricta legalidad ordinaria cuya resolución corresponde a los órganos judiciales competentes (SSTC 211/1992, de 30 de noviembre, FJ 5; y 63/2001, de 17 de marzo, FJ 11). En el presente caso, el órgano judicial ha estimado que la atenuante derivada de la adicción del recurrente a sustancias estupefacientes no concurría en la medida en que no se ha podido acreditar que en el momento de cometer el delito, que tuvo lugar el 20 de septiembre de 2005, el recurrente tuviera disminuida su capacidad (FD 3 de la Sentencia del Juzgado de lo Penal núm. 5 de Granada, de 20 de marzo de 2006). El hecho de que el mismo órgano judicial estime que tal atenuante sí concurría en otro ilícito perpetrado tres días más tarde (Sentencia de 3 de febrero de 2006) no permite afirmar que la primera resolución sea irrazonable ni considerar vulnerado el principio de igualdad, principio que no opera sino en referencia a un tercero, distinto del actor, concurriendo entonces la alteridad constitucionalmente exigible (SSTC 162/2001, de 5 de julio, FJ 2; 229/2001, de 26 de noviembre, FJ2; 46/2003, de 3 de marzo, FJ 3; y 199/2004, de 15 de noviembre, FJ 3.b).  Tampoco es aplicable al caso que nos ocupa la doctrina constitucional que impone que un determinado hecho sea igualmente valorado por el mismo órgano judicial cuando debe volver a pronunciarse sobre el mismo, puesto que es claro que los procesos penales que se pretenden comparar en el presente proceso constitucional sirven para depurar distintas responsabilidades penales, vinculadas a hechos que tuvieron lugar en fechas ciertamente cercanas, pero no idénticas (STC 61/2006, de 27 de febrero, FJ 4).</w:t>
      </w:r>
    </w:p>
    <w:p w:rsidR="00CF03FA" w:rsidRDefault="00CF03FA" w:rsidP="00CF03FA">
      <w:pPr>
        <w:pStyle w:val="TextoNormal"/>
      </w:pPr>
    </w:p>
    <w:p w:rsidR="00CF03FA" w:rsidRDefault="00CF03FA" w:rsidP="00CF03FA">
      <w:pPr>
        <w:pStyle w:val="TextoNormal"/>
      </w:pPr>
      <w:r>
        <w:t>Por todo lo cual,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Rectificar en la providencia dictada el 21 de mayo de 2007 por esta Sección en el recurso de amparo núm. 7149-2006 los errores señalados en el antecedente segundo de esta resolución, confirmado la inadmisión del recurso de amparo.</w:t>
      </w:r>
    </w:p>
    <w:p w:rsidR="00CF03FA" w:rsidRDefault="00CF03FA" w:rsidP="00CF03FA">
      <w:pPr>
        <w:pStyle w:val="TextoNormal"/>
      </w:pPr>
    </w:p>
    <w:p w:rsidR="00CF03FA" w:rsidRDefault="00CF03FA" w:rsidP="00CF03FA">
      <w:pPr>
        <w:pStyle w:val="TextoNormal"/>
      </w:pPr>
      <w:r>
        <w:t>Madrid, a doce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12" w:name="AUTO_2008_51"/>
      <w:r>
        <w:lastRenderedPageBreak/>
        <w:t>AUTO 51/2008, de 12 de febrero de 2008</w:t>
      </w:r>
    </w:p>
    <w:bookmarkEnd w:id="112"/>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ECLI:ES:TC:2008:51A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la cuestión de inconstitucionalidad 8845-2007, planteada por el Juzgado de lo Contencioso-Administrativo núm. 3 de Córdoba en relación con varios preceptos de la Ley del Parlamento de Andalucía 18/2003, de 29 de diciembre, de medidas fiscales y administrativas.</w:t>
      </w:r>
    </w:p>
    <w:p w:rsidR="00CF03FA" w:rsidRDefault="00CF03FA" w:rsidP="00CF03FA">
      <w:pPr>
        <w:pStyle w:val="SntesisDescriptiva"/>
      </w:pPr>
    </w:p>
    <w:p w:rsidR="00CF03FA" w:rsidRDefault="00CF03FA" w:rsidP="00CF03FA">
      <w:pPr>
        <w:pStyle w:val="SntesisAnaltica"/>
      </w:pPr>
      <w:r>
        <w:t>Andalucía: competencias en materia de tributos. Inadmisión de cuestión de inconstitucionalidad: causas de inadmisión; cuestión de inconstitucionalidad resuelta previamente; notoriamente infundada.</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16 de noviembre de 2007 tuvo entrada en el Registro General de este Tribunal un escrito del Juzgado de lo Contencioso-Administrativo núm. 3 de Córdoba al que se acompaña, junto con el testimonio del correspondiente procedimiento, el Auto de 11 de octubre de 2007 en el que se acuerda plantear cuestión de inconstitucionalidad en relación con los arts. 56 a 64 de la Ley del Parlamento de Andalucía 18/2003, de 29 de diciembre, de medidas fiscales y administrativas, por posible vulneración de los arts. 133.2 y 157.2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de la cuestión son los siguientes: </w:t>
      </w:r>
    </w:p>
    <w:p w:rsidR="00CF03FA" w:rsidRDefault="00CF03FA" w:rsidP="00CF03FA">
      <w:pPr>
        <w:pStyle w:val="TextoNormal"/>
      </w:pPr>
      <w:r>
        <w:t xml:space="preserve">a) La Empresa nacional de residuos radioactivos, S.A. (en adelante Enresa) interpuso recurso contencioso-administrativo (tramitado por el procedimiento ordinario con el número 743-2006) contra la Resolución de la Junta provincial de Hacienda de Córdoba, de 18 de septiembre de 2006, por la que estima la reclamación económico-administrativa formulada por la mercantil Iberdrola Generación, S.A.U., contra la repercusión del Impuesto sobre Depósito de residuos radioactivos (IDRR) efectuada por Enresa al amparo de lo dispuesto en los arts. 59 y 62 de la Ley del Parlamento de Andalucía 18/2003, de 29 de diciembre, de medidas fiscales y administrativas. En el dicho recurso contencioso-administrativo se personaron la Junta de Andalucía en calidad de demandada y la mercantil antes citada como codemandada. </w:t>
      </w:r>
    </w:p>
    <w:p w:rsidR="00CF03FA" w:rsidRDefault="00CF03FA" w:rsidP="00CF03FA">
      <w:pPr>
        <w:pStyle w:val="TextoNormal"/>
      </w:pPr>
      <w:r>
        <w:t xml:space="preserve">b) Declaradas conclusas las actuaciones por Auto de 11 de junio de 2007, el órgano judicial dictó providencia el 14 de septiembre de 2007 acordando oír a las partes personadas y al Ministerio Fiscal para que, en el plazo de diez días, alegasen lo que estimaren conveniente acerca del planteamiento de la cuestión de inconstitucionalidad, en aplicación del art. </w:t>
      </w:r>
      <w:r>
        <w:lastRenderedPageBreak/>
        <w:t xml:space="preserve">35.2 LOTC, en relación con la posible inconstitucionalidad del IDRR creado por la Ley de Andalucía 18/2003, por posible infracción de lo dispuesto en el los arts. 133.2 CE, en relación con el art. 6.3 de la Ley Orgánica 8/1980, de 22 de septiembre, de financiación de las Comunidades Autónomas (en adelante, LOFCA), y 157.2 CE en relación con el art. 9 LOFCA. La parte codemandada y el Ministerio Fiscal manifestaron su parecer favorable al planteamiento de la cuestión de inconstitucionalidad. La Junta de Andalucía se opuso al planteamiento de la cuestión de inconstitucionalidad. La demandante Enresa no formuló alegación alguna. </w:t>
      </w:r>
    </w:p>
    <w:p w:rsidR="00CF03FA" w:rsidRDefault="00CF03FA" w:rsidP="00CF03FA">
      <w:pPr>
        <w:pStyle w:val="TextoNormal"/>
      </w:pPr>
      <w:r>
        <w:t>c) El órgano judicial dictó Auto de 11 de octubre de 2007 planteando la cuestión de inconstitucionalidad en relación con los arts. 56 a 64 de la Ley del Parlamento de Andalucía 18/2003, de 29 de diciembre, de medidas fiscales y administrativas, por posible vulneración de los arts. 133.2 y 157.2 CE.</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cuanto al contenido del Auto de planteamiento interesa destacar lo siguiente: </w:t>
      </w:r>
    </w:p>
    <w:p w:rsidR="00CF03FA" w:rsidRDefault="00CF03FA" w:rsidP="00CF03FA">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en su día interpuesto. </w:t>
      </w:r>
    </w:p>
    <w:p w:rsidR="00CF03FA" w:rsidRDefault="00CF03FA" w:rsidP="00CF03FA">
      <w:pPr>
        <w:pStyle w:val="TextoNormal"/>
      </w:pPr>
      <w:r>
        <w:t xml:space="preserve">b) Tras ello señala las normas con fuerza de Ley cuya constitucionalidad se cuestiona, los arts. 56 a 64 de la Ley 18/2003,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CF03FA" w:rsidRDefault="00CF03FA" w:rsidP="00CF03FA">
      <w:pPr>
        <w:pStyle w:val="TextoNormal"/>
      </w:pPr>
      <w:r>
        <w:t xml:space="preserve">c) En cuanto a los concretos motivos que determinan el planteamiento de la cuestión de inconstitucionalidad, se examina, en primer lugar, la inconstitucionalidad de la norma por vulnerar lo dispuesto en el art. 133.2 CE en relación con el art. 6.3 LOFCA por apreciar coincidencia entre el tributo cuestionado con el Impuesto sobre actividades económicas (IAE). Al respecto,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al referirse a la misma actividad del IAE, epígrafe 143.3 almacenamiento de residuos radiactivos, por lo que considera que el tributo autonómico puede ser contrario al art. 6.3 LOFCA en relación con el art. 133.2 CE. Asimismo, el Auto argumenta la inconstitucionalidad de los preceptos cuestionados por su incompatibilidad con el art. 157.2 CE y 9 LOFCA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 </w:t>
      </w:r>
    </w:p>
    <w:p w:rsidR="00CF03FA" w:rsidRDefault="00CF03FA" w:rsidP="00CF03FA">
      <w:pPr>
        <w:pStyle w:val="TextoNormal"/>
      </w:pPr>
      <w:r>
        <w:lastRenderedPageBreak/>
        <w:t xml:space="preserve">d) Tras la anterior exposición el órgano judicial señala que, a su criterio, los preceptos cuestionados son inconstitucionales y, por tanto, inaplicables, si bien, dado que, en aplicación de la doctrina del Tribunal Constitucional, le resulta vedado efectuar un juicio negativo definitivo sobre la constitucionalidad de los citados preceptos, se ve obligado a plantear la cuestión de inconstitucionalidad al Tribunal Constitucional, de conformidad con lo previsto en el art. 35 LOTC. </w:t>
      </w:r>
    </w:p>
    <w:p w:rsidR="00CF03FA" w:rsidRDefault="00CF03FA" w:rsidP="00CF03FA">
      <w:pPr>
        <w:pStyle w:val="TextoNormal"/>
      </w:pPr>
      <w:r>
        <w:t>El Auto termina disponiendo el planteamiento al Tribunal Constitucional de la posible inconstitucionalidad de los arts. 56, 57, 58, 59, 60, 61, 62, 63 y 64 de la Ley del Parlamento de Andalucía 18/2003, de 29 de diciembre, de medidas fiscales y administrativas, por poder ser contrarios a los arts. 133.2 y 157.2 CE .</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Cuarta de este Tribunal Constitucional, de fecha 12 de diciembre de 2007, se acordó oír al Fiscal General del Estado para que, en el plazo de diez días, alegara lo que considerara conveniente acerca de la admisibilidad de la presente cuestión de inconstitucionalidad por si fuese notoriamente infundada.</w:t>
      </w:r>
    </w:p>
    <w:p w:rsidR="00CF03FA" w:rsidRDefault="00CF03FA" w:rsidP="00CF03FA">
      <w:pPr>
        <w:pStyle w:val="TextoNormal"/>
      </w:pPr>
    </w:p>
    <w:p w:rsidR="00CF03FA" w:rsidRDefault="00CF03FA" w:rsidP="00CF03FA">
      <w:pPr>
        <w:pStyle w:val="TextoNormal"/>
      </w:pPr>
      <w:r w:rsidRPr="00CF03FA">
        <w:rPr>
          <w:rStyle w:val="NumeroAFNegritaCaracter"/>
        </w:rPr>
        <w:t>5</w:t>
      </w:r>
      <w:r>
        <w:t>. El 22 de enero de 2008 el Fiscal General del Estado presentó su escrito de alegaciones en el que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Juzgado de lo Contencioso-Administrativo núm. 3 de Córdoba plantea cuestión de inconstitucionalidad en relación con los arts. 56 a 64 de la Ley del Parlamento de Andalucía 18/2003, de 29 de diciembre, de medidas fiscales y administrativas,</w:t>
      </w:r>
    </w:p>
    <w:p w:rsidR="00CF03FA" w:rsidRDefault="00CF03FA" w:rsidP="00CF03FA">
      <w:pPr>
        <w:pStyle w:val="TextoNormal"/>
      </w:pPr>
      <w:r>
        <w:t>preceptos que regulan el denominado Impuesto sobre depósito de residuos radiactivos.</w:t>
      </w:r>
    </w:p>
    <w:p w:rsidR="00CF03FA" w:rsidRDefault="00CF03FA" w:rsidP="00CF03FA">
      <w:pPr>
        <w:pStyle w:val="TextoNormal"/>
      </w:pPr>
      <w:r>
        <w:t>Las dudas de constitucionalidad planteadas por el órgano judicial han sido resueltas en el ATC 456/2007, de 12 de diciembre, dictado como consecuencia de la cuestión de inconstitucionalidad núm. 6895-2007, planteada por el Juzgado de lo Contencioso-Administrativo núm. 4 de Córdoba, en el que este Tribunal ha considerado que la citada cuestión se encontraba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de acuerdo con las razones expuestas en el ya citado ATC 456/2007, a cuyos fundamentos jurídicos 4 a 8 procede remitirse íntegramente, la misma consideración ha de merecer la presente cuestión de inconstitucionalidad.</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cuestión de inconstitucionalidad núm. 8845-2007, planteada por el Juzgado de lo Contencioso-Administrativo núm. 3 de Córdoba.</w:t>
      </w:r>
    </w:p>
    <w:p w:rsidR="00CF03FA" w:rsidRDefault="00CF03FA" w:rsidP="00CF03FA">
      <w:pPr>
        <w:pStyle w:val="TextoNormal"/>
      </w:pPr>
    </w:p>
    <w:p w:rsidR="00CF03FA" w:rsidRDefault="00CF03FA" w:rsidP="00CF03FA">
      <w:pPr>
        <w:pStyle w:val="TextoNormal"/>
      </w:pPr>
      <w:r>
        <w:lastRenderedPageBreak/>
        <w:t>Madrid, a doce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13" w:name="AUTO_2008_52"/>
      <w:r>
        <w:lastRenderedPageBreak/>
        <w:t>AUTO 52/2008, de 12 de febrero de 2008</w:t>
      </w:r>
    </w:p>
    <w:bookmarkEnd w:id="113"/>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ECLI:ES:TC:2008:52A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la cuestión de inconstitucionalidad 8975-2007, planteada por el Juzgado de lo Contencioso-Administrativo núm. 2 de Córdoba en relación con varios preceptos de la Ley del Parlamento de Andalucía 18/2003, de 29 de diciembre, de medidas fiscales y administrativas.</w:t>
      </w:r>
    </w:p>
    <w:p w:rsidR="00CF03FA" w:rsidRDefault="00CF03FA" w:rsidP="00CF03FA">
      <w:pPr>
        <w:pStyle w:val="SntesisDescriptiva"/>
      </w:pPr>
    </w:p>
    <w:p w:rsidR="00CF03FA" w:rsidRDefault="00CF03FA" w:rsidP="00CF03FA">
      <w:pPr>
        <w:pStyle w:val="SntesisAnaltica"/>
      </w:pPr>
      <w:r>
        <w:t>Cuestión de inconstitucionalidad: ATC 8/2008.</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21 de noviembre de 2007 tuvo entrada en el Registro General de este Tribunal un escrito del Juzgado de lo Contencioso-Administrativo núm. 2 de Córdoba al que se acompaña, junto con el testimonio del correspondiente procedimiento, el Auto de 3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de la cuestión son los siguientes: </w:t>
      </w:r>
    </w:p>
    <w:p w:rsidR="00CF03FA" w:rsidRDefault="00CF03FA" w:rsidP="00CF03FA">
      <w:pPr>
        <w:pStyle w:val="TextoNormal"/>
      </w:pPr>
      <w:r>
        <w:t xml:space="preserve">a) La Empresa nacional de residuos radioactivos, S.A. (en adelante Enresa) interpuso recurso contencioso-administrativo (tramitado por el procedimiento abreviado con el número 745-2006) contra la resolución de la Junta Provincial de Hacienda de Córdoba por la que estima la reclamación económico-administrativa 70-2005,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solicito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LOFCA) y el </w:t>
      </w:r>
      <w:r>
        <w:lastRenderedPageBreak/>
        <w:t xml:space="preserve">principio de interdicción de la arbitrariedad en la actuación de los poderes públicos derivado del art. 9.3 CE </w:t>
      </w:r>
    </w:p>
    <w:p w:rsidR="00CF03FA" w:rsidRDefault="00CF03FA" w:rsidP="00CF03FA">
      <w:pPr>
        <w:pStyle w:val="TextoNormal"/>
      </w:pPr>
      <w:r>
        <w:t xml:space="preserve">b) Declarado el juicio concluso para dictar sentencia, el Juzgado de lo Contencioso-Administrativo núm. 2 de Córdoba dicto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00CF03FA" w:rsidRDefault="00CF03FA" w:rsidP="00CF03FA">
      <w:pPr>
        <w:pStyle w:val="TextoNormal"/>
      </w:pPr>
      <w:r>
        <w:t xml:space="preserve">c) La parte codemandada, Unión Fenosa Generación, S.A., manifestó su parecer favorable al planteamiento de la cuestión de inconstitucionalidad por entender vulnerados, por un lado, el art. 156 en relación con el 149.1.25 CE y , por otro, el art. 6.3 LOFCA. La Junta de Andalucía se opuso al planteamiento de la cuestión de inconstitucionalidad. La demandante Enresa solicitó el planteamiento de la cuestión de inconstitucionalidad por los motivos ya expresados en su escrito de demanda en el proceso a quo. Por su parte, el Ministerio Fiscal estimo procedente el planteamiento de la cuestión por estimar que la regulación del IDRR vulneraba el art. 149.1.25 CE y el art. 6.3 LOFCA. </w:t>
      </w:r>
    </w:p>
    <w:p w:rsidR="00CF03FA" w:rsidRDefault="00CF03FA" w:rsidP="00CF03FA">
      <w:pPr>
        <w:pStyle w:val="TextoNormal"/>
      </w:pPr>
      <w:r>
        <w:t>d) El órgano judicial dicto el Auto de 3 de octubre de 2007 planteando la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LOFCA.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cuanto al contenido del Auto de planteamiento interesa destacar lo siguiente: </w:t>
      </w:r>
    </w:p>
    <w:p w:rsidR="00CF03FA" w:rsidRDefault="00CF03FA" w:rsidP="00CF03FA">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dicto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en su día interpuesto. </w:t>
      </w:r>
    </w:p>
    <w:p w:rsidR="00CF03FA" w:rsidRDefault="00CF03FA" w:rsidP="00CF03FA">
      <w:pPr>
        <w:pStyle w:val="TextoNormal"/>
      </w:pPr>
      <w: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CF03FA" w:rsidRDefault="00CF03FA" w:rsidP="00CF03FA">
      <w:pPr>
        <w:pStyle w:val="TextoNormal"/>
      </w:pPr>
      <w: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00CF03FA" w:rsidRDefault="00CF03FA" w:rsidP="00CF03FA">
      <w:pPr>
        <w:pStyle w:val="TextoNormal"/>
      </w:pPr>
      <w: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w:t>
      </w:r>
      <w:r>
        <w:lastRenderedPageBreak/>
        <w:t xml:space="preserve">nucleares no generados en Aragón, pues los preceptos cuestionados tiene por finalidad el establecimiento de una exacción extrafiscal por el hecho del almacenamiento de tales residuos, sin que limite o condicione el régimen de producción energética, lo que determina que no se vulnere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al referirse a la misma actividad del IAE, epígrafe 143.3 almacenamiento de residuos radiactivos, por lo que considera que el tributo autonómico puede ser contrario al art. 6.2 LOFCA (en realidad 6.3 LOFCA) en relación con el art. 133.2 CE. También se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CF03FA" w:rsidRDefault="00CF03FA" w:rsidP="00CF03FA">
      <w:pPr>
        <w:pStyle w:val="TextoNormal"/>
      </w:pPr>
      <w:r>
        <w:t>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Segunda de este Tribunal Constitucional, de fecha 12 de diciembre de 2007, se acordó oír al Fiscal General del Estado para que, en el plazo de diez días, alegara lo que considerara conveniente acerca de la admisibilidad de la presente cuestión de inconstitucionalidad en relación con el cumplimiento de los requisitos procesales y por si fuese notoriamente infundada.</w:t>
      </w:r>
    </w:p>
    <w:p w:rsidR="00CF03FA" w:rsidRDefault="00CF03FA" w:rsidP="00CF03FA">
      <w:pPr>
        <w:pStyle w:val="TextoNormal"/>
      </w:pPr>
    </w:p>
    <w:p w:rsidR="00CF03FA" w:rsidRDefault="00CF03FA" w:rsidP="00CF03FA">
      <w:pPr>
        <w:pStyle w:val="TextoNormal"/>
      </w:pPr>
      <w:r w:rsidRPr="00CF03FA">
        <w:rPr>
          <w:rStyle w:val="NumeroAFNegritaCaracter"/>
        </w:rPr>
        <w:t>5</w:t>
      </w:r>
      <w:r>
        <w:t>. El 22 de enero de 2008 el Fiscal General del Estado presentó su escrito de alegaciones en el que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Juzgado de lo Contencioso-Administrativo núm. 2 de Córdoba plantea cuestión de inconstitucionalidad en relación con los arts. 56 a 64 de la Ley del Parlamento de Andalucía 18/2003, de 29 de diciembre, de medidas fiscales y administrativas,</w:t>
      </w:r>
    </w:p>
    <w:p w:rsidR="00CF03FA" w:rsidRDefault="00CF03FA" w:rsidP="00CF03FA">
      <w:pPr>
        <w:pStyle w:val="TextoNormal"/>
      </w:pPr>
      <w:r>
        <w:t>preceptos que regulan el denominado Impuesto sobre depósito de residuos radiactivos.</w:t>
      </w:r>
    </w:p>
    <w:p w:rsidR="00CF03FA" w:rsidRDefault="00CF03FA" w:rsidP="00CF03FA">
      <w:pPr>
        <w:pStyle w:val="TextoNormal"/>
      </w:pPr>
      <w:r>
        <w:t xml:space="preserve">Conforme a lo dispuesto en el art. 37.1 LOTC este Tribunal Constitucional puede rechazar en trámite de admisión, mediante Auto y con la sola audiencia del Fiscal General del </w:t>
      </w:r>
      <w:r>
        <w:lastRenderedPageBreak/>
        <w:t>Estado, aquellas cuestiones de inconstitucionalidad que adolezcan de la falta de los necesarios requisitos procesales que para su promoción se derivan de los arts. 163 CE y 35 a 37 LOTC o que fueren notoriamente infundadas, circunstancias ambas que concurren en el presente caso.</w:t>
      </w:r>
    </w:p>
    <w:p w:rsidR="00CF03FA" w:rsidRDefault="00CF03FA" w:rsidP="00CF03FA">
      <w:pPr>
        <w:pStyle w:val="TextoNormal"/>
      </w:pPr>
      <w:r>
        <w:t>Por lo que hace, en primer lugar, a la verificación del cumplimiento de los requisitos procesales establecidos en el art. 35.2 LOTC, es de apreciar que no se han cumplido las exigencias de la necesaria audiencia a las partes y al Ministerio Fiscal previamente a la elaboración del Auto de planteamiento de la cuestión de inconstitucionalidad por parte del órgano judicial promotor de la misma. En efecto, en el presente caso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 en el Auto de planteamiento.</w:t>
      </w:r>
    </w:p>
    <w:p w:rsidR="00CF03FA" w:rsidRDefault="00CF03FA" w:rsidP="00CF03FA">
      <w:pPr>
        <w:pStyle w:val="TextoNormal"/>
      </w:pPr>
      <w:r>
        <w:t>Sobre la incidencia que ambas cuestiones tienen en la adecuada realización del preceptivo trámite de audiencia a las partes y al Ministerio Fiscal nos hemos pronunciado ya en el ATC 456/2007, de 12 de diciembre, dictado como consecuencia de la cuestión de inconstitucionalidad núm. 6895-2007, planteada por el Juzgado de lo Contencioso-Administrativo núm. 4 de Córdoba, en cuyos fundamentos jurídicos 2 y 3 estimamos que el citado trámite de audiencia hubiera sido realizado correctamente si el órgano judicial, apreciada la duda de constitucionalidad suscitada en el proceso, la hubiera efectivamente compartido y trasladado de forma autónoma a las partes y al Ministerio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00CF03FA" w:rsidRDefault="00CF03FA" w:rsidP="00CF03FA">
      <w:pPr>
        <w:pStyle w:val="TextoNormal"/>
      </w:pPr>
      <w:r>
        <w:t>Por otra parte, la concreta duda de constitucionalidad suscitada por el órgano judicial ha sido ya resuelta por el referido ATC 456/2007, en el que este Tribunal ha considerado que la cuestión planteada resultaba ser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de acuerdo con las razones expuestas en el ya citado ATC 456/2007, a cuyos fundamentos jurídicos 4 a 8 procede remitirse íntegramente, la misma consideración ha de merecer la presente cuestión de inconstitucionalidad.</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cuestión de inconstitucionalidad núm. 8975-2007, planteada por el Juzgado de lo Contencioso-Administrativo núm. 2 de Córdoba.</w:t>
      </w:r>
    </w:p>
    <w:p w:rsidR="00CF03FA" w:rsidRDefault="00CF03FA" w:rsidP="00CF03FA">
      <w:pPr>
        <w:pStyle w:val="TextoNormal"/>
      </w:pPr>
    </w:p>
    <w:p w:rsidR="00CF03FA" w:rsidRDefault="00CF03FA" w:rsidP="00CF03FA">
      <w:pPr>
        <w:pStyle w:val="TextoNormal"/>
      </w:pPr>
      <w:r>
        <w:t>Madrid, a doce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14" w:name="AUTO_2008_53"/>
      <w:r>
        <w:lastRenderedPageBreak/>
        <w:t>AUTO 53/2008, de 12 de febrero de 2008</w:t>
      </w:r>
    </w:p>
    <w:bookmarkEnd w:id="114"/>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ECLI:ES:TC:2008:53A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la cuestión de inconstitucionalidad 9088-2007, planteada por el Juzgado de lo Contencioso-Administrativo núm. 2 de Córdoba en relación con varios preceptos de la Ley del Parlamento de Andalucía 18/2003, de 29 de diciembre, de medidas fiscales y administrativas.</w:t>
      </w:r>
    </w:p>
    <w:p w:rsidR="00CF03FA" w:rsidRDefault="00CF03FA" w:rsidP="00CF03FA">
      <w:pPr>
        <w:pStyle w:val="SntesisDescriptiva"/>
      </w:pPr>
    </w:p>
    <w:p w:rsidR="00CF03FA" w:rsidRDefault="00CF03FA" w:rsidP="00CF03FA">
      <w:pPr>
        <w:pStyle w:val="SntesisAnaltica"/>
      </w:pPr>
      <w:r>
        <w:t>Cuestión de inconstitucionalidad: ATC 8/2008.</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26 de noviembre de 2007 tuvo entrada en el Registro General de este Tribunal un escrito del Juzgado de lo Contencioso-Administrativo núm. 2 de Córdoba al que se acompaña, junto con el testimonio del correspondiente procedimiento, el Auto de 3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este último en relación a los arts 133.1 y 149.1.14 CE y 9 de la Ley Orgánica 8/1980, de 22 de septiembre, de financiación de las Comunidades Autónomas.</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de la cuestión son los siguientes: </w:t>
      </w:r>
    </w:p>
    <w:p w:rsidR="00CF03FA" w:rsidRDefault="00CF03FA" w:rsidP="00CF03FA">
      <w:pPr>
        <w:pStyle w:val="TextoNormal"/>
      </w:pPr>
      <w:r>
        <w:t xml:space="preserve">a) La Empresa nacional de residuos radioactivos, S.A. (en adelante Enresa), interpuso recurso contencioso-administrativo (tramitado por el procedimiento abreviado con el núm. 743-2006) contra la Resolución de la Junta Provincial de Hacienda de Córdoba por la que estima la reclamación económico-administrativa 69-2005,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LOFCA), y el </w:t>
      </w:r>
      <w:r>
        <w:lastRenderedPageBreak/>
        <w:t xml:space="preserve">principio de interdicción de la arbitrariedad en la actuación de los poderes públicos derivado del art. 9.3 CE. </w:t>
      </w:r>
    </w:p>
    <w:p w:rsidR="00CF03FA" w:rsidRDefault="00CF03FA" w:rsidP="00CF03FA">
      <w:pPr>
        <w:pStyle w:val="TextoNormal"/>
      </w:pPr>
      <w:r>
        <w:t xml:space="preserve">b) Declarado el juicio concluso para dictar sentencia, el Juzgado de lo Contencioso-Administrativo núm. 2 de Córdoba dictó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00CF03FA" w:rsidRDefault="00CF03FA" w:rsidP="00CF03FA">
      <w:pPr>
        <w:pStyle w:val="TextoNormal"/>
      </w:pPr>
      <w:r>
        <w:t xml:space="preserve">c) La parte codemandada, Unión Fenosa Generación, S.A., manifestó su parecer favorable al planteamiento de la cuestión de inconstitucionalidad por entender vulnerados, por un lado, el art. 156 en relación con el 149.1.25 CE y , por otro, el art. 6.3 LOFCA. La Junta de Andalucía se opuso al planteamiento de la cuestión de inconstitucionalidad. La demandante Enresa solicitó el planteamiento de la cuestión de inconstitucionalidad por los motivos ya expresados en su escrito de demanda en el proceso a quo. Por su parte, el Ministerio Fiscal estimó procedente el planteamiento de la cuestión por entender que la regulación del IDRR vulneraba el art. 149.1.25 CE y el art. 6.3 LOFCA. </w:t>
      </w:r>
    </w:p>
    <w:p w:rsidR="00CF03FA" w:rsidRDefault="00CF03FA" w:rsidP="00CF03FA">
      <w:pPr>
        <w:pStyle w:val="TextoNormal"/>
      </w:pPr>
      <w:r>
        <w:t>d) El órgano judicial dictó el Auto de 3 de octubre de 2007 planteando la cuestión de inconstitucionalidad en relación con los arts. 56 a 64 de la Ley del Parlamento de Andalucía 18/2003, de 29 de diciembre, de medidas fiscales y administrativas, por posible vulneración de los arts. 133.1, 139.2, 156 y 157.2 CE, este último en relación a los arts 133.1 y 149.1.14 CE y 9 LOFCA.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cuanto al contenido del Auto de planteamiento interesa destacar lo siguiente: </w:t>
      </w:r>
    </w:p>
    <w:p w:rsidR="00CF03FA" w:rsidRDefault="00CF03FA" w:rsidP="00CF03FA">
      <w:pPr>
        <w:pStyle w:val="TextoNormal"/>
      </w:pPr>
      <w: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en su día interpuesto. </w:t>
      </w:r>
    </w:p>
    <w:p w:rsidR="00CF03FA" w:rsidRDefault="00CF03FA" w:rsidP="00CF03FA">
      <w:pPr>
        <w:pStyle w:val="TextoNormal"/>
      </w:pPr>
      <w: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00CF03FA" w:rsidRDefault="00CF03FA" w:rsidP="00CF03FA">
      <w:pPr>
        <w:pStyle w:val="TextoNormal"/>
      </w:pPr>
      <w: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00CF03FA" w:rsidRDefault="00CF03FA" w:rsidP="00CF03FA">
      <w:pPr>
        <w:pStyle w:val="TextoNormal"/>
      </w:pPr>
      <w: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w:t>
      </w:r>
      <w:r>
        <w:lastRenderedPageBreak/>
        <w:t xml:space="preserve">nucleares no generados en Aragón, pues los preceptos cuestionados tienen por finalidad el establecimiento de una exacción extrafiscal por el hecho del almacenamiento de tales residuos, sin que limite o condicione el régimen de producción energética, lo que determina que no se vulnere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derivados de los apartados 2 y 3 del art. 6 LOFCA para concluir que existe una clara identidad ente ambos tributos dado que, a su juicio, el IDRR recae sobre materia imponible ya gravada por el IAE al referirse a la misma actividad del IAE, epígrafe 143.3 almacenamiento de residuos radiactivos, por lo que considera que el tributo autonómico puede ser contrario al art. 6.2 LOFCA (en realidad 6.3 LOFCA) en relación con el art. 133.2 CE. También se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00CF03FA" w:rsidRDefault="00CF03FA" w:rsidP="00CF03FA">
      <w:pPr>
        <w:pStyle w:val="TextoNormal"/>
      </w:pPr>
      <w:r>
        <w:t>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Tercera de este Tribunal Constitucional, de fecha 12 de diciembre de 2007, se acordó oír al Fiscal General del Estado para que, en el plazo de diez días, alegara lo que considerase conveniente acerca de la admisibilidad de la presente cuestión de inconstitucionalidad en relación con el cumplimiento de los requisitos procesales y por si fuera notoriamente infundada.</w:t>
      </w:r>
    </w:p>
    <w:p w:rsidR="00CF03FA" w:rsidRDefault="00CF03FA" w:rsidP="00CF03FA">
      <w:pPr>
        <w:pStyle w:val="TextoNormal"/>
      </w:pPr>
    </w:p>
    <w:p w:rsidR="00CF03FA" w:rsidRDefault="00CF03FA" w:rsidP="00CF03FA">
      <w:pPr>
        <w:pStyle w:val="TextoNormal"/>
      </w:pPr>
      <w:r w:rsidRPr="00CF03FA">
        <w:rPr>
          <w:rStyle w:val="NumeroAFNegritaCaracter"/>
        </w:rPr>
        <w:t>5</w:t>
      </w:r>
      <w:r>
        <w:t>. El 22 de enero de 2008 el Fiscal General del Estado presentó su escrito de alegaciones en el que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Juzgado de lo Contencioso-Administrativo núm. 2 de Córdoba plantea cuestión de inconstitucionalidad en relación con los arts. 56 a 64 de la Ley del Parlamento de Andalucía 18/2003, de 29 de diciembre, de medidas fiscales y administrativas,</w:t>
      </w:r>
    </w:p>
    <w:p w:rsidR="00CF03FA" w:rsidRDefault="00CF03FA" w:rsidP="00CF03FA">
      <w:pPr>
        <w:pStyle w:val="TextoNormal"/>
      </w:pPr>
      <w:r>
        <w:t>preceptos que regulan el denominado Impuesto sobre depósito de residuos radiactivos.</w:t>
      </w:r>
    </w:p>
    <w:p w:rsidR="00CF03FA" w:rsidRDefault="00CF03FA" w:rsidP="00CF03FA">
      <w:pPr>
        <w:pStyle w:val="TextoNormal"/>
      </w:pPr>
      <w:r>
        <w:t xml:space="preserve">Conforme a lo dispuesto en el art. 37.1 LOTC este Tribunal Constitucional puede rechazar en trámite de admisión, mediante Auto, y con la sola audiencia del Fiscal General del </w:t>
      </w:r>
      <w:r>
        <w:lastRenderedPageBreak/>
        <w:t>Estado, aquellas cuestiones de inconstitucionalidad que adolezcan de la falta de los necesarios requisitos procesales que para su promoción se derivan de los arts. 163 CE y 35 a 37 LOTC o que fueran notoriamente infundadas, circunstancias ambas que concurren en el presente caso.</w:t>
      </w:r>
    </w:p>
    <w:p w:rsidR="00CF03FA" w:rsidRDefault="00CF03FA" w:rsidP="00CF03FA">
      <w:pPr>
        <w:pStyle w:val="TextoNormal"/>
      </w:pPr>
      <w:r>
        <w:t>Por lo que hace, en primer lugar, en relación con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en el presente caso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00CF03FA" w:rsidRDefault="00CF03FA" w:rsidP="00CF03FA">
      <w:pPr>
        <w:pStyle w:val="TextoNormal"/>
      </w:pPr>
      <w:r>
        <w:t>Sobre la incidencia que ambas cuestiones tienen en la adecuada realización del preceptivo trámite de audiencia a las partes y al Ministerio público nos hemos pronunciado ya en el ATC 456/2007, de 12 de diciembre, dictado como consecuencia de la cuestión de inconstitucionalidad núm. 6895-2007, planteada por el Juzgado de lo Contencioso-Administrativo núm. 4 de Córdoba, en cuyos fundamentos jurídicos 2 y 3 estimamos que el citado trámite de audiencia hubiera sido realizado correctamente si el órgano judicial, apreciada la duda de constitucionalidad suscitada en el proceso, la hubiera efectivamente compartido y trasladado de forma autónoma a las partes y al Fiscal, explicitando tanto los preceptos legales que pudieran ser inconstitucionales como los motivos, expuestos ambos en forma de normas constitucionales de contraste, en los que dicha inconstitucionalidad se fundamentaba. Al no hacerlo así, hemos de apreciar que se ha incumplido lo dispuesto en el art. 35.2 LOTC.</w:t>
      </w:r>
    </w:p>
    <w:p w:rsidR="00CF03FA" w:rsidRDefault="00CF03FA" w:rsidP="00CF03FA">
      <w:pPr>
        <w:pStyle w:val="TextoNormal"/>
      </w:pPr>
      <w:r>
        <w:t>Por otra parte, la concreta duda de constitucionalidad suscitada por el órgano judicial ha sido ya resuelta por el referido ATC 456/2007 en el que este Tribunal ha considerado que la cuestión planteada resultaba ser notoriamente infundada al apreciar que no se producía la vulneración de la prohibición de doble imposición contenida en el art. 6.3 LOFCA así como tampoco la del art. 157.2 CE en relación con el art. 9 LOFCA. Por ello, de acuerdo con las razones expuestas en el ya citado ATC 456/2007 a cuyos fundamentos jurídicos 4 a 8 procede remitirse íntegramente, la misma consideración ha de merecer la presente cuestión de inconstitucionalidad.</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cuestión de inconstitucionalidad núm. 9088-2007, planteada por el Juzgado de lo Contencioso-Administrativo núm. 2 de Córdoba.</w:t>
      </w:r>
    </w:p>
    <w:p w:rsidR="00CF03FA" w:rsidRDefault="00CF03FA" w:rsidP="00CF03FA">
      <w:pPr>
        <w:pStyle w:val="TextoNormal"/>
      </w:pPr>
    </w:p>
    <w:p w:rsidR="00CF03FA" w:rsidRDefault="00CF03FA" w:rsidP="00CF03FA">
      <w:pPr>
        <w:pStyle w:val="TextoNormal"/>
      </w:pPr>
      <w:r>
        <w:t>Madrid, a doce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15" w:name="AUTO_2008_54"/>
      <w:r>
        <w:lastRenderedPageBreak/>
        <w:t>AUTO 54/2008, de 13 de febrero de 2008</w:t>
      </w:r>
    </w:p>
    <w:bookmarkEnd w:id="115"/>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ECLI:ES:TC:2008:54A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la cuestión de inconstitucionalidad 2082-2007, planteada por el Juzgado de lo Penal núm. 4 de Murcia en relación con el artículo 153.1 del Código penal en la redacción dada por la Ley Orgánica 1/2004, 28 de diciembre, de medidas de protección integral contra la violencia de género.</w:t>
      </w:r>
    </w:p>
    <w:p w:rsidR="00CF03FA" w:rsidRDefault="00CF03FA" w:rsidP="00CF03FA">
      <w:pPr>
        <w:pStyle w:val="SntesisDescriptiva"/>
      </w:pPr>
    </w:p>
    <w:p w:rsidR="00CF03FA" w:rsidRDefault="00CF03FA" w:rsidP="00CF03FA">
      <w:pPr>
        <w:pStyle w:val="SntesisAnaltica"/>
      </w:pPr>
      <w:r>
        <w:t>Cuestión de inconstitucionalidad: aplicabilidad de la norma cuestionada; audiencia previa a las partes; violencia doméstica. Inadmisión de cuestión de inconstitucionalidad: causas de inadmisión.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7 de marzo de 2007 se registró en este Tribunal Constitucional un escrito del Juzgado de lo Penal núm. 4 de Murcia, fechado el día 26 de febrero, al que se acompañaba Auto del mismo órgano jurisdiccional de igual fecha, por el que se plantea cuestión de inconstitucionalidad en relación con el art. 153.1 CP, en redacción dada por el art. 37 de la Ley Orgánica 1/2004, 28 de diciembre, de medidas de protección integral contra la violencia de género.</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procesales de la presente cuestión de inconstitucionalidad son, sucintamente expuestos, los siguientes: </w:t>
      </w:r>
    </w:p>
    <w:p w:rsidR="00CF03FA" w:rsidRDefault="00CF03FA" w:rsidP="00CF03FA">
      <w:pPr>
        <w:pStyle w:val="TextoNormal"/>
      </w:pPr>
      <w:r>
        <w:t xml:space="preserve">a) El 5 de enero de 2007 se incoó por el Juzgado de Violencia sobre la Mujer núm.1 de Murcia diligencias urgentes en el juicio rápido núm.9-2007, al apreciar que los hechos referidos en atestado de la Jefatura Superior de Policía de Murcia núm. 590-2007 reunían, en principio, las circunstancias mencionadas en el art. 795 LECrim. Acto seguido, tras la práctica de las diligencias de investigación oportunas, el Juzgado de Violencia sobre la Mujer núm. 1 de Murcia convocó a las partes y al Ministerio Fiscal a la audiencia prescrita en el art. 798 LECrim en la que se dictó Auto de igual fecha, en el que ordenaba la continuación del procedimiento por los trámites del Capítulo IV del Título III del Libro IV de la LECrim, con adopción, en Auto separado de igual fecha, de la Orden de protección del art. 544 ter LECrim. </w:t>
      </w:r>
    </w:p>
    <w:p w:rsidR="00CF03FA" w:rsidRDefault="00CF03FA" w:rsidP="00CF03FA">
      <w:pPr>
        <w:pStyle w:val="TextoNormal"/>
      </w:pPr>
      <w:r>
        <w:t xml:space="preserve">En el mismo acto, se practicó la audiencia a las partes y al Ministerio público prescrita en el art. 800 LECrim, acordándose por Auto de igual fecha la apertura de juicio oral, presentando el Ministerio Fiscal en el acto su escrito de calificación, en el que consideraba que </w:t>
      </w:r>
      <w:r>
        <w:lastRenderedPageBreak/>
        <w:t xml:space="preserve">los hechos eran constitutivos de un delito de maltrato del art. 153.1 y 3 CP, del que debía responder en concepto de autor don Pablo Esteban Quintana Leyton, sin la concurrencia de circunstancias, interesando la imposición de una pena de doce meses de prisión, inhabilitación especial para el ejercicio de sufragio pasivo durante el tiempo de la condena, privación del derecho a tenencia y porte de arma durante tres años y prohibición de aproximarse a 300 metros de la víctima o de su domicilio, y de comunicación con la misma por plazo de treinta meses; frente a lo cual, la defensa del Sr. Leyton solicitó la libre absolución, procediéndose por el Juzgado de Violencia sobre la Mujer núm. 1 de Murcia, conforme al art. 800.2 LECrim, a convocar a las partes y al Ministerio Fiscal para la celebración de la vista oral el día 17 de enero de 2007, a las 10:00, en el Juzgado de lo Penal núm. 4 de Murcia. </w:t>
      </w:r>
    </w:p>
    <w:p w:rsidR="00CF03FA" w:rsidRDefault="00CF03FA" w:rsidP="00CF03FA">
      <w:pPr>
        <w:pStyle w:val="TextoNormal"/>
      </w:pPr>
      <w:r>
        <w:t xml:space="preserve">b) El día 9 de enero de 2007 el Juzgado de lo Penal núm. 4 de Murcia incoó el procedimiento de enjuiciamiento rápido núm.8-2007, confirmando el día y hora señalado para la celebración del acto, presentándose escrito de defensa, el día 10 de enero de 2007, y teniendo lugar el juicio el 17 de enero de 2007, en la forma prevenida en los arts. 785 y ss, si bien, una vez concluso, la Jueza que dirigió la vista hizo constar “suspensión del plazo para dictar la sentencia condenatoria (sic). Se abre un plazo común de diez días… por la posible inconstitucionalidad arts. 653, 1, 10, 14, 24.2 CE (sic)”. Declaración que se completó con la providencia de 17 de enero de 2007, en la que se concede “a las partes y al Ministerio Fiscal diez días, para que aleguen lo que deseen, sobre el posible planteamiento de cuestión de inconstitucionalidad respecto del art.171.4 CP, por posible vulneración del principio de proporcionalidad (arts.25, 17.1, 9.3, 24.2 y 53 CE) derechos a la dignidad de la persona (art.10 CE), a la igualdad (art.14 CE) y a la presunción de inocencia (art.24.2 CE), y que, trascurrido el plazo, se dictará auto… decidiendo plantear, o no, la cuestión instada de oficio”. </w:t>
      </w:r>
    </w:p>
    <w:p w:rsidR="00CF03FA" w:rsidRDefault="00CF03FA" w:rsidP="00CF03FA">
      <w:pPr>
        <w:pStyle w:val="TextoNormal"/>
      </w:pPr>
      <w:r>
        <w:t xml:space="preserve">En escrito de fecha 2 de febrero de 2007, la acusación particular dice “que nada tiene que manifestar acerca el posible planteamiento de la cuestión de inconstitucionalidad”. En escrito de fecha 26 de enero de 2007 la defensa del acusado solicita el planteamiento de la referida cuestión de inconstitucionalidad respecto del art. 153.1 CP, en relación con los arts. 10, 14 y 24 CE. </w:t>
      </w:r>
    </w:p>
    <w:p w:rsidR="00CF03FA" w:rsidRDefault="00CF03FA" w:rsidP="00CF03FA">
      <w:pPr>
        <w:pStyle w:val="TextoNormal"/>
      </w:pPr>
      <w:r>
        <w:t>c) En Auto de 26 de febrero de 2007 del Juzgado de lo Penal núm.4 de Murcia se plantea cuestión de inconstitucionalidad, en relación con el art.153.1 CE, por posible vulneración de los arts.10, 14 y 24.2 CE.</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providencia de la Sección Cuarta del Tribunal Constitucional de 11 de septiembre de 2007, se acuerda el traslado, conforme al art. 37.1 LOTC al Fiscal General del Estado, en orden a la admisibilidad de la cuestión de inconstitucionalidad, “en relación con el cumplimiento de los requisitos procesales (art.35.2 LOTC)”. </w:t>
      </w:r>
    </w:p>
    <w:p w:rsidR="00CF03FA" w:rsidRDefault="00CF03FA" w:rsidP="00CF03FA">
      <w:pPr>
        <w:pStyle w:val="TextoNormal"/>
      </w:pPr>
      <w:r>
        <w:t xml:space="preserve">En escrito, de ingreso el 8 de octubre de 2007, el Fiscal General del Estado interesa la inadmisión de la cuestión de inconstitucionalidad, y, subsidiariamente, su desestimación, porque en el traslado las partes, al final de la vista, y en la providencia en la que se acordó por el Juzgado de lo Penal núm. 4 de Murcia la audiencia prescrita en el art.35.2 LOTC: primero, no se especificaron los preceptos penales de cuya constitucionalidad se dudaba, pasando posteriormente, en la providencia, a cuestionar preceptos penales no aplicables al caso, así como preceptos constitucionales no invocados inicialmente; y, segundo, porque a la pena interesada por el Ministerio Fiscal le era aplicable la sustitución prescrita en el art. 89 CP, y así se solicitó por el Ministerio público, sin que la Magistrada tramitara ni resolviera dicha petición previa, que eliminaría la “desigual” consecuencia penológica invocada por el Juzgado. Finalmente, agrega el Fiscal General del Estado la sustancial identidad del </w:t>
      </w:r>
      <w:r>
        <w:lastRenderedPageBreak/>
        <w:t>Auto de planteamiento de la presente cuestión de inconstitucionalidad, con el dictado en la núm. 5939-2005, que da por reproducido.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Según se ha expuesto con mayor detalle en los antecedentes de esta resolución, el Juzgado de lo Penal núm. 4 de Murcia plantea cuestión de inconstitucionalidad, en Auto de 26 de febrero de 2007, en relación con el art. 153.1 del Código penal (CP), tal y como aparece introducido por el art. 37 de la Ley Orgánica 1/2004 28 de diciembre, medidas de protección integral contra la violencia de género.</w:t>
      </w:r>
    </w:p>
    <w:p w:rsidR="00CF03FA" w:rsidRDefault="00CF03FA" w:rsidP="00CF03FA">
      <w:pPr>
        <w:pStyle w:val="TextoNormal"/>
      </w:pPr>
    </w:p>
    <w:p w:rsidR="00CF03FA" w:rsidRDefault="00CF03FA" w:rsidP="00CF03FA">
      <w:pPr>
        <w:pStyle w:val="TextoNormal"/>
      </w:pPr>
      <w:r w:rsidRPr="00CF03FA">
        <w:rPr>
          <w:rStyle w:val="NumeroAFNegritaCaracter"/>
        </w:rPr>
        <w:t>2</w:t>
      </w:r>
      <w:r>
        <w:t>. En primer lugar cumple señalar que en el acto de conclusión de la vista, la titular del Juzgado, según consta en la copia del acta testimoniada de la Vista, da traslado a las partes y al Ministerio Fiscal, por “…diez días, por posible inconstitucionalidad (de los) arts. 653.1 (CP) y 10, 14 y 24.2 (CE)…”; expresión que se intenta clarificar (y corregir) en providencia de 7 de enero de 2007, en la que se expresa que el traslado del art. 35.2 LOTC se hace “respecto del art. 171.4 CP, por posible vulneración del principio de proporcionalidad (arts. 25, 17.1, 9.3, 24.2 y 53 CE), dignidad de la persona (art. 10 CE), igualdad (art. 14 CE) y presunción de inocencia (art. 24.2 CE)”. Finalmente, en el Auto de 26 de febrero de 2007 por el que se plantea la cuestión, se dice (tanto en el suplico, como en el antecedente de hecho tercero) que el precepto cuestionado es el art. 153.1 CP, en relación con los arts. 10, 14 y 24.2 CE</w:t>
      </w:r>
    </w:p>
    <w:p w:rsidR="00CF03FA" w:rsidRDefault="00CF03FA" w:rsidP="00CF03FA">
      <w:pPr>
        <w:pStyle w:val="TextoNormal"/>
      </w:pPr>
      <w:r>
        <w:t>Con respecto a la audiencia a las partes y al Ministerio Fiscal sobre la conveniencia de plantear la cuestión de inconstitucionalidad, exigida por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 y 98/2005 de 1 de marzo, FJ 2.</w:t>
      </w:r>
    </w:p>
    <w:p w:rsidR="00CF03FA" w:rsidRDefault="00CF03FA" w:rsidP="00CF03FA">
      <w:pPr>
        <w:pStyle w:val="TextoNormal"/>
      </w:pPr>
      <w:r>
        <w:t xml:space="preserve">Pues bien, como ya ha quedado indicado, en este caso —al margen de la confusión originaria del ordinal del precepto penal aplicable, en la vista— en la providencia de apertura del trámite de audiencia no se satisficieron las exigencias rituarias mínimas del trámite del art. 35.2 LOTC; ya que, como acertadamente expone el Ministerio Fiscal, primero se propone plantear la cuestión sobre el art. 171.4 CP (amenazas en el ámbito doméstico), precepto que no resulta aplicable al caso, y, finalmente, en el Auto de planteamiento, se ciñe al art. 153.1 CP (lesiones en el ámbito doméstico), precepto sí aplicable, pero respecto del cual no ha existido traslado (cfr. ATC 134/2006, de 4 abril, FJ 3). Este doble defecto, que afecta a </w:t>
      </w:r>
      <w:r>
        <w:lastRenderedPageBreak/>
        <w:t>la audiencia a las partes e impide resolver debidamente a este Tribunal acerca de la relevancia del precepto aplicable, determina por si solo, y sin mayor consideración, la inadmisión de plano de la presente cuestión de inconstitucionalidad.</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presente cuestión de inconstitucionalidad.</w:t>
      </w:r>
    </w:p>
    <w:p w:rsidR="00CF03FA" w:rsidRDefault="00CF03FA" w:rsidP="00CF03FA">
      <w:pPr>
        <w:pStyle w:val="TextoNormal"/>
      </w:pPr>
    </w:p>
    <w:p w:rsidR="00CF03FA" w:rsidRDefault="00CF03FA" w:rsidP="00CF03FA">
      <w:pPr>
        <w:pStyle w:val="TextoNormal"/>
      </w:pPr>
      <w:r>
        <w:t>Madrid, a trece de febrero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16" w:name="AUTO_2008_55"/>
      <w:r>
        <w:lastRenderedPageBreak/>
        <w:t>AUTO 55/2008, de 14 de febrero de 2008</w:t>
      </w:r>
    </w:p>
    <w:bookmarkEnd w:id="116"/>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ECLI:ES:TC:2008:55A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Acuerda el desistimiento en el recurso de amparo 2603-2007.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17" w:name="AUTO_2008_56"/>
      <w:r>
        <w:lastRenderedPageBreak/>
        <w:t>AUTO 56/2008, de 14 de febrero de 2008</w:t>
      </w:r>
    </w:p>
    <w:bookmarkEnd w:id="117"/>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ECLI:ES:TC:2008:56A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Acuerda el desistimiento en el recurso de amparo 3244-2007.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18" w:name="AUTO_2008_57"/>
      <w:r>
        <w:lastRenderedPageBreak/>
        <w:t>AUTO 57/2008, de 14 de febrero de 2008</w:t>
      </w:r>
    </w:p>
    <w:bookmarkEnd w:id="118"/>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ECLI:ES:TC:2008:57A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Pablo Pérez Tremps.</w:t>
      </w:r>
    </w:p>
    <w:p w:rsidR="00CF03FA" w:rsidRDefault="00CF03FA" w:rsidP="00CF03FA">
      <w:pPr>
        <w:pStyle w:val="SntesisDescriptiva"/>
      </w:pPr>
    </w:p>
    <w:p w:rsidR="00CF03FA" w:rsidRDefault="00CF03FA" w:rsidP="00CF03FA">
      <w:pPr>
        <w:pStyle w:val="SntesisDescriptiva"/>
      </w:pPr>
      <w:r>
        <w:t>Inadmite a trámite la cuestión de inconstitucionalidad 7986-2007, planteada por el Juzgado de lo Penal núm. 2 de Toledo en relación con el artículo 153.1 del Código penal, en la redacción dada por la Ley Orgánica 1/2004, de 28 de diciembre, de medidas de protección integral contra la violencia de género.</w:t>
      </w:r>
    </w:p>
    <w:p w:rsidR="00CF03FA" w:rsidRDefault="00CF03FA" w:rsidP="00CF03FA">
      <w:pPr>
        <w:pStyle w:val="SntesisDescriptiva"/>
      </w:pPr>
    </w:p>
    <w:p w:rsidR="00CF03FA" w:rsidRDefault="00CF03FA" w:rsidP="00CF03FA">
      <w:pPr>
        <w:pStyle w:val="SntesisAnaltica"/>
      </w:pPr>
      <w:r>
        <w:t>Cuestión de inconstitucionalidad: juicio de relevancia; requisitos procesales; violencia doméstica. Inadmisión de cuestión de inconstitucionalidad: causas de inadmisión.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11 de octubre de 2007 tuvo entrada en el Registro General de este Tribunal un escrito del Magistrado-Juez del Juzgado de lo Penal núm. 2 de Toledo al que se acompaña, junto al testimonio del correspondiente procedimiento, el Auto de 28 de septiembre de 2007, por el que se acuerda plantear cuestión de inconstitucionalidad en relación con el art. 153.1 del Código penal, en la redacción dada por la Ley Orgánica 1/2004, de 28 de diciembre, de medidas de protección integral contra la violencia de género, por su posible contradicción con el principio de igualdad (art. 14 CE), el derecho a la tutela judicial efectiva (art. 24.1 CE), el derecho a la presunción de inocencia (art. 24.2 CE), el principio de legalidad (art. 25.1 CE), la promoción de las condiciones para la libertad, la igualdad y la seguridad jurídica y, en fin, la interdicción de la arbitrariedad (art. 9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La cuestión trae causa del juicio rápido núm. 1068-2007 que se sigue en el Juzgado de lo Penal núm. 2 de Toledo por un presunto delito de maltrato en el ámbito familiar. </w:t>
      </w:r>
    </w:p>
    <w:p w:rsidR="00CF03FA" w:rsidRDefault="00CF03FA" w:rsidP="00CF03FA">
      <w:pPr>
        <w:pStyle w:val="TextoNormal"/>
      </w:pPr>
      <w:r>
        <w:t>Sólo formuló acusación el Ministerio Fiscal, quien el acto del juicio oral elevó a definitivas las conclusiones provisionales del escrito de acusación, calificó los hechos enjuiciados como constitutivos de un delito tipificado en el art. 135.2 del Código penal e interesó para el acusado las penas de un año de prisión, inhabilitación especial para el derecho de sufragio pasivo durante el tiempo de la condena, privación para la tenencia y porte de armas por tres años, la prohibición de acercarse a la víctima en cualquier lugar en el que se encuentre, así como a su domicilio, lugar de trabajo y cualquier otro que sea frecuentado por ella durante un plazo de tres años, la imposición de las costas y la obligación de indemnizar a la víctima en la cantidad de 192 € por sus lesiones, con aplicación a esta cantidad del interés legal previsto en el art. 576 LECrim.</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Concluido el procedimiento, con suspensión del plazo para dictar Sentencia, el Juzgado de lo Penal núm. 2 de Toledo, por providencia de 10 de septiembre de 2007, acordó oír a las partes y al Ministerio Fiscal, por plazo común e improrrogable de diez días, para que formulasen alegaciones sobre la pertinencia o no de plantear cuestión de inconstitucionalidad en los siguientes términos: </w:t>
      </w:r>
    </w:p>
    <w:p w:rsidR="00CF03FA" w:rsidRDefault="00CF03FA" w:rsidP="00CF03FA">
      <w:pPr>
        <w:pStyle w:val="TextoNormal"/>
      </w:pPr>
      <w:r>
        <w:t xml:space="preserve">“…Si el art. 153 n.2 del CP, redactado conforme a la Ley Orgánica 1/04 de 28 de diciembre de medidas de protección integral contra la violencia de género, en cuanto este precepto castiga los maltratos y las lesiones (pero no todas) sólo y cuando la víctima haya sido “esposa, o mujer que esté o haya estado ligada a él por una análoga relación de afectividad aun sin convivencia”, y precepto en trance de ser aplicado en el supuesto aquí enjuiciado, puede ser contraria a la Constitución en su art. 14 CE (en cuanto a la igualdad ante la Ley sin que pueda prevalecer discriminación alguna por razón se sexo) dado que en dicho tipo penal se sanciona en la relación de pareja más grave y especialmente la agresión cuando esta es del varón (al ser al respecto necesariamente sujeto pasivo del delito quien “sea o haya sido esposo o mujer”), estableciéndose así un tipo agravado de violencia en la pareja en función de la condición sexual de uno de sus miembros, pero no del otro, y sin que ello suponga una legítima discriminación positiva sino una “protección de la mujer” que genera por exceso efectiva desigualdad en materia (derecho penal) en que ello necesariamente afecta a la dignidad de la personal (violación posible también pues del art. 10 CE en cuanto a la dignidad de la persona y sus derechos inviolables) tanto del varón, como de la mujer ( a quien se sobreprotege estableciendo sobre ella en todo caso una presunción de especial vulnerabilidad), y dado que igualmente parece presuponer en todo caso dicho precepto, art. 153.1 CP, un plus de antijuridicidad o/y culpabilidad en el autor varón, sin posibilidad de prueba en contrario, que no sería obra suya sino de otros (del “grupo” hombres), configurando éste según los datos estadísticos y lo que resucitaría aspectos del denominado derecho penal de autor y de responsabilidad objetiva contra principios de derecho penal (y contra el art. 1.1. CE, en lo tocante a los valores de libertad, justicia e igualdad; contra el art. 9.3 y 9.2 CE en cuanto no se promueve en verdad tales valores sino que se conculcan arbitrariamente), lo que con total desprecio de la libertad (pues a mayor pena trasunto de esa mayor responsabilidad no atribuible pero que se atribuye indebidamente, más restricción de la libertad, contra el art. 17 CE en cuanto al derecho a la libertad y al art. 15, en cuanto al derecho a la integridad física y moral) podría suponer además, en cuanto sobre esta mayor culpabilidad o contenido del injusto establecido objetivamente y traducible en una mayor pena de prisión cuando el autor del delito es un varón, un atentado a la presunción de inocencia (en cuanto lo establecido en el art. 24.2 CE), e impidiéndose pues sobre el particular la valoración judicial adecuada al caso concreto (contra el derecho a la tutela judicial efectiva del art. 24.1 CE)”. </w:t>
      </w:r>
    </w:p>
    <w:p w:rsidR="00CF03FA" w:rsidRDefault="00CF03FA" w:rsidP="00CF03FA">
      <w:pPr>
        <w:pStyle w:val="TextoNormal"/>
      </w:pPr>
      <w:r>
        <w:t>Únicamente evacuó el trámite de alegaciones conferido la representación procesal del acusado, quien se pronunció a favor de plantear cuestión de inconstitucionalidad en relación con el art. 153.2 CP.</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En el Auto de planteamiento de la cuestión de inconstitucionalidad, el órgano judicial considera en síntesis que el art. 153.1 CP, al introducir el subtipo agravado de lesiones y disponer un diferente trato penológico para la misma conducta en razón del sexo del sujeto activo —hombre— y pasivo —mujer— del delito puede ser contrario al principio de igualdad (art. 14 CE), en relación con los valores de la dignidad de la persona, la justicia y la libertad (arts. 1, 10.1 y 17 CE), a los derechos a la tutela judicial efectiva (art. 24.1 CE) y a </w:t>
      </w:r>
      <w:r>
        <w:lastRenderedPageBreak/>
        <w:t>la presunción de inocencia (art. 24.2 CE), por presumir el ánimo típico del autor sin admitir prueba en contraria, al principio de legalidad penal, por introducir conceptos jurídicos indeterminados, y, en fin, a la promoción legislativa de las condiciones para la libertad, la igualdad y la seguridad jurídica y a la interdicción de la arbitrariedad (art. 9 CE).</w:t>
      </w:r>
    </w:p>
    <w:p w:rsidR="00CF03FA" w:rsidRDefault="00CF03FA" w:rsidP="00CF03FA">
      <w:pPr>
        <w:pStyle w:val="TextoNormal"/>
      </w:pPr>
    </w:p>
    <w:p w:rsidR="00CF03FA" w:rsidRDefault="00CF03FA" w:rsidP="00CF03FA">
      <w:pPr>
        <w:pStyle w:val="TextoNormal"/>
      </w:pPr>
      <w:r w:rsidRPr="00CF03FA">
        <w:rPr>
          <w:rStyle w:val="NumeroAFNegritaCaracter"/>
        </w:rPr>
        <w:t>5</w:t>
      </w:r>
      <w:r>
        <w:t>. La Sección Cuarta del Tribunal Constitucional, por providencia de 12 de diciembre de 2007, a los efectos que determina el art. 37.1 LOTC, acordó oír al Fiscal General del Estado para que, en el plazo de diez días, alegase lo que considerase conveniente acerca de la admisibilidad de la presente cuestión de inconstitucionalidad, en relación con el cumplimiento de los requisitos procesales (art. 35.2 LOTC).</w:t>
      </w:r>
    </w:p>
    <w:p w:rsidR="00CF03FA" w:rsidRDefault="00CF03FA" w:rsidP="00CF03FA">
      <w:pPr>
        <w:pStyle w:val="TextoNormal"/>
      </w:pPr>
    </w:p>
    <w:p w:rsidR="00CF03FA" w:rsidRDefault="00CF03FA" w:rsidP="00CF03FA">
      <w:pPr>
        <w:pStyle w:val="TextoNormal"/>
      </w:pPr>
      <w:r w:rsidRPr="00CF03FA">
        <w:rPr>
          <w:rStyle w:val="NumeroAFNegritaCaracter"/>
        </w:rPr>
        <w:t>6</w:t>
      </w:r>
      <w:r>
        <w:t>. El Fiscal General del Estado evacuó el trámite conferido mediante escrito registrado en fecha 16 de enero de 2008, en el que se remite, dándolas por reproducidas, a las alegaciones formuladas a la cuestión de inconstitucionalidad núm. 8970-2005, en las que, pronunciándose sobre el tema de fondo suscitado, descarta que el precepto legal cuestionado vulnere el principio de igualdad.</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Juzgado de lo Penal núm. 2 de Toledo plantea cuestión de inconstitucionalidad en relación con el art. 153.1 del Código penal (CP), en la redacción dada por la Ley Orgánica 1/2004, de 28 de diciembre, de medidas de protección integral contra la violencia de género, por su posible contradicción con el principio de igualdad (art. 14 CE), en relación con los valores de la dignidad de la persona, la justicia y la libertad (arts. 1, 10.1 y 17 CE), con los derechos a la tutela judicial efectiva (art.  24.1 CE) y a la presunción de inocencia (art. 24.2 CE), con el principio de legalidad penal, con la promoción legislativa de las condiciones para la libertad, la igualdad y la seguridad jurídica y, en fin, con la interdicción de la arbitrariedad (art.  9 CE).</w:t>
      </w:r>
    </w:p>
    <w:p w:rsidR="00CF03FA" w:rsidRDefault="00CF03FA" w:rsidP="00CF03FA">
      <w:pPr>
        <w:pStyle w:val="TextoNormal"/>
      </w:pPr>
    </w:p>
    <w:p w:rsidR="00CF03FA" w:rsidRDefault="00CF03FA" w:rsidP="00CF03FA">
      <w:pPr>
        <w:pStyle w:val="TextoNormal"/>
      </w:pPr>
      <w:r w:rsidRPr="00CF03FA">
        <w:rPr>
          <w:rStyle w:val="NumeroAFNegritaCaracter"/>
        </w:rPr>
        <w:t>2</w:t>
      </w:r>
      <w:r>
        <w:t>. Es reiterada doctrina constitucional que la cuestión de inconstitucionalidad es un delicado instrumento procesal que permite la colaboración entre los órganos judiciales y la jurisdicción constitucional para cumplir el mandato de asegurar la supremacía de la Constitución mediante la depuración del Ordenamiento jurídico a través de la expulsión de éste de las normas con fuerza de ley contrarias a aquélla (AATC 367/2003, de 13 de noviembre; 403/2006, de 8 de noviembre, por todas). A fin de cumplir adecuadamente este propósito, el art. 37.1 LOTC permite a este Tribunal rechazar en trámite de admisión la cuestión de inconstitucionalidad, entre otros supuestos, “cuando faltaren las condiciones procesales”.</w:t>
      </w:r>
    </w:p>
    <w:p w:rsidR="00CF03FA" w:rsidRDefault="00CF03FA" w:rsidP="00CF03FA">
      <w:pPr>
        <w:pStyle w:val="TextoNormal"/>
      </w:pPr>
      <w:r>
        <w:t xml:space="preserve">Una de las condiciones procesales arbitradas al respecto en el art. 37.1 LOTC es que la norma legal cuestionada sobre la que versa la duda de inconstitucionalidad del órgano judicial sea aplicable al caso y que de su validez dependa el fallo a adoptar en el proceso a quo. De acuerdo con una consolidada doctrina constitucional el llamado juicio de relevancia constituye uno de los requisitos esenciales para la procedibilidad de la cuestión de inconstitucionalidad, ya que a través del mismo se garantiza la interrelación necesaria entre el fallo del proceso a quo y la validez de la norma cuestionada, habiendo sido definido por este Tribunal como el esquema argumental dirigido a probar que el fallo del proceso judicial depende de la validez de aquélla.  Es evidente que la formulación del juicio de relevancia </w:t>
      </w:r>
      <w:r>
        <w:lastRenderedPageBreak/>
        <w:t>lleva implícito como paso previo el denominado juicio de aplicabilidad, esto es, la explicitación del precepto o de los preceptos aplicables al caso y de cuya inconstitucionalidad el órgano judicial duda, pues sólo una vez que hayan sido concretados dichos preceptos aquél puede exteriorizar el expresado nexo entre su validez y el fallo que debería recaer (ATC 360/2006, de 10 de octubre, por todos).</w:t>
      </w:r>
    </w:p>
    <w:p w:rsidR="00CF03FA" w:rsidRDefault="00CF03FA" w:rsidP="00CF03FA">
      <w:pPr>
        <w:pStyle w:val="TextoNormal"/>
      </w:pPr>
    </w:p>
    <w:p w:rsidR="00CF03FA" w:rsidRDefault="00CF03FA" w:rsidP="00CF03FA">
      <w:pPr>
        <w:pStyle w:val="TextoNormal"/>
      </w:pPr>
      <w:r w:rsidRPr="00CF03FA">
        <w:rPr>
          <w:rStyle w:val="NumeroAFNegritaCaracter"/>
        </w:rPr>
        <w:t>3</w:t>
      </w:r>
      <w:r>
        <w:t>. En el presente supuesto se incumplen, sin necesidad de detenerse en otro tipo de consideraciones, las condiciones procesales exigidas para el planteamiento de la cuestión de inconstitucionalidad, pues el precepto legal cuestionado en el Auto de planteamiento de la cuestión de inconstitucionalidad, el art. 153.1 CP, no es aplicable al caso, ya que sólo formuló acusación el Ministerio Fiscal, que, según resulta de las actuaciones del proceso a quo y del indicado Auto, calificó los hechos como constitutivos de un delito de maltrato en el ámbito familiar previsto y penado, no en el art. 153.1 CP, sino en el art. 153.2 CP. En este sentido, en la providencia por la que se acordó abrir el trámite de audiencia a las partes personadas y al Ministerio Fiscal sobre la pertinencia o no de plantear la cuestión de inconstitucionalidad se señaló como objeto de la misma, en primer término, el art. 153.2 CP.</w:t>
      </w:r>
    </w:p>
    <w:p w:rsidR="00CF03FA" w:rsidRDefault="00CF03FA" w:rsidP="00CF03FA">
      <w:pPr>
        <w:pStyle w:val="TextoNormal"/>
      </w:pPr>
      <w:r>
        <w:t>Por lo demás, en el Auto de planteamiento el órgano judicial promotor de la cuestión de inconstitucionalidad no justifica en modo alguno la aplicabilidad al caso del art. 153.1 CE ni ofrece una argumentación razonable sobre la existencia de una relación de dependencia entre el pronunciamiento de la validez de dicho precepto y el fallo que ha de dictar en el proceso del que trae causa la cuestión. Por el contrario, en el Auto de planteamiento el órgano judicial razona sobre su obligada vinculación al principio acusatorio, incurriendo no obstante en un error en el momento de identificar el precepto legal en el que el Ministerio Fiscal consideró subsumibles los hechos enjuiciados y por el que, en consecuencia, formuló la acusación (fundamento de derecho cuarto).</w:t>
      </w:r>
    </w:p>
    <w:p w:rsidR="00CF03FA" w:rsidRDefault="00CF03FA" w:rsidP="00CF03FA">
      <w:pPr>
        <w:pStyle w:val="TextoNormal"/>
      </w:pPr>
      <w:r>
        <w:t>Así pues, no se satisface el requisito de que el precepto legal cuestionado —art. 153.1 CP—, sea aplicable al caso y de su validez dependa el fallo (art. 37.1 LOTC) [AATC 401/2006 y 403/2006, de 8 de noviembre].</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presente cuestión de inconstitucionalidad.</w:t>
      </w:r>
    </w:p>
    <w:p w:rsidR="00CF03FA" w:rsidRDefault="00CF03FA" w:rsidP="00CF03FA">
      <w:pPr>
        <w:pStyle w:val="TextoNormal"/>
      </w:pPr>
    </w:p>
    <w:p w:rsidR="00CF03FA" w:rsidRDefault="00CF03FA" w:rsidP="00CF03FA">
      <w:pPr>
        <w:pStyle w:val="TextoNormal"/>
      </w:pPr>
      <w:r>
        <w:t>Madrid, a catorce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19" w:name="AUTO_2008_58"/>
      <w:r>
        <w:lastRenderedPageBreak/>
        <w:t>AUTO 58/2008, de 18 de febrero de 2008</w:t>
      </w:r>
    </w:p>
    <w:bookmarkEnd w:id="119"/>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ECLI:ES:TC:2008:58A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Estima el recurso de súplica sobre inadmisión del recurso de amparo 1051-2005, promovido por doña María Eugenia Tuesta Pérez en pleito civil.</w:t>
      </w:r>
    </w:p>
    <w:p w:rsidR="00CF03FA" w:rsidRDefault="00CF03FA" w:rsidP="00CF03FA">
      <w:pPr>
        <w:pStyle w:val="SntesisDescriptiva"/>
      </w:pPr>
    </w:p>
    <w:p w:rsidR="00CF03FA" w:rsidRDefault="00CF03FA" w:rsidP="00CF03FA">
      <w:pPr>
        <w:pStyle w:val="SntesisAnaltica"/>
      </w:pPr>
      <w:r>
        <w:t>Plazos del recurso de amparo: plazo de interposición. Recurso de súplica contra providencias de inadmisión del Tribunal Constitucional: estimación.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16 de febrero de 2005 tuvo entrada en el Registro General de este Tribunal el recurso de amparo interpuesto por doña María Eugenia Tuesta Pérez y otros contra el Auto dictado por la Sección Primera de la Audiencia Provincial de Valladolid, de fecha 17 de enero de 2005, que estimó parcialmente el recurso de apelación interpuesto contra el Auto dictado en fecha 25 de febrero de 2004 por el Juzgado de Primera Instancia núm. 2 de Valladolid y revocó dicha resolución en el único aspecto de dejar sin efecto la imposición de las costas del trámite en la primera instancia.</w:t>
      </w:r>
    </w:p>
    <w:p w:rsidR="00CF03FA" w:rsidRDefault="00CF03FA" w:rsidP="00CF03FA">
      <w:pPr>
        <w:pStyle w:val="TextoNormal"/>
      </w:pPr>
    </w:p>
    <w:p w:rsidR="00CF03FA" w:rsidRDefault="00CF03FA" w:rsidP="00CF03FA">
      <w:pPr>
        <w:pStyle w:val="TextoNormal"/>
      </w:pPr>
      <w:r w:rsidRPr="00CF03FA">
        <w:rPr>
          <w:rStyle w:val="NumeroAFNegritaCaracter"/>
        </w:rPr>
        <w:t>2</w:t>
      </w:r>
      <w:r>
        <w:t>. Con fecha 25 de septiembre de 2007 la Sección Tercera de este Tribunal acordó la inadmisión por unanimidad de la indicada demanda de amparo en atención a que en la misma concurría la causa de extemporaneidad prevenida en el art. 50.1 a), en relación con el art. 44.2 LOTC en su redacción anterior a la aprobada por la Ley Orgánica 6/2007, de 24 de mayo, aplicable en este caso en virtud de lo dispuesto en la disposición transitoria tercera de la referida Ley Orgánica.</w:t>
      </w:r>
    </w:p>
    <w:p w:rsidR="00CF03FA" w:rsidRDefault="00CF03FA" w:rsidP="00CF03FA">
      <w:pPr>
        <w:pStyle w:val="TextoNormal"/>
      </w:pPr>
    </w:p>
    <w:p w:rsidR="00CF03FA" w:rsidRDefault="00CF03FA" w:rsidP="00CF03FA">
      <w:pPr>
        <w:pStyle w:val="TextoNormal"/>
      </w:pPr>
      <w:r w:rsidRPr="00CF03FA">
        <w:rPr>
          <w:rStyle w:val="NumeroAFNegritaCaracter"/>
        </w:rPr>
        <w:t>3</w:t>
      </w:r>
      <w:r>
        <w:t>. Por escrito registrado el 17 de octubre de 2007 la representación procesal de los recurrentes solicitó que se dejara sin efecto la providencia de 25 de septiembre de 2007, dado el error manifiesto en que incurre al decretar la inadmisión del recurso de amparo por extemporaneidad.</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El Ministerio Fiscal, mediante escrito registrado con fecha 25 de octubre de 2007, interpuso recurso de súplica ex art. 50.2 LOTC contra la providencia de 25 de septiembre, en el que interesa que se acuerde la nulidad de la referida providencia. El motivo del recurso se basa en el error cometido en la resolución impugnada, que inadmite el recurso de amparo al considerar que incurre en extemporaneidad, cuando lo cierto es que la demanda de amparo se interpuso el día 16 de febrero de 2005, siendo la resolución judicial a la que se </w:t>
      </w:r>
      <w:r>
        <w:lastRenderedPageBreak/>
        <w:t>imputa la vulneración del derecho fundamental de 17 de enero de 2005 y habiéndosele notificado la misma a la parte recurrente en amparo el día 20 de enero del mismo año, de tal modo que el señalado plazo vencía el día 17 de febrero de 2005.</w:t>
      </w:r>
    </w:p>
    <w:p w:rsidR="00CF03FA" w:rsidRDefault="00CF03FA" w:rsidP="00CF03FA">
      <w:pPr>
        <w:pStyle w:val="TextoNormal"/>
      </w:pPr>
    </w:p>
    <w:p w:rsidR="00CF03FA" w:rsidRDefault="00CF03FA" w:rsidP="00CF03FA">
      <w:pPr>
        <w:pStyle w:val="TextoNormal"/>
      </w:pPr>
      <w:r w:rsidRPr="00CF03FA">
        <w:rPr>
          <w:rStyle w:val="NumeroAFNegritaCaracter"/>
        </w:rPr>
        <w:t>5</w:t>
      </w:r>
      <w:r>
        <w:t>. Mediante providencia de 22 de octubre de 2007, subsanada por otra de 31 de octubre, esta Sección acordó unir a las actuaciones los escritos presentados por la representación procesal de los demandantes de amparo y por el Ministerio Fiscal, por el que este último interpuso recurso de súplica, dar traslado con entrega de copia del escrito de recurso a la representación de los recurrentes y concederle un plazo común de tres días a fin de que alegue lo que estime pertinente (art. 93.2 LOTC).</w:t>
      </w:r>
    </w:p>
    <w:p w:rsidR="00CF03FA" w:rsidRDefault="00CF03FA" w:rsidP="00CF03FA">
      <w:pPr>
        <w:pStyle w:val="TextoNormal"/>
      </w:pPr>
    </w:p>
    <w:p w:rsidR="00CF03FA" w:rsidRDefault="00CF03FA" w:rsidP="00CF03FA">
      <w:pPr>
        <w:pStyle w:val="TextoNormal"/>
      </w:pPr>
      <w:r w:rsidRPr="00CF03FA">
        <w:rPr>
          <w:rStyle w:val="NumeroAFNegritaCaracter"/>
        </w:rPr>
        <w:t>6</w:t>
      </w:r>
      <w:r>
        <w:t>. La parte recurrente formuló alegaciones mediante escrito registrado el 19 de noviembre de 2007, en el que manifiesta su plena conformidad con el recurso de súplica interpuesto por el Ministerio Fiscal y solicita a este Tribunal que dicte una resolución estimatoria del referido recurso.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La argumentación expuesta por el Ministerio Fiscal en su recurso de súplica ha hecho reconsiderar a esta Sección lo declarado en providencia de 25 de septiembre de 2007 acerca de la extemporaneidad de la presentación del presente recurso de amparo.</w:t>
      </w:r>
    </w:p>
    <w:p w:rsidR="00CF03FA" w:rsidRDefault="00CF03FA" w:rsidP="00CF03FA">
      <w:pPr>
        <w:pStyle w:val="TextoNormal"/>
      </w:pPr>
    </w:p>
    <w:p w:rsidR="00CF03FA" w:rsidRDefault="00CF03FA" w:rsidP="00CF03FA">
      <w:pPr>
        <w:pStyle w:val="TextoNormal"/>
      </w:pPr>
      <w:r w:rsidRPr="00CF03FA">
        <w:rPr>
          <w:rStyle w:val="NumeroAFNegritaCaracter"/>
        </w:rPr>
        <w:t>2</w:t>
      </w:r>
      <w:r>
        <w:t>. Tal y como pone de manifiesto una constante jurisprudencia, de la que es un ejemplo la STC 26/1995, de 6 de febrero, el escrito rector del proceso es la demanda de amparo, y con arreglo a lo que en ella se expone queda delimitada la pretensión.  Procede, por tanto, recoger los puntos esenciales de la misma (FJ 3).</w:t>
      </w:r>
    </w:p>
    <w:p w:rsidR="00CF03FA" w:rsidRDefault="00CF03FA" w:rsidP="00CF03FA">
      <w:pPr>
        <w:pStyle w:val="TextoNormal"/>
      </w:pPr>
      <w:r>
        <w:t>Son hechos relevantes deducidos de la demanda y documentos que la acompañan los siguientes:</w:t>
      </w:r>
    </w:p>
    <w:p w:rsidR="00CF03FA" w:rsidRDefault="00CF03FA" w:rsidP="00CF03FA">
      <w:pPr>
        <w:pStyle w:val="TextoNormal"/>
      </w:pPr>
      <w:r>
        <w:t>a) En el juicio de menor cuantía núm. 803-1986 del Juzgado de Primera Instancia núm. 2 de Valladolid, promovido por la Comunidad de propietarios de la carretera de circunvalación núm. 57 y 59 de Valladolid y otros contra la Unión y el Fénix Español, S.A., y otros, entre los que se encuentran los hoy recurrentes en amparo, se dictó Sentencia el día 29 de junio de 1989. En la misma se condenó a la parte demandada a realizar solidariamente a su costa determinadas obras, referidas en el fundamento noveno, respecto del inmueble citado. Esta Resolución, que fue recurrida en apelación, resultó confirmada en lo esencial por la Audiencia Provincial de Valladolid mediante Sentencia de 3 de octubre de 1991. Se interpuso recurso de casación que fue inadmitido por el Tribunal Supremo por Auto de 10 de septiembre de 1992.</w:t>
      </w:r>
    </w:p>
    <w:p w:rsidR="00CF03FA" w:rsidRDefault="00CF03FA" w:rsidP="00CF03FA">
      <w:pPr>
        <w:pStyle w:val="TextoNormal"/>
      </w:pPr>
      <w:r>
        <w:t>b) Instada la ejecución de Sentencia, se promovió incidente de ejecución, que fue resuelto por Auto núm. 177, de 25 de febrero de 2004, del Juzgado de Primera Instancia núm. 2 de Valladolid. Mediante Auto de 20 de septiembre de 2004 la Sección Primera de la Audiencia Provincial de Valladolid desestimó el recurso de apelación interpuesto contra el anterior.</w:t>
      </w:r>
    </w:p>
    <w:p w:rsidR="00CF03FA" w:rsidRDefault="00CF03FA" w:rsidP="00CF03FA">
      <w:pPr>
        <w:pStyle w:val="TextoNormal"/>
      </w:pPr>
      <w:r>
        <w:t xml:space="preserve">c) Se formuló incidente de nulidad de actuaciones, argumentándose que el señalado Auto de 20 de septiembre de 2004 de la Audiencia Provincial de Valladolid incurría en vicio de incongruencia omisiva con relación a tres grupos de alegaciones del recurso que en su día se formuló. Por Sentencia de 7 de diciembre de 2004 la Sala declaró “la nulidad del Auto </w:t>
      </w:r>
      <w:r>
        <w:lastRenderedPageBreak/>
        <w:t>de esta Sala de fecha veinte de setiembre del año en curso, retrotrayéndose las actuaciones al momento procesal de señalamiento para deliberación, votación y fallo del procedimiento”.</w:t>
      </w:r>
    </w:p>
    <w:p w:rsidR="00CF03FA" w:rsidRDefault="00CF03FA" w:rsidP="00CF03FA">
      <w:pPr>
        <w:pStyle w:val="TextoNormal"/>
      </w:pPr>
      <w:r>
        <w:t>d) Retrotraídas las actuaciones, por la Sección Primera de la Audiencia Provincial de Valladolid se dictó un nuevo Auto, de 17 de enero de 2005. Este último, que sustituyó al dictado en fecha 20 de noviembre de 2004, examina de nuevo los argumentos presentados por las partes en apelación, dándoles nueva respuesta y decidiendo la admisión del recurso de apelación únicamente en lo relativo a la imposición de costas.</w:t>
      </w:r>
    </w:p>
    <w:p w:rsidR="00CF03FA" w:rsidRDefault="00CF03FA" w:rsidP="00CF03FA">
      <w:pPr>
        <w:pStyle w:val="TextoNormal"/>
      </w:pPr>
    </w:p>
    <w:p w:rsidR="00CF03FA" w:rsidRDefault="00CF03FA" w:rsidP="00CF03FA">
      <w:pPr>
        <w:pStyle w:val="TextoNormal"/>
      </w:pPr>
      <w:r w:rsidRPr="00CF03FA">
        <w:rPr>
          <w:rStyle w:val="NumeroAFNegritaCaracter"/>
        </w:rPr>
        <w:t>3</w:t>
      </w:r>
      <w:r>
        <w:t>. En consecuencia la resolución judicial que se cuestiona por entender la parte que es la que ha causado la vulneración de su derecho fundamental es el Auto de la Audiencia Provincial de Valladolid de 17 de enero de 2005.</w:t>
      </w:r>
    </w:p>
    <w:p w:rsidR="00CF03FA" w:rsidRDefault="00CF03FA" w:rsidP="00CF03FA">
      <w:pPr>
        <w:pStyle w:val="TextoNormal"/>
      </w:pPr>
      <w:r>
        <w:t>Habiéndosele notificado a la parte este Auto en fecha 20 de enero de 2005 ha de concluirse que el presente recurso de amparo, cuya entrada en el Registro General del Tribunal Constitucional tuvo lugar el día 16 de febrero de 2005, se interpuso dentro del plazo legalmente establecido al efecto.</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Estimar el recurso de súplica interpuesto por el Ministerio Fiscal, dejando sin efecto la providencia de 25 de septiembre de 2007.</w:t>
      </w:r>
    </w:p>
    <w:p w:rsidR="00CF03FA" w:rsidRDefault="00CF03FA" w:rsidP="00CF03FA">
      <w:pPr>
        <w:pStyle w:val="TextoNormal"/>
      </w:pPr>
    </w:p>
    <w:p w:rsidR="00CF03FA" w:rsidRDefault="00CF03FA" w:rsidP="00CF03FA">
      <w:pPr>
        <w:pStyle w:val="TextoNormal"/>
      </w:pPr>
      <w:r>
        <w:t>Madrid, a dieciocho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20" w:name="AUTO_2008_59"/>
      <w:r>
        <w:lastRenderedPageBreak/>
        <w:t>AUTO 59/2008, de 20 de febrero de 2008</w:t>
      </w:r>
    </w:p>
    <w:bookmarkEnd w:id="120"/>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ECLI:ES:TC:2008:59A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Acuerda la suspensión parcial en el recurso de amparo 6095-2005, promovido por don Antonio Gamero San Juan en causa por delito contra la salud pública.</w:t>
      </w:r>
    </w:p>
    <w:p w:rsidR="00CF03FA" w:rsidRDefault="00CF03FA" w:rsidP="00CF03FA">
      <w:pPr>
        <w:pStyle w:val="SntesisDescriptiva"/>
      </w:pPr>
    </w:p>
    <w:p w:rsidR="00CF03FA" w:rsidRDefault="00CF03FA" w:rsidP="00CF03FA">
      <w:pPr>
        <w:pStyle w:val="SntesisAnaltica"/>
      </w:pPr>
      <w:r>
        <w:t>Suspensión cautelar de sentencias penales: prisión de tres años,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Con fecha 2 de septiembre de 2005 por la representación procesal de don Antonio Gamero San Juan se interpone recurso de amparo, por vulneración del derecho a la presunción de inocencia del art. 24. 2 CE, contra la Sentencia núm. 227/2005, de 8 de julio, de la Sección de Algeciras de la Audiencia Provincial de Cádiz, desestimatoria del recurso de apelación núm.54/2005, y contra la Sentencia núm.47/2005 de 25 de enero, del Juzgado de lo Penal núm.3 de Algeciras (procedimiento abreviado núm.526-2004), que condena a los señores Miguel Angel Borrayll Ferreras. Mohamed Mohamed Kaddur, Antonio Gamero San Juan y José Rodríguez Pichaco, como autores de un delito contra la salud pública de los arts.368 (sustancias que no causan grave daño a la salud) y 369.3 (notoria importancia) CP, sin la concurrencia de circunstancias modificativas, a las penas, para el Sr. Borrallo, dada la concurrencia de la circunstancia del art.376 CP, de dos años de prisión,13.700 € de multa, con la responsabilidad subsidiaria de un día de privación de libertad en caso de impago y una cuarta parte de las costas; para los Srs. Kaddur, Gamero San Juan y Rodríguez Pichaco, a cada uno de ellos a la pena de 3 años y un mes de prisión, 15.000 € de multa, con responsabilidad subsidiaria de un día de privación de libertad en caso de impago, y una cuarta parte de las costas. El referido recurso, tras las oportunas alegaciones fácticas y jurídicas sobre las notorias contradicciones e insuficiencias de los hechos probados, así como de la incorrecta apreciación de la prueba de cargo, basada en la declaración de coimputado, concluye solicitando el otorgamiento del amparo, mediante la declaración de nulidad de las sentencias recurridas para el restablecimiento del derecho vulnerado; por otrosí se interesa, conforme al art. 56 de la Ley Orgánica del Tribunal Constitucional, la suspensión de la sentencia número 227/2005, de 8 de julio de la Audiencia Provincial de Cádiz, dado que su ejecución haría perder al amparo su finalidad.</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Mediante providencia de 10 de julio de 2007 la Sala Segunda del Tribunal Constitucional acuerda admitir a trámite la demanda de amparo presentada por el Sr. Gamero San Juan, y formar la oportuna pieza de suspensión, en los términos del art. 56 LOTC 2/79, de </w:t>
      </w:r>
      <w:r>
        <w:lastRenderedPageBreak/>
        <w:t>3 de octubre, y la disposición transitoria 3ª de la Ley Orgánica 6/2007 de 24 de mayo, concediendo un plazo de tres días al recurrente y al Ministerio Fiscal para alegaciones.</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Mediante escrito registrado el 19 de julio de 2007 por la representación del Sr. Gamero San Juan se evacúa el traslado conferido, reiterando sustancialmente las alegaciones efectuadas por otrosí en la demanda de amparo (pérdida de la finalidad del amparo por el contenido patrimonial de la condena, así como por la pena privativa de libertad de tres años y un mes de prisión) y con cita del ATC 173/1999. </w:t>
      </w:r>
    </w:p>
    <w:p w:rsidR="00CF03FA" w:rsidRDefault="00CF03FA" w:rsidP="00CF03FA">
      <w:pPr>
        <w:pStyle w:val="TextoNormal"/>
      </w:pPr>
      <w:r>
        <w:t>4.En escrito de ingreso el 25 de julio de 2007 el Ministerio Fiscal, tras exponer la doctrina constitucional derivada del art. 56 LOTC, de no suspensión de la ejecución de la resolución judicial, salvo acreditación suficiente de la pérdida de la finalidad del amparo, y la inexistencia de lesión para el interés público o los derechos fundamentales de terceros, recuerda la posibilidad de suspensión de las penas privativas de libertad inferiores a cinco años, ponderando la gravedad y naturaleza de los hechos, el bien jurídico protegido, la trascendencia social, la duración de la pena, el tiempo que reste de cumplimiento, la posibilidad de eludir la acción de la justicia y la desprotección a las víctimas. A continuación efectúa la ponderación en este caso concreto respecto del Sr. Gamero San Juan, describiendo óomo se trata de sustancia que no causa grave a la salud, cómo el autor es español con domicilio en España, y arraigo suficiente como para estimar que no se sustraerá a la acción de la justicia, sin que exista grave daño a los intereses generales o los derechos fundamentales de tercero más allá del propio de toda inejecución de resolución judicial, concluye interesando la suspensión de la pena privativa de libertad y, en su caso, de la subsidiaria responsabilidad por impago.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inciso de este mismo precepto que la suspensión, no obstante, podrá denegarse cuando de aquélla “pueda seguirse perturbación grave de los intereses generales, o de los derechos fundamentales o libertades públicas de un tercero”.</w:t>
      </w:r>
    </w:p>
    <w:p w:rsidR="00CF03FA" w:rsidRDefault="00CF03FA" w:rsidP="00CF03FA">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ya que, como se reitera en el ATC 366/2006, de 23 de octubre,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CF03FA" w:rsidRDefault="00CF03FA" w:rsidP="00CF03FA">
      <w:pPr>
        <w:pStyle w:val="TextoNormal"/>
      </w:pPr>
      <w: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w:t>
      </w:r>
      <w:r>
        <w:lastRenderedPageBreak/>
        <w:t>cuya vulneración denuncia, en el caso de una sentencia estimatoria, sea tardío e impida definitivamente que la restauración sea efectiva (entre otros muchos, ATC 198/2006, de 19 de junio, FJ 1).</w:t>
      </w:r>
    </w:p>
    <w:p w:rsidR="00CF03FA" w:rsidRDefault="00CF03FA" w:rsidP="00CF03FA">
      <w:pPr>
        <w:pStyle w:val="TextoNormal"/>
      </w:pPr>
      <w:r>
        <w:t>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00CF03FA" w:rsidRDefault="00CF03FA" w:rsidP="00CF03FA">
      <w:pPr>
        <w:pStyle w:val="TextoNormal"/>
      </w:pPr>
    </w:p>
    <w:p w:rsidR="00CF03FA" w:rsidRDefault="00CF03FA" w:rsidP="00CF03FA">
      <w:pPr>
        <w:pStyle w:val="TextoNormal"/>
      </w:pPr>
      <w:r w:rsidRPr="00CF03FA">
        <w:rPr>
          <w:rStyle w:val="NumeroAFNegritaCaracter"/>
        </w:rPr>
        <w:t>2</w:t>
      </w:r>
      <w:r>
        <w:t>. En el presente caso, con nula argumentación por parte del recurrente (ATC 91/2005), se solicita la suspensión de las penas confirmadas en la Sentencia núm 297/2005, de 8 de julio de la Audiencia Provincial de Cádiz, consistentes en tres años y un día de privación de libertad, 15.000 euros de multa, con la responsabilidad subsidiaria en caso de impago y una cuarta parte de las costas.</w:t>
      </w:r>
    </w:p>
    <w:p w:rsidR="00CF03FA" w:rsidRDefault="00CF03FA" w:rsidP="00CF03FA">
      <w:pPr>
        <w:pStyle w:val="TextoNormal"/>
      </w:pPr>
      <w:r>
        <w:t>Respecto de la pena privativa de libertad, a tenor de su carácter penológico menos grave (art. 33.3 CP), y de que (ATC 338/2005, FJ 2) “si se compara la duración de la misma (tres años y un día) con el tiempo que requiere la tramitación de un proceso de amparo como el presente, ha de concluirse que no suspender su ejecución ocasionaría un perjuicio irreparable, que privaría en parte o, incluso, en todo de eficacia a un eventual fallo estimatorio”. Así mismo, dada la naturaleza de la sustancia traficada (de las que no causan grave daño a la salud), y el arraigo que presenta el recurrente, debe estimarse que su cumplimiento generaría perjuicios irremediables para el caso de estimación del amparo interpuesto, por lo que procede su suspensión.</w:t>
      </w:r>
    </w:p>
    <w:p w:rsidR="00CF03FA" w:rsidRDefault="00CF03FA" w:rsidP="00CF03FA">
      <w:pPr>
        <w:pStyle w:val="TextoNormal"/>
      </w:pPr>
      <w:r>
        <w:t>En segundo término, respecto de la pena de multa y las costas, como hemos afirmado en el citado ATC 149/2006, FJ 2, tanto las penas de multa e indemnización como el pronunciamiento referido a las costas procesales son reconducibles a términos económicos, por lo que les resulta aplicable la doctrina de la no suspensión por su reparabilidad; tanto más cuanto el actor, que no ha formulado alegación alguna en el presente incidente, ni siquiera ha intentado justificar el carácter irreversible de los daños que podría ocasionarle el cumplimiento de la condena impuesta. En tales circunstancias hemos de concluir que no procede la suspensión de las mencionadas sanciones a tenor de su contenido estrictamente patrimonial, y, no habiéndose acreditado irreparabilidad del perjuicio, ni insuficiencia de recursos para su satisfacción, no procede acordar la suspensión solicitada.</w:t>
      </w:r>
    </w:p>
    <w:p w:rsidR="00CF03FA" w:rsidRDefault="00CF03FA" w:rsidP="00CF03FA">
      <w:pPr>
        <w:pStyle w:val="TextoNormal"/>
      </w:pPr>
      <w:r>
        <w:t>Igualmente, en cuanto a la responsabilidad personal subsidiaria para el caso de impago de la pena de multa, se trata en este momento de una eventualidad incierta y futura que, en caso de sobrevenir, podría dar lugar a la modificación de la decisión que ahora se adopte, en virtud de lo dispuesto en el art. 57 LOTC (por todos, ATC 369/2004, de 4 de octubre), por lo que no procede en este momento su suspensión (ATC 149/2006, de 8 de mayo, FJ 2 in fine; 366/2006, de 23 de octubre, FJ 1).</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lastRenderedPageBreak/>
        <w:t>Suspender la pena privativa de libertad impuesta a don Antonio Gamero San Juan por la Sentencia núm.47/2005, de 25 de enero, del Juzgado de lo Penal núm.3 de Algeciras y confirmada en Sentencia núm.297/2005 de 8 de julio, de la Audiencia Provincial de</w:t>
      </w:r>
    </w:p>
    <w:p w:rsidR="00CF03FA" w:rsidRDefault="00CF03FA" w:rsidP="00CF03FA">
      <w:pPr>
        <w:pStyle w:val="TextoNormal"/>
      </w:pPr>
      <w:r>
        <w:t>Cádiz, Sección de Algeciras, denegando la suspensión del resto de los pronunciamientos contenidos en las Sentencias impugnadas.</w:t>
      </w:r>
    </w:p>
    <w:p w:rsidR="00CF03FA" w:rsidRDefault="00CF03FA" w:rsidP="00CF03FA">
      <w:pPr>
        <w:pStyle w:val="TextoNormal"/>
      </w:pPr>
    </w:p>
    <w:p w:rsidR="00CF03FA" w:rsidRDefault="00CF03FA" w:rsidP="00CF03FA">
      <w:pPr>
        <w:pStyle w:val="TextoNormal"/>
      </w:pPr>
      <w:r>
        <w:t>Madrid, a veinte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21" w:name="AUTO_2008_60"/>
      <w:r>
        <w:lastRenderedPageBreak/>
        <w:t>AUTO 60/2008, de 21 de febrero de 2008</w:t>
      </w:r>
    </w:p>
    <w:bookmarkEnd w:id="121"/>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ECLI:ES:TC:2008:60A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Acuerda el desistimiento en el recurso de amparo 1833-2007.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22" w:name="AUTO_2008_61"/>
      <w:r>
        <w:lastRenderedPageBreak/>
        <w:t>AUTO 61/2008, de 25 de febrero de 2008</w:t>
      </w:r>
    </w:p>
    <w:bookmarkEnd w:id="122"/>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ECLI:ES:TC:2008:61A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Inadmite a trámite el recurso de amparo 7025-2004, promovido por don Pedro Turnes Duro en contencioso sobre la escolarización de su hija.</w:t>
      </w:r>
    </w:p>
    <w:p w:rsidR="00CF03FA" w:rsidRDefault="00CF03FA" w:rsidP="00CF03FA">
      <w:pPr>
        <w:pStyle w:val="SntesisDescriptiva"/>
      </w:pPr>
    </w:p>
    <w:p w:rsidR="00CF03FA" w:rsidRDefault="00CF03FA" w:rsidP="00CF03FA">
      <w:pPr>
        <w:pStyle w:val="SntesisAnaltica"/>
      </w:pPr>
      <w:r>
        <w:t>Acceso a la justicia: inadmisión de recurso contencioso-administrativo. Derecho a la educación: escolarización de menores. Inadmisión de recurso de amparo: carencia de contenido que justifique una decisión sobre el fondo del asunto; causas de inadmisión. Recurso de amparo contra actos o vía de hecho de la Administración: actos susceptibles de amparo.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23 de noviembre de 2004, el Procurador de los Tribunales don Saturnino Estévez Rodríguez, en nombre y representación de don Pedro Turnes Duro, quien actúa como padre y tutor de la niña G. T. M., y bajo la asistencia del Letrado don Salvador Martín Valdivia, formuló demanda de amparo contra la Sentencia núm. 776 de 2004 de la Sección Primera de la Sala de lo Contencioso-Administrativo de Granada del Tribunal Superior de Justicia de Andalucía, de 18 de octubre de 2004, dictada en el rollo núm. 469-2003, que, con estimación del recurso de apelación interpuesto por la representación de la Consejería de Educación y Ciencia de la Junta de Andalucía, acordó la revocación de la precedente Sentencia de 22 de septiembre de 2003 que había dictado el Juzgado de lo Contencioso-Administrativo núm. 2 de Jaén en estimación del recurso contencioso-administrativo que la parte actora había formalizado contra una precedente Resolución de 3 de septiembre de 2002, que había dispuesto la Delegación provincial de la Consejería de Educación y Ciencia de la Administración autonómica, acerca de la inadmisión de la menor en el Centro educativo concertado “Cristo Rey”, de la ciudad de Jaén, para el curso 2002-2003.</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El recurso tiene su origen en los siguientes antecedentes: </w:t>
      </w:r>
    </w:p>
    <w:p w:rsidR="00CF03FA" w:rsidRDefault="00CF03FA" w:rsidP="00CF03FA">
      <w:pPr>
        <w:pStyle w:val="TextoNormal"/>
      </w:pPr>
      <w:r>
        <w:t xml:space="preserve">a) Don Pedro Turnes Duro en cuanto padre y titular de la patria potestad de su menor hija y ahora demandante de amparo, G. T. M., solicitó la matriculación de ésta en el Centro escolar “Cristo Rey” de enseñanza privada concertada de la ciudad de Jaén, pero le fue denegada por la Delegación provincial de la Consejería de Educación y Ciencia de la Junta de Andalucía, lo que motivó que aquél, en interés de su hija, interpusiera recurso contencioso-administrativo instando al mismo tiempo la suspensión cautelar de la resolución administrativa dictada, lo que así obtuvo del Juzgado de lo Contencioso-Administrativo núm. 1 de Jaén, que por Auto acordó dicha suspensión, lo que permitió que la niña pudiera ser </w:t>
      </w:r>
      <w:r>
        <w:lastRenderedPageBreak/>
        <w:t xml:space="preserve">escolarizada en el indicado Centro durante el curso 2001-2002 asistiendo a las clases de 1° de enseñanza primaria. Sin embargo, mediado el curso, en fecha 28 de febrero de 2002, la Sección Primera de la Sala de lo Contencioso-Administrativo del Tribunal Superior de Justicia de Andalucía (sede de Granada) dejó sin efecto la anterior medida cautelar. Pese a ello, las autoridades educativas permitieron que la menor continuara en el Centro educativo hasta la finalización del curso escolar. </w:t>
      </w:r>
    </w:p>
    <w:p w:rsidR="00CF03FA" w:rsidRDefault="00CF03FA" w:rsidP="00CF03FA">
      <w:pPr>
        <w:pStyle w:val="TextoNormal"/>
      </w:pPr>
      <w:r>
        <w:t xml:space="preserve">b) Posteriormente, cuando ya finalizaba el citado curso, en fecha 17 de mayo de 2002, don Pedro Turnes Duro solicitó del Centro de enseñanza la confirmación de la matriculación de su hija para el curso académico 2002-2003. Dicha solicitud no tuvo respuesta expresa, ni por la dirección del Centro ni tampoco por la Delegación de la Consejería de Educación y Ciencia de la Junta, por lo que, con fecha 6 de junio de 2002, el Sr. Turnes presentó un impreso cumplimentado en el Colegio reiterando su solicitud de matriculación. </w:t>
      </w:r>
    </w:p>
    <w:p w:rsidR="00CF03FA" w:rsidRDefault="00CF03FA" w:rsidP="00CF03FA">
      <w:pPr>
        <w:pStyle w:val="TextoNormal"/>
      </w:pPr>
      <w:r>
        <w:t xml:space="preserve">c) Posteriormente el Centro educativo hizo pública la relación definitiva de admitidos y excluidos para el 2° curso de educación primaria, sin que apareciera en una u otra relación la menor G. T. M. Más adelante, en fecha 3 de septiembre de 2002, la Consejería de Educación y Ciencia de la Junta de Andalucía comunicó al Sr. Turnes que su hija había quedado excluida del Centro educativo de referencia y se le invitaba a pasar por las dependencias de la Delegación a los efectos de regularizar la situación de la niña en el centro educativo que correspondiera. </w:t>
      </w:r>
    </w:p>
    <w:p w:rsidR="00CF03FA" w:rsidRDefault="00CF03FA" w:rsidP="00CF03FA">
      <w:pPr>
        <w:pStyle w:val="TextoNormal"/>
      </w:pPr>
      <w:r>
        <w:t xml:space="preserve">d) Contra la anterior Resolución, la representación del actor interpuso recurso contencioso-administrativo, que quedó registrado con el número 309-2002 de los de su clase, correspondiendo su conocimiento al Juzgado de lo Contencioso-Administrativo núm. 2 de Jaén, que acordó su admisión a trámite y sustanciación, dictando Sentencia en fecha 22 de septiembre de 2003 por la que estimó íntegramente el recurso así formalizado acordando la anulación del acto administrativo impugnado. </w:t>
      </w:r>
    </w:p>
    <w:p w:rsidR="00CF03FA" w:rsidRDefault="00CF03FA" w:rsidP="00CF03FA">
      <w:pPr>
        <w:pStyle w:val="TextoNormal"/>
      </w:pPr>
      <w:r>
        <w:t>e) Sin embargo, el Letrado de la Junta de Andalucía interpuso recurso de apelación contra la anterior Sentencia, cuyo conocimiento fue adjudicado por turno de reparto a la Sección Primera de la Sala de lo Contencioso-Administrativo del Tribunal Superior de Justicia de Andalucía (sede de Granada) que dio trámite al mismo, quedando sustanciado en el rollo núm. 469-2003. Más tarde fue dictada Sentencia en fecha 18 de octubre de 2004 por la que, con estimación del recurso interpuesto, acordó la revocación de la anteriormente dictada en la instancia devolviendo la plena validez y eficacia a la Resolución administrativa impugnada. Esta Sentencia, que fue notificada a la parte el día 22 de octubre siguiente, explica que la Resolución impugnada era un mero acto de comunicación que no decidía nada, considerando que dicha comunicación no puede considerarse una resolución de expulsión, pues “la niña [G. T.M.] quedó excluida en su día de1 alumnado del Cristo Rey para el curso 2001-2002, a tenor de la correspondiente resolución administrativa, cuya impugnación por vía contenciosa hubo de dar lugar a auto de medidas cautelares del Juzgado... permaneciendo la menor a su virtud entre los alumnos del centro, y ello —y en beneficio de la menor— aún después de que la medida cautela de suspensión del acto administrativo fuera revocada por la oportuna sentencia de esta Sala” y añade que “resulta evidente que cumplido el curso escolar de referencia, terminada la situación de transitoriedad generada... lo correspondiente era que la menor interesada quedara excluida del censo del colegio Cristo Rey, [pues no debe olvidarse] la revocación de la medida cautelar”. En fin, el Tribunal Superior de Justicia fundamentó asimismo su decisión en la circunstancia de que no se puede entender que en el presente caso hubiera indefensión porque el recurrente en todo momento hubo de estar al tanto de la especial situación de su hija en orden al procedimiento de escolarización de que se trataba.</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El recurrente fundamenta su demanda de amparo en las vulneraciones de los derechos a la tutela judicial efectiva (art. 24.1 CE) y a la educación (art. 27 CE). En primer lugar, denuncia la infracción de su derecho a la tutela judicial efectiva en su vertiente del derecho a obtener una respuesta judicial motivada y fundada en Derecho pues, a su entender, la Sentencia dictada por el Tribunal Superior de Justicia de Andalucía no ha entrado a resolver sobre la verdadera cuestión de fondo que la parte le había suscitado como eran las irregularidades que, a su parecer, habrían sido cometidas por las autoridades educativas al acordar la expulsión de la menor del Colegio Cristo Rey de Jaén. En concreto, se queja el demandante de que la pretensión de fondo planteada aludía a que la menor había sido excluida de la relación de matriculados del centro educativo sin haberle sido notificada ninguna resolución al respecto y con la debida antelación, para que así se le hubiera permitido, al menos, haber realizado las gestiones oportunas para matricularla en otro centro con plazas vacantes. Alega, al respecto, que sólo tuvo conocimiento de esta exclusión cuando apenas faltaban diez días para el inicio del curso escolar, sin tiempo apenas para matricular a su hija en otro establecimiento educativo. Con fundamento, pues, en las razones expuestas entiende el recurrente que se ha vulnerado el derecho de su hija a la tutela judicial efectiva en su manifestación del derecho de acceso a la justicia, habiéndosele generado una real y efectiva indefensión. </w:t>
      </w:r>
    </w:p>
    <w:p w:rsidR="00CF03FA" w:rsidRDefault="00CF03FA" w:rsidP="00CF03FA">
      <w:pPr>
        <w:pStyle w:val="TextoNormal"/>
      </w:pPr>
      <w:r>
        <w:t>Y, en segundo término, sostiene también que se ha operado una infracción del derecho fundamental a la educación reconocido en el art. 27 CE, y, en concreto, del derecho que le asiste como padre a que su hija reciba la educación de acuerdo a sus propias convicciones, puesto que el actor, como padre de la menor, había elegido un centro privado concertado para la formación de su hija y, debido a la irregular actuación administrativa, se le ha privado de hacer efectivo este derecho.</w:t>
      </w:r>
    </w:p>
    <w:p w:rsidR="00CF03FA" w:rsidRDefault="00CF03FA" w:rsidP="00CF03FA">
      <w:pPr>
        <w:pStyle w:val="TextoNormal"/>
      </w:pPr>
    </w:p>
    <w:p w:rsidR="00CF03FA" w:rsidRDefault="00CF03FA" w:rsidP="00CF03FA">
      <w:pPr>
        <w:pStyle w:val="TextoNormal"/>
      </w:pPr>
      <w:r w:rsidRPr="00CF03FA">
        <w:rPr>
          <w:rStyle w:val="NumeroAFNegritaCaracter"/>
        </w:rPr>
        <w:t>4</w:t>
      </w:r>
      <w:r>
        <w:t>. La Sección Segunda de este Tribunal acordó por providencia de 13 de julio de 2006, al amparo de lo dispuesto en el art. 50.3 LOTC, conferir al recurrente y al Ministerio Fiscal el plazo común de diez días para que formularan las alegaciones que estimaran pertinentes en relación con la posible existencia de la causa de inadmisión de carencia manifiesta de contenido constitucional de la demanda [art. 50.1 c) LOTC].</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El Ministerio Fiscal formuló sus alegaciones por escrito registrado el 1 de septiembre de 2006 interesando la inadmisión de la demanda por carencia manifiesta de contenido. Comienza considerando el segundo de los motivos de amparo recogidos en la demanda que el mismo debe ser inadmitido a limine, toda vez que, como ha destacado de modo reiterado este Tribunal (STC 19/1990 y ATC 382/1996, así como la STEDH de 25 de marzo de 1993, asunto Castello-Roberts contra el Reino Unido, por todos), el derecho a la educación y, en concreto, a la libre elección de centros, está reconocido constitucionalmente en el art. 27, pero no es un derecho ilimitado y absoluto, sino que tiene una configuración legal, esto es, permite la libre elección de centros, ya sean públicos o privados en la forma y con los requisitos que se establezcan normativamente, es decir, en la forma en que así lo establezcan las autoridades educativas competentes y conforme a los requisitos establecidos en el procedimiento de admisión de alumnos que haya sido aprobado previamente, pero sin que tal derecho dé opción a que cada ciudadano pueda hacerlo efectivo matriculando a sus hijos en el centro educativo público o, como sucede en este caso privado concertado, que desee. Lo </w:t>
      </w:r>
      <w:r>
        <w:lastRenderedPageBreak/>
        <w:t xml:space="preserve">que el derecho sí garantiza es que todos los menores puedan ser inscritos en un centro educativo en el que se reciba una enseñanza conforme a los planes educativos aprobados por las autoridades competentes de modo normativo, pero sin que ese derecho pueda plasmarse en la posibilidad de que la enseñanza a recibir lo sea en un centro educativo concreto y determinado, porque tal circunstancia devendría imposible en la práctica en la medida en que ello supondría concebir este derecho como ilimitado y conllevaría la exigencia de que el menor fuera en todo caso matriculado aun cuando no cumpliera las exigencias normativas establecidas en el procedimiento de admisión. Además, tampoco se genera con dicho acto ningún efecto en la escolarización de la menor, toda vez que la propia Administración, según rezaba la resolución administrativa impugnada, invitaba al padre del menor a que compareciera en las dependencias de la Delegación para regularizar la situación de su hija en otro centro educativo. Por ello, entiende el Ministerio público que el motivo de amparo apoyado sobre la alegada vulneración del art. 27 CE debe ser inadmitido por carencia manifiesta de fundamento. Añade que ha de tenerse en cuenta que este motivo no constituye el eje central del discurso constitucional suscitado por la demanda de amparo, sino que la vulneración que se alega no sería más que una consecuencia de la invocada infracción del derecho de tutela judicial efectiva, que es el que, en realidad, constituye el centro de atención del recurrente. </w:t>
      </w:r>
    </w:p>
    <w:p w:rsidR="00CF03FA" w:rsidRDefault="00CF03FA" w:rsidP="00CF03FA">
      <w:pPr>
        <w:pStyle w:val="TextoNormal"/>
      </w:pPr>
      <w:r>
        <w:t xml:space="preserve">Pasando al análisis del que aparece enunciado en la demanda como primer motivo de amparo, esto es, el de la alegada vulneración del derecho a la tutela judicial efectiva, considera el Ministerio Fiscal que también carece de modo manifiesto de fundamento la queja que se expone. Al respecto hace las siguientes consideraciones. En primer lugar, la Sentencia ahora impugnada acoge la solicitud de inadmisibilidad de la parte demandada en el procedimiento, la Junta de Andalucía, por entender que el acto administrativo directamente impugnado en el recurso no era decisorio ni aportaba declaración de voluntad alguna por parte de la Administración, sino que se limitaba a comunicar al padre de la menor lo que ya éste sabía, esto es que, por haberse alzado durante el curso anterior la medida cautelar de suspensión de la ejecución de una decisión administrativa precedente que había acordado la expulsión de la niña y que había sido igualmente impugnada en la vía jurisdiccional, ésta ya no figuraba escolarizada en el Centro educativo de referencia, por lo que no era ajena al padre la circunstancia de que su hija había finalizado el curso escolar 2001-2002 en una situación de hecho que había sido tolerada por la Administración educativa para no ocasionar trastorno alguno a la menor en su formación, pero que en ningún caso y de iure dicha menor seguía vinculada al citado Centro. </w:t>
      </w:r>
    </w:p>
    <w:p w:rsidR="00CF03FA" w:rsidRDefault="00CF03FA" w:rsidP="00CF03FA">
      <w:pPr>
        <w:pStyle w:val="TextoNormal"/>
      </w:pPr>
      <w:r>
        <w:t xml:space="preserve">En segundo término, resulta significativo también que al momento de hacerse pública la relación de admitidos y excluidos del siguiente curso académico, la niña no figurara en ninguna de las dos listas y aunque ciertamente tanto el Centro educativo como, sobre todo, la Administración actuaron con injustificable retraso a la hora de responder sobre la solicitud formulada, tampoco era ajeno al padre de la menor demandante el dato que ya conocía de que sobre ésta había pesado una resolución de exclusión del Centro dictada para el curso anterior y cuya suspensión cautelar había sido alzada. </w:t>
      </w:r>
    </w:p>
    <w:p w:rsidR="00CF03FA" w:rsidRDefault="00CF03FA" w:rsidP="00CF03FA">
      <w:pPr>
        <w:pStyle w:val="TextoNormal"/>
      </w:pPr>
      <w:r>
        <w:t xml:space="preserve">A la vista de estos presupuestos, desde la perspectiva constitucional del derecho a la tutela judicial efectiva, entiende el Fiscal que no resulta la resolución ahora recurrida ni arbitraria, ni manifiestamente irracional ni tampoco incursa en error patente, así como que tampoco que se haya impedido, como alega el recurrente, su derecho de acceso a la jurisdicción, en primer lugar porque la Sala de Apelación ha dado respuesta a la pretensión de fondo alegada y además esta respuesta ha sido razonada. </w:t>
      </w:r>
    </w:p>
    <w:p w:rsidR="00CF03FA" w:rsidRDefault="00CF03FA" w:rsidP="00CF03FA">
      <w:pPr>
        <w:pStyle w:val="TextoNormal"/>
      </w:pPr>
      <w:r>
        <w:lastRenderedPageBreak/>
        <w:t xml:space="preserve">En efecto, el Tribunal de Apelación, después de analizar el contenido de la resolución administrativa y de valorar su naturaleza jurídica, ha considerado que el acto administrativo no había acordado en realidad la expulsión o exclusión de la niña en la relación de admitidos del Centro educativo, pues tal circunstancia ya había sido decidida por las Autoridades educativas andaluzas en el curso anterior y, en este caso, se limitaba a reiterar la comunicación de lo que ya había sido acordado con anterioridad; de ahí que resulte razonable la tesis sostenida por el órgano judicial de que el acto impugnado no incluía ninguna declaración de voluntad, ni había tomado tampoco ninguna decisión sobre la solicitud presentada, sino que se limitaba simplemente a comunicar lo que ya previamente había sido decidido, esto es, la exclusión de la menor del Centro educativo de referencia, que había tenido lugar para el curso anterior. </w:t>
      </w:r>
    </w:p>
    <w:p w:rsidR="00CF03FA" w:rsidRDefault="00CF03FA" w:rsidP="00CF03FA">
      <w:pPr>
        <w:pStyle w:val="TextoNormal"/>
      </w:pPr>
      <w:r>
        <w:t>Por otro lado, como ya se ha anticipado, tampoco se generó ninguna indefensión material ni se vulneró el derecho fundamental a la educación que se alega, puesto que en la propia comunicación la Administración invitaba al padre de la menor a que acudiera a la Delegación provincial para regularizar la situación de su hija y proporcionarle su escolarización en otro centro educativo. El motivo, por tanto, carece de modo manifiesto de fundamento y merece su inadmisión.</w:t>
      </w:r>
    </w:p>
    <w:p w:rsidR="00CF03FA" w:rsidRDefault="00CF03FA" w:rsidP="00CF03FA">
      <w:pPr>
        <w:pStyle w:val="TextoNormal"/>
      </w:pPr>
    </w:p>
    <w:p w:rsidR="00CF03FA" w:rsidRDefault="00CF03FA" w:rsidP="00CF03FA">
      <w:pPr>
        <w:pStyle w:val="TextoNormal"/>
      </w:pPr>
      <w:r w:rsidRPr="00CF03FA">
        <w:rPr>
          <w:rStyle w:val="NumeroAFNegritaCaracter"/>
        </w:rPr>
        <w:t>6</w:t>
      </w:r>
      <w:r>
        <w:t>. El recurrente formuló sus alegaciones por escrito registrado el 28 de julio de 2007, solicitando la admisión del recurso de amparo por vulneración del derecho a la tutela judicial efectiva (art. 24.1 CE), reiterando en esencia, a este respecto, lo manifestado en su recurso de amparo.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La Sección se ratifica en el inicial juicio formulado en su providencia de 13 de julio de 2006 de que las invocaciones de los derechos a la tutela judicial efectiva (art. 24.1 CE) y a la educación (art. 27 CE) están incursas en la causa de inadmisión de carecer manifiestamente de contenido que justifique una decisión sobre el fondo por este Tribunal [art. 50.1 c) LOTC].</w:t>
      </w:r>
    </w:p>
    <w:p w:rsidR="00CF03FA" w:rsidRDefault="00CF03FA" w:rsidP="00CF03FA">
      <w:pPr>
        <w:pStyle w:val="TextoNormal"/>
      </w:pPr>
    </w:p>
    <w:p w:rsidR="00CF03FA" w:rsidRDefault="00CF03FA" w:rsidP="00CF03FA">
      <w:pPr>
        <w:pStyle w:val="TextoNormal"/>
      </w:pPr>
      <w:r w:rsidRPr="00CF03FA">
        <w:rPr>
          <w:rStyle w:val="NumeroAFNegritaCaracter"/>
        </w:rPr>
        <w:t>2</w:t>
      </w:r>
      <w:r>
        <w:t>. La respuesta a la cuestión planteada en relación con el derecho a la tutela judicial efectiva (art. 24 CE) se obtiene recordando que, según reiterada jurisprudencia de este Tribunal (por todas, STC 259/2000, de 30 de octubre, FJ 2), el referido derecho fundamental se satisface generalmente mediante una resolución de fondo, basada en el sistema de fuentes, que esté motivada y sea razonable y congruente con las pretensiones deducidas; pero ello no impide que sea constitucionalmente correcta una resolución de inadmisión siempre que, atendida la existencia de un requisito procesal, así se declare de manera fundada mediante la aplicación razonada de una causa legal y a condición de que el razonamiento responda a una interpretación de las normas legales de conformidad con la Constitución y en el sentido más favorable para la efectividad del derecho fundamental (SSTC 40/1994, de 15 de febrero y 39/1999, de 22 de marzo, FJ 3, entre otras).</w:t>
      </w:r>
    </w:p>
    <w:p w:rsidR="00CF03FA" w:rsidRDefault="00CF03FA" w:rsidP="00CF03FA">
      <w:pPr>
        <w:pStyle w:val="TextoNormal"/>
      </w:pPr>
      <w:r>
        <w:t xml:space="preserve">Tenemos establecido también que a los órganos judiciales ordinarios corresponde determinar la norma a aplicar al supuesto enjuiciado (SSTC 90/1990, de 23 de mayo, y 147/1997, de 16 de septiembre) y que, como cuestión de mera legalidad, la verificación de la concurrencia de los presupuestos y requisitos procesales y la consiguiente decisión acerca de la admisión o inadmisión de la demanda, se adoptan en el ejercicio de la potestad jurisdiccional </w:t>
      </w:r>
      <w:r>
        <w:lastRenderedPageBreak/>
        <w:t>que les es propia (art. 117.3 CE). Por lo demás, el cumplimiento de los requisitos procesales, como cuestión de orden público y de carácter imperativo, escapa del poder de disposición de las partes y de los propios órganos jurisdiccionales (SSTC 90/1986, de 2 de julio, y 37/1995, de 7 de febrero).</w:t>
      </w:r>
    </w:p>
    <w:p w:rsidR="00CF03FA" w:rsidRDefault="00CF03FA" w:rsidP="00CF03FA">
      <w:pPr>
        <w:pStyle w:val="TextoNormal"/>
      </w:pPr>
      <w:r>
        <w:t>En definitiva, la interpretación judicial de las mencionadas normas escapa a la competencia de este Tribunal que, ello no obstante, y sin que esto suponga suplantación alguna de la función propia de los órganos jurisdiccionales (STC 63/1990, de 2 de abril), excepcionalmente, y en su calidad de garante último de los derechos fundamentales, puede verse llamado a amparar el derecho a la tutela judicial efectiva. Más concretamente, cuando del derecho de acceso a la jurisdicción se trata, en virtud de las exigencias derivadas del principio pro actione (SSTC 88/1997, de 5 de mayo, y 184/1997, de 28 de octubre), ineluctablemente se impone “la interdicción de aquellas decisiones de inadmisión que por su rigorismo, por su formalismo excesivo o por cualquier otra razón revelen una clara desproporción entre los fines que aquellas causas preservan y los intereses que sacrifican” (STC 38/1998, de 17 de febrero, FJ 2).</w:t>
      </w:r>
    </w:p>
    <w:p w:rsidR="00CF03FA" w:rsidRDefault="00CF03FA" w:rsidP="00CF03FA">
      <w:pPr>
        <w:pStyle w:val="TextoNormal"/>
      </w:pPr>
      <w:r>
        <w:t>En el caso que estamos considerando, la Sentencia recurrida en amparo no vulnera el derecho a una respuesta judicial razonada, motivada y fundada en Derecho, pues en este caso el recurso fue inadmitido con base en una causa legal de inadmisión aplicada de manera no arbitraria o irrazonable, ni basada en un error patente o en un rigorismo enervante (SSTC 19/1983, de 14 de marzo, FJ 4, y 259/2000, de 30 de abril, FJ 2). En efecto, la causa de inadmisión es la del art. 69 c) de la Ley reguladora de la jurisdicción contencioso-administrativa (LJCA) 29/1998, de 13 de julio, esto es, que el recurso “tuviera por objeto disposiciones, acto o actuaciones no susceptibles de impugnación”. Y su aplicación se justifica argumentando que la resolución impugnada era un mero acto de comunicación que no decidía nada: dicha comunicación no puede considerarse una resolución de expulsión, pues, como se ha reflejado en los antecedentes, la niña G. T.M. quedó excluida en su día del alumnado del “Cristo Rey” para el curso 2001-2002, a tenor de la correspondiente resolución administrativa, cuya impugnación por vía contenciosa dio lugar a auto de medidas cautelares del Juzgado, permaneciendo la menor provisionalmente entre los alumnos del centro, y ello —y en beneficio de la menor— aún después de que la medida cautelar de suspensión del acto administrativo fuera revocada y resulta evidente que cumplido el curso escolar de referencia, terminada la situación de transitoriedad generada, lo correspondiente era que la menor interesada quedara excluida del censo del colegio Cristo Rey. Apostillemos que el Tribunal Superior de Justicia fundamentó asimismo su decisión en la circunstancia de que no se puede entender que en el presente caso hubiera indefensión porque el recurrente en todo momento hubo de estar al tanto de la especial situación de su hija en orden al procedimiento de escolarización de que se trataba.</w:t>
      </w:r>
    </w:p>
    <w:p w:rsidR="00CF03FA" w:rsidRDefault="00CF03FA" w:rsidP="00CF03FA">
      <w:pPr>
        <w:pStyle w:val="TextoNormal"/>
      </w:pPr>
    </w:p>
    <w:p w:rsidR="00CF03FA" w:rsidRDefault="00CF03FA" w:rsidP="00CF03FA">
      <w:pPr>
        <w:pStyle w:val="TextoNormal"/>
      </w:pPr>
      <w:r w:rsidRPr="00CF03FA">
        <w:rPr>
          <w:rStyle w:val="NumeroAFNegritaCaracter"/>
        </w:rPr>
        <w:t>3</w:t>
      </w:r>
      <w:r>
        <w:t>. Por último, al ser el acto administrativo impugnado un acto de mero trámite, no susceptible de ser impugnado en la vía contencioso-administrativa, no cabe que per saltum examinemos la segunda de las lesiones de derechos denunciadas, esto es, la atinente al derecho a la educación (art. 27 CE).</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lastRenderedPageBreak/>
        <w:t>Inadmitir el presente recurso de amparo.</w:t>
      </w:r>
    </w:p>
    <w:p w:rsidR="00CF03FA" w:rsidRDefault="00CF03FA" w:rsidP="00CF03FA">
      <w:pPr>
        <w:pStyle w:val="TextoNormal"/>
      </w:pPr>
    </w:p>
    <w:p w:rsidR="00CF03FA" w:rsidRDefault="00CF03FA" w:rsidP="00CF03FA">
      <w:pPr>
        <w:pStyle w:val="TextoNormal"/>
      </w:pPr>
      <w:r>
        <w:t>Madrid, a veinticinco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23" w:name="AUTO_2008_62"/>
      <w:r>
        <w:lastRenderedPageBreak/>
        <w:t>AUTO 62/2008, de 25 de febrero de 2008</w:t>
      </w:r>
    </w:p>
    <w:bookmarkEnd w:id="123"/>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ECLI:ES:TC:2008:62A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Estima el recurso de súplica sobre inadmisión del recurso de amparo 3099-2005, promovido por don Eduardo Gómez Puértolas en contencioso disciplinario militar.</w:t>
      </w:r>
    </w:p>
    <w:p w:rsidR="00CF03FA" w:rsidRDefault="00CF03FA" w:rsidP="00CF03FA">
      <w:pPr>
        <w:pStyle w:val="SntesisDescriptiva"/>
      </w:pPr>
    </w:p>
    <w:p w:rsidR="00CF03FA" w:rsidRDefault="00CF03FA" w:rsidP="00CF03FA">
      <w:pPr>
        <w:pStyle w:val="SntesisAnaltica"/>
      </w:pPr>
      <w:r>
        <w:t>Derecho a la prueba: valoración de la prueba. Recurso de súplica contra providencias de inadmisión del Tribunal Constitucional: estimación.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día 31 de julio de 2007 el Ministerio Fiscal interpuso recurso de súplica contra la providencia de la Sección Tercera de este Tribunal, de 4 de junio de 2007, que acordó inadmitir el recurso de amparo núm. 3099-2005, interpuesto por don Eduardo Gómez Puértolas.</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relevantes para el presente recurso de súplica son, sucintamente expuestos, los siguientes: </w:t>
      </w:r>
    </w:p>
    <w:p w:rsidR="00CF03FA" w:rsidRDefault="00CF03FA" w:rsidP="00CF03FA">
      <w:pPr>
        <w:pStyle w:val="TextoNormal"/>
      </w:pPr>
      <w:r>
        <w:t xml:space="preserve">a) Mediante escrito registrado en este Tribunal con fecha 29 de abril de 2005 la Procuradora de los Tribunales doña Rosalía Rosique Samper interpuso, en nombre y representación de don Eduardo Gómez Puértolas, recurso de amparo contra la Sentencia de la Sala de lo Contencioso-Administrativo de la Audiencia Nacional, de 21 de enero de 2005, dictada en el recurso contencioso núm. 1084-2003. </w:t>
      </w:r>
    </w:p>
    <w:p w:rsidR="00CF03FA" w:rsidRDefault="00CF03FA" w:rsidP="00CF03FA">
      <w:pPr>
        <w:pStyle w:val="TextoNormal"/>
      </w:pPr>
      <w:r>
        <w:t xml:space="preserve">b) En la demanda de amparo el recurrente imputaba a la Sentencia impugnada lesión del derecho a la tutela judicial efectiva del art. 24.1 CE, por considerar que su fallo se justificaba “en una valoración arbitraria de la prueba y del derecho aplicable”. </w:t>
      </w:r>
    </w:p>
    <w:p w:rsidR="00CF03FA" w:rsidRDefault="00CF03FA" w:rsidP="00CF03FA">
      <w:pPr>
        <w:pStyle w:val="TextoNormal"/>
      </w:pPr>
      <w:r>
        <w:t xml:space="preserve">En particular el recurrente denunciaba que el órgano judicial no había valorado ni mencionado siquiera las pruebas periciales practicadas en el proceso, y que, según su criterio, probaban en forma concluyente la relación de causalidad existente entre las lesiones que alegaba y la actuación de sus mandos militares, y que no obstante la Sentencia recurrida acabó rechazando con apoyo en la declaración que ya antes había efectuado la Sentencia de la Sala Quinta del Tribunal Supremo, de 12 de marzo de 1999, al afirmar a propósito de los mismos hechos ahora considerados que “de la abundante prueba practicada se desprende claramente la falta de [esa pretendida] relación de causalidad”. </w:t>
      </w:r>
    </w:p>
    <w:p w:rsidR="00CF03FA" w:rsidRDefault="00CF03FA" w:rsidP="00CF03FA">
      <w:pPr>
        <w:pStyle w:val="TextoNormal"/>
      </w:pPr>
      <w:r>
        <w:t>c) Mediante providencia de fecha 2 de junio de 2007 la Sección Tercera de este Tribunal acordó, por unanimidad y de conformidad con el art. 50.1 c) LOTC, la inadmisión de la demanda de amparo por carecer manifiestamente de contenido constitucional que justificara una decisión sobre el fondo.</w:t>
      </w:r>
    </w:p>
    <w:p w:rsidR="00CF03FA" w:rsidRDefault="00CF03FA" w:rsidP="00CF03FA">
      <w:pPr>
        <w:pStyle w:val="TextoNormal"/>
      </w:pPr>
    </w:p>
    <w:p w:rsidR="00CF03FA" w:rsidRDefault="00CF03FA" w:rsidP="00CF03FA">
      <w:pPr>
        <w:pStyle w:val="TextoNormal"/>
      </w:pPr>
      <w:r w:rsidRPr="00CF03FA">
        <w:rPr>
          <w:rStyle w:val="NumeroAFNegritaCaracter"/>
        </w:rPr>
        <w:t>3</w:t>
      </w:r>
      <w:r>
        <w:t>. En su recurso de súplica el Ministerio Fiscal solicita la revocación de la citada providencia de inadmisión, por considerar que la lesión del art. 24.1 CE que denunciaba el recurrente “presenta prima facie contenido constitucional”, toda vez que el examen de las actuaciones aportadas pone efectivamente de relieve que la Sentencia recurrida no contiene ninguna valoración de las pruebas admitidas y practicadas en el proceso contencioso-administrativo, limitándose por todo razonamiento a reproducir en el decisivo extremo relativo al nexo causal la citada declaración de la Sala Quinta del Tribunal Supremo.</w:t>
      </w:r>
    </w:p>
    <w:p w:rsidR="00CF03FA" w:rsidRDefault="00CF03FA" w:rsidP="00CF03FA">
      <w:pPr>
        <w:pStyle w:val="TextoNormal"/>
      </w:pPr>
    </w:p>
    <w:p w:rsidR="00CF03FA" w:rsidRDefault="00CF03FA" w:rsidP="00CF03FA">
      <w:pPr>
        <w:pStyle w:val="TextoNormal"/>
      </w:pPr>
      <w:r w:rsidRPr="00CF03FA">
        <w:rPr>
          <w:rStyle w:val="NumeroAFNegritaCaracter"/>
        </w:rPr>
        <w:t>4</w:t>
      </w:r>
      <w:r>
        <w:t>. Por diligencia de ordenación de 4 de septiembre de 2007 la Sección Tercera de este Tribunal, de conformidad con el art. 93.2 LOTC, acordó conceder a la parte demandante de amparo plazo de tres días para que, con traslado del recurso de súplica interpuesto por el Ministerio Fiscal, alegara lo que estimase pertinente al respecto.</w:t>
      </w:r>
    </w:p>
    <w:p w:rsidR="00CF03FA" w:rsidRDefault="00CF03FA" w:rsidP="00CF03FA">
      <w:pPr>
        <w:pStyle w:val="TextoNormal"/>
      </w:pPr>
    </w:p>
    <w:p w:rsidR="00CF03FA" w:rsidRDefault="00CF03FA" w:rsidP="00CF03FA">
      <w:pPr>
        <w:pStyle w:val="TextoNormal"/>
      </w:pPr>
      <w:r w:rsidRPr="00CF03FA">
        <w:rPr>
          <w:rStyle w:val="NumeroAFNegritaCaracter"/>
        </w:rPr>
        <w:t>5</w:t>
      </w:r>
      <w:r>
        <w:t>. Con fecha 3 de octubre de 2007 el recurrente presentó sus alegaciones, adhiriéndose al recurso de súplica interpuesto.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examen de las actuaciones aportadas a este proceso constitucional pone efectivamente de relieve, como advierte el Ministerio Fiscal en su recurso, que la Sentencia recurrida en amparo no contiene ninguna valoración sobre las pruebas admitidas y</w:t>
      </w:r>
    </w:p>
    <w:p w:rsidR="00CF03FA" w:rsidRDefault="00CF03FA" w:rsidP="00CF03FA">
      <w:pPr>
        <w:pStyle w:val="TextoNormal"/>
      </w:pPr>
      <w:r>
        <w:t>practicadas en el proceso contencioso-administrativo, limitándose por todo razonamiento a reproducir en el decisivo extremo relativo al nexo causal la afirmación de la Sentencia de la Sala Quinta del Tribunal Supremo, de fecha 12 de marzo de 1999, que</w:t>
      </w:r>
    </w:p>
    <w:p w:rsidR="00CF03FA" w:rsidRDefault="00CF03FA" w:rsidP="00CF03FA">
      <w:pPr>
        <w:pStyle w:val="TextoNormal"/>
      </w:pPr>
      <w:r>
        <w:t>declaró, a la vista de las pruebas entonces practicadas, “claramente la falta de relación causalidad” entre el comportamiento de los mandos militares y las lesiones sufridas por el recurrente mientras prestaba el servicio militar. Esta remisión a esa</w:t>
      </w:r>
    </w:p>
    <w:p w:rsidR="00CF03FA" w:rsidRDefault="00CF03FA" w:rsidP="00CF03FA">
      <w:pPr>
        <w:pStyle w:val="TextoNormal"/>
      </w:pPr>
      <w:r>
        <w:t>otra declaración judicial de 1999 no puede servir, sin embargo, de respuesta a la debida valoración de las nuevas pruebas practicadas años después en el proceso contencioso-administrativo. Como también señala el Fiscal en su recurso, en ese proceso se</w:t>
      </w:r>
    </w:p>
    <w:p w:rsidR="00CF03FA" w:rsidRDefault="00CF03FA" w:rsidP="00CF03FA">
      <w:pPr>
        <w:pStyle w:val="TextoNormal"/>
      </w:pPr>
      <w:r>
        <w:t>practicaron al menos dos dictámenes periciales que respaldaban, bien que en un caso con ciertos matices, la tesis defendida por el recurrente sobre la existencia de un nexo causal directo entre el funcionamiento del servicio público militar y las</w:t>
      </w:r>
    </w:p>
    <w:p w:rsidR="00CF03FA" w:rsidRDefault="00CF03FA" w:rsidP="00CF03FA">
      <w:pPr>
        <w:pStyle w:val="TextoNormal"/>
      </w:pPr>
      <w:r>
        <w:t>lesiones padecidas. Y sobre estos informes periciales nada dice, en efecto, la Sentencia recurrida en amparo. En consecuencia la denunciada falta de cualquier valoración judicial sobre las decisivas pruebas practicadas en autos, en cuanto relativas al</w:t>
      </w:r>
    </w:p>
    <w:p w:rsidR="00CF03FA" w:rsidRDefault="00CF03FA" w:rsidP="00CF03FA">
      <w:pPr>
        <w:pStyle w:val="TextoNormal"/>
      </w:pPr>
      <w:r>
        <w:t>presupuesto del nexo casual, auténtico quicio de la pretensión indemnizatoria deducida por el actor en el proceso judicial, fuerza a ver que el recurso de amparo no carecía manifiestamente de contenido constitucional que justificase una decisión sobre el</w:t>
      </w:r>
    </w:p>
    <w:p w:rsidR="00CF03FA" w:rsidRDefault="00CF03FA" w:rsidP="00CF03FA">
      <w:pPr>
        <w:pStyle w:val="TextoNormal"/>
      </w:pPr>
      <w:r>
        <w:t>fondo por parte de este Tribunal, como sin embargo advertimos en nuestra providencia de 2 de junio de 2007.</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Estimar el recurso de súplica interpuesto por el Ministerio Fiscal contra la providencia de 2 de junio de 2007, que se deja sin efecto.</w:t>
      </w:r>
    </w:p>
    <w:p w:rsidR="00CF03FA" w:rsidRDefault="00CF03FA" w:rsidP="00CF03FA">
      <w:pPr>
        <w:pStyle w:val="TextoNormal"/>
      </w:pPr>
    </w:p>
    <w:p w:rsidR="00CF03FA" w:rsidRDefault="00CF03FA" w:rsidP="00CF03FA">
      <w:pPr>
        <w:pStyle w:val="TextoNormal"/>
      </w:pPr>
      <w:r>
        <w:t>Madrid, a veinticinco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24" w:name="AUTO_2008_63"/>
      <w:r>
        <w:lastRenderedPageBreak/>
        <w:t>AUTO 63/2008, de 25 de febrero de 2008</w:t>
      </w:r>
    </w:p>
    <w:bookmarkEnd w:id="124"/>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ECLI:ES:TC:2008:63A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Desestima el recurso de súplica sobre inadmisión del recurso de amparo 7960-2005, promovido por doña María Dolores Menéndez Prieto en contencioso sobre nombramiento provisional en el complejo hospitalario de Santiago de Compostela.</w:t>
      </w:r>
    </w:p>
    <w:p w:rsidR="00CF03FA" w:rsidRDefault="00CF03FA" w:rsidP="00CF03FA">
      <w:pPr>
        <w:pStyle w:val="SntesisDescriptiva"/>
      </w:pPr>
    </w:p>
    <w:p w:rsidR="00CF03FA" w:rsidRDefault="00CF03FA" w:rsidP="00CF03FA">
      <w:pPr>
        <w:pStyle w:val="SntesisAnaltica"/>
      </w:pPr>
      <w:r>
        <w:t>Plazos del recurso de amparo: extemporaneidad por recurso manifiestamente improcedente. Recurso de súplica contra providencias de inadmisión del Tribunal Constitucional: desestimación.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que tuvo entrada en el Registro General de este Tribunal el 10 de noviembre de 2005, el Procurador de los Tribunales don Argimiro Vázquez Guillén, en nombre y representación de doña María Dolores Menéndez Prieto, formuló demanda de amparo contra sendos Autos de la Sala de lo Contencioso-Administrativo (Sección Primera) del Tribunal Superior de Justicia de Galicia de 10 de mayo y 4 de octubre de 2005, dictados en ejecución de la sentencia de 2 de mayo de 2001, recaída en el recurso contencioso-administrativo 345-1998, por la que se anuló la Resolución del concurso de nombramiento provisional de la Jefatura del Servicio de Oncología del Complejo Hospitalario de Santiago de Compostela y se condenó a la Administración demandada a resolver de nuevo el citado concurso con arreglo a la convocatoria y a las bases en su día aprobadas. </w:t>
      </w:r>
    </w:p>
    <w:p w:rsidR="00CF03FA" w:rsidRDefault="00CF03FA" w:rsidP="00CF03FA">
      <w:pPr>
        <w:pStyle w:val="TextoNormal"/>
      </w:pPr>
      <w:r>
        <w:t>Fundamenta la recurrente su recurso en la supuesta vulneración de su derecho a la tutela judicial efectiva en su vertiente de derecho de defensa y a la ejecución de sentencias en sus propios términos (art. 24, apartados 1 y 2, CE), así como del derecho a la igualdad en el acceso a los cargos públicos (art. 23.2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El Auto de 10 de mayo de 2005 desestima sendos recursos de súplica presentados por la Administración demandada y por la ahora recurrente en amparo contra el previo Auto de 30 de julio de 2004 por el que se acordaba, entre otros extremos, proceder al archivo de las actuaciones en lo referente a la parte del fallo que exigía la Resolución del concurso conforme a las bases aprobadas para el mismo y la convocatoria realizada, por cuanto, con fecha 1 de marzo de 2004, se había recibido oficio del Complejo Hospitalario de Santiago de Compostela en el cual se informaba y aportaba resolución acordando declarar desierto el puesto de Jefe del Servicio de Oncología del Complejo Hospitalario. Fundamenta el Tribunal la desestimación del recurso de la recurrente, en su razonamiento jurídico segundo, en que la Resolución de 1 de marzo de 2004 resuelve razonadamente el concurso con arreglo </w:t>
      </w:r>
      <w:r>
        <w:lastRenderedPageBreak/>
        <w:t xml:space="preserve">a la convocatoria y a las bases en su día aprobadas, en plena correspondencia con el fallo de la sentencia a ejecutar, no pudiendo valorar el Tribunal, en fase de ejecución, la razonabilidad de la resolución, por no ser ésta, como tal, objeto del proceso. </w:t>
      </w:r>
    </w:p>
    <w:p w:rsidR="00CF03FA" w:rsidRDefault="00CF03FA" w:rsidP="00CF03FA">
      <w:pPr>
        <w:pStyle w:val="TextoNormal"/>
      </w:pPr>
      <w:r>
        <w:t>Contra este Auto de 10 de mayo de 2005 instó la recurrente incidente de nulidad de actuaciones argumentando que el Tribunal le habría causado indefensión al apartarse notoriamente de lo decidido mediante sentencia firme sobre la base de un documento aportado por la Administración de forma supuestamente extemporánea. Dicho incidente fue inadmitido mediante Auto de 4 de octubre de 2005, en cuyo fundamento jurídico único se argumenta que el incidente planteado no se corresponde con ninguna de las “hipótesis previstas legalmente y que están reguladas en los arts. 238 y 241 de la… Ley (Orgánica del Poder Judicial)”.</w:t>
      </w:r>
    </w:p>
    <w:p w:rsidR="00CF03FA" w:rsidRDefault="00CF03FA" w:rsidP="00CF03FA">
      <w:pPr>
        <w:pStyle w:val="TextoNormal"/>
      </w:pPr>
    </w:p>
    <w:p w:rsidR="00CF03FA" w:rsidRDefault="00CF03FA" w:rsidP="00CF03FA">
      <w:pPr>
        <w:pStyle w:val="TextoNormal"/>
      </w:pPr>
      <w:r w:rsidRPr="00CF03FA">
        <w:rPr>
          <w:rStyle w:val="NumeroAFNegritaCaracter"/>
        </w:rPr>
        <w:t>3</w:t>
      </w:r>
      <w:r>
        <w:t>. La Sección Cuarta de este Tribunal, mediante providencia de 8 de junio de 2007, acordó inadmitir a trámite el recurso de amparo, con arreglo a lo dispuesto en el art. 50.1 a) LOTC en su redacción anterior a la Ley Orgánica 6/2007, de 24 de mayo, y de conformidad con lo previsto en la disposición transitoria tercera de dicha Ley, por considerar que el mismo había incurrido en extemporaneidad.</w:t>
      </w:r>
    </w:p>
    <w:p w:rsidR="00CF03FA" w:rsidRDefault="00CF03FA" w:rsidP="00CF03FA">
      <w:pPr>
        <w:pStyle w:val="TextoNormal"/>
      </w:pPr>
    </w:p>
    <w:p w:rsidR="00CF03FA" w:rsidRDefault="00CF03FA" w:rsidP="00CF03FA">
      <w:pPr>
        <w:pStyle w:val="TextoNormal"/>
      </w:pPr>
      <w:r w:rsidRPr="00CF03FA">
        <w:rPr>
          <w:rStyle w:val="NumeroAFNegritaCaracter"/>
        </w:rPr>
        <w:t>4</w:t>
      </w:r>
      <w:r>
        <w:t>. Contra dicha providencia interpone recurso de súplica el Ministerio Fiscal, alegando que, a su juicio, el recurso de amparo ha sido presentado dentro de plazo, toda vez que el Auto de la Sala de lo Contencioso-Administrativo del Tribunal Superior de Justicia de Galicia de 4 de octubre de 2005 le fue notificado a la recurrente con fecha 13 de octubre, siendo así que el recurso de amparo habría sido presentado —dice— el 14 de noviembre de 2005, cuando no había aun concluido el plazo para su interposición.</w:t>
      </w:r>
    </w:p>
    <w:p w:rsidR="00CF03FA" w:rsidRDefault="00CF03FA" w:rsidP="00CF03FA">
      <w:pPr>
        <w:pStyle w:val="TextoNormal"/>
      </w:pPr>
    </w:p>
    <w:p w:rsidR="00CF03FA" w:rsidRDefault="00CF03FA" w:rsidP="00CF03FA">
      <w:pPr>
        <w:pStyle w:val="TextoNormal"/>
      </w:pPr>
      <w:r w:rsidRPr="00CF03FA">
        <w:rPr>
          <w:rStyle w:val="NumeroAFNegritaCaracter"/>
        </w:rPr>
        <w:t>5</w:t>
      </w:r>
      <w:r>
        <w:t>. Por diligencia de ordenación del Secretario de Justicia de la Sala Segunda de este Tribunal de 23 de octubre de 2007 se acordó dar traslado del recurso de súplica a la representación procesal de la demandante de amparo para que, de conformidad con el art. 93.2 LOTC, alegara en el plazo de tres días lo que a su derecho conviniera.</w:t>
      </w:r>
    </w:p>
    <w:p w:rsidR="00CF03FA" w:rsidRDefault="00CF03FA" w:rsidP="00CF03FA">
      <w:pPr>
        <w:pStyle w:val="TextoNormal"/>
      </w:pPr>
    </w:p>
    <w:p w:rsidR="00CF03FA" w:rsidRDefault="00CF03FA" w:rsidP="00CF03FA">
      <w:pPr>
        <w:pStyle w:val="TextoNormal"/>
      </w:pPr>
      <w:r w:rsidRPr="00CF03FA">
        <w:rPr>
          <w:rStyle w:val="NumeroAFNegritaCaracter"/>
        </w:rPr>
        <w:t>6</w:t>
      </w:r>
      <w:r>
        <w:t>. Mediante escrito presentado el 2 de noviembre de 2007 en el Registro de este Tribunal, la representación procesal de la demandante de amparo manifestó su conformidad con el recurso de súplica interpuesto por el Ministerio Fiscal, solicitando que se resolviese en el sentido de admitir a trámite la demanda de amparo por considerarla interpuesta en plazo.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Procede desestimar el recurso de súplica interpuesto por el Ministerio Fiscal y, con ello, confirmar la providencia de 8 de junio de 2007. Y ello por cuanto el recurso de amparo ha sido interpuesto de forma extemporánea por haberse alargado</w:t>
      </w:r>
    </w:p>
    <w:p w:rsidR="00CF03FA" w:rsidRDefault="00CF03FA" w:rsidP="00CF03FA">
      <w:pPr>
        <w:pStyle w:val="TextoNormal"/>
      </w:pPr>
      <w:r>
        <w:t>artificialmente la vía judicial previa al haberse instado un incidente de nulidad de actuaciones que resultaba manifiestamente improcedente a la luz de las previsiones del art. 241 de la Ley Orgánica del Poder Judicial (LOPJ), como lo demuestra su propia</w:t>
      </w:r>
    </w:p>
    <w:p w:rsidR="00CF03FA" w:rsidRDefault="00CF03FA" w:rsidP="00CF03FA">
      <w:pPr>
        <w:pStyle w:val="TextoNormal"/>
      </w:pPr>
      <w:r>
        <w:t>inadmisión a limine. Como argumenta el Tribunal a quo en su Auto de 4 de octubre de 2005, el incidente de nulidad de actuaciones resultaba, en efecto, manifiestamente improcedente por no venir fundamentado en ninguno de los supuestos que el citado</w:t>
      </w:r>
    </w:p>
    <w:p w:rsidR="00CF03FA" w:rsidRDefault="00CF03FA" w:rsidP="00CF03FA">
      <w:pPr>
        <w:pStyle w:val="TextoNormal"/>
      </w:pPr>
      <w:r>
        <w:lastRenderedPageBreak/>
        <w:t>artículo contempla, supuestos sobre cuyo carácter tasado ha insistido reiteradamente este Tribunal, que recuerda que “fuera de estos supuestos, por el contrario, la interposición de un remedio excepcional como es el incidente de nulidad de actuaciones</w:t>
      </w:r>
    </w:p>
    <w:p w:rsidR="00CF03FA" w:rsidRDefault="00CF03FA" w:rsidP="00CF03FA">
      <w:pPr>
        <w:pStyle w:val="TextoNormal"/>
      </w:pPr>
      <w:r>
        <w:t>deviene en general un recurso manifiestamente improcedente, en especial, cuando se inadmite a limine por incumplimiento de los requisitos de procedibilidad exigidos por el art. 241 LOPJ (anterior art. 240.3 LOPJ)” (por todas, STC 237/2006, de 7 de julio,</w:t>
      </w:r>
    </w:p>
    <w:p w:rsidR="00CF03FA" w:rsidRDefault="00CF03FA" w:rsidP="00CF03FA">
      <w:pPr>
        <w:pStyle w:val="TextoNormal"/>
      </w:pPr>
      <w:r>
        <w:t>FJ 3, con cita de jurisprudencia previa).</w:t>
      </w:r>
    </w:p>
    <w:p w:rsidR="00CF03FA" w:rsidRDefault="00CF03FA" w:rsidP="00CF03FA">
      <w:pPr>
        <w:pStyle w:val="TextoNormal"/>
      </w:pPr>
      <w:r>
        <w:t>Esta última circunstancia concurre, precisamente, en el caso que nos ocupa ya que el Tribunal Superior de Justicia inadmitió, por aplicación del art. 241 LOPJ, el incidente de nulidad de actuaciones planteado por la ahora recurrente en amparo aportando razonables argumentos de fondo para justificar tal decisión. Afirma, en efecto, el fundamento jurídico único del Auto de 4 de octubre de 2005, tras recordar el carácter tasado de las hipótesis en las que es admisible el incidente de nulidad de actuaciones, que “lo que la recurrente pretende excede claramente del contenido del fallo de la sentencia, toda vez que la anulación del nombramiento en su día recaída implicaba tan solo la nueva resolución de aquel concurso, bien a través de un nuevo nombramiento o bien declarando desierta la plaza. Siendo esto último la decisión adoptada y apareciendo tal acuerdo debidamente razonado y ajustado a las bases de la convocatoria no puede pretender ahora la parte impugnante un pronunciamiento diferente a su favor cuando es obvio que, de conformidad con las expresadas bases no reunía, a juicio de la comisión, las condiciones exigidas para el puesto”.</w:t>
      </w:r>
    </w:p>
    <w:p w:rsidR="00CF03FA" w:rsidRDefault="00CF03FA" w:rsidP="00CF03FA">
      <w:pPr>
        <w:pStyle w:val="TextoNormal"/>
      </w:pPr>
      <w:r>
        <w:t>A consecuencia de lo cual no cabe, sino, concluir, en los términos del mismo FJ 3 de la STC 237/2006, más arriba citada, que con el planteamiento de tal incidente de nulidad de actuaciones se “procedió a una prolongación artificiosa e innecesaria de la vía judicial previa”, con la consecuencia de obligar a este Tribunal a inadmitir las quejas vertidas por la recurrente contra los dos Autos objeto de su recurso por haberse superado con creces el plazo de interposición del recurso de amparo cifrado en el art. 44.2 LOTC en los veinte días siguientes a la notificación o toma de conocimiento por el interesado de la resolución que puso fin a la vía judicial previa, es decir, en este caso, el Auto de 10 de mayo de 2005, notificado a la ahora recurrente el día 19 del mismo mes, a pesar de lo cual no se interpuso el recurso de amparo hasta el 10 de noviembre de 2005.</w:t>
      </w:r>
    </w:p>
    <w:p w:rsidR="00CF03FA" w:rsidRDefault="00CF03FA" w:rsidP="00CF03FA">
      <w:pPr>
        <w:pStyle w:val="TextoNormal"/>
      </w:pPr>
    </w:p>
    <w:p w:rsidR="00CF03FA" w:rsidRDefault="00CF03FA" w:rsidP="00CF03FA">
      <w:pPr>
        <w:pStyle w:val="TextoNormal"/>
      </w:pPr>
      <w:r>
        <w:t>En virtud de todo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Desestimar el recurso de súplica interpuesto por el Ministerio Fiscal y, en consecuencia, confirmar en su integridad la providencia de 8 de junio de 2007.</w:t>
      </w:r>
    </w:p>
    <w:p w:rsidR="00CF03FA" w:rsidRDefault="00CF03FA" w:rsidP="00CF03FA">
      <w:pPr>
        <w:pStyle w:val="TextoNormal"/>
      </w:pPr>
    </w:p>
    <w:p w:rsidR="00CF03FA" w:rsidRDefault="00CF03FA" w:rsidP="00CF03FA">
      <w:pPr>
        <w:pStyle w:val="TextoNormal"/>
      </w:pPr>
      <w:r>
        <w:t>Madrid, a veinticinco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25" w:name="AUTO_2008_64"/>
      <w:r>
        <w:lastRenderedPageBreak/>
        <w:t>AUTO 64/2008, de 25 de febrero de 2008</w:t>
      </w:r>
    </w:p>
    <w:bookmarkEnd w:id="125"/>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ECLI:ES:TC:2008:64A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Acuerda el desistimiento en el recurso de amparo 7636-2006.</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26" w:name="AUTO_2008_65"/>
      <w:r>
        <w:lastRenderedPageBreak/>
        <w:t>AUTO 65/2008, de 25 de febrero de 2008</w:t>
      </w:r>
    </w:p>
    <w:bookmarkEnd w:id="126"/>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ECLI:ES:TC:2008:65A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Deniega la suspensión en el recurso de amparo 8985-2006, promovido por don Fermín Martínez Nantón en contencioso por infracción de tráfico.</w:t>
      </w:r>
    </w:p>
    <w:p w:rsidR="00CF03FA" w:rsidRDefault="00CF03FA" w:rsidP="00CF03FA">
      <w:pPr>
        <w:pStyle w:val="SntesisDescriptiva"/>
      </w:pPr>
    </w:p>
    <w:p w:rsidR="00CF03FA" w:rsidRDefault="00CF03FA" w:rsidP="00CF03FA">
      <w:pPr>
        <w:pStyle w:val="SntesisAnaltica"/>
      </w:pPr>
      <w:r>
        <w:t>Suspensión cautelar de sentencias contencioso-administrativas: multa administrativa,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Con fecha 28 de septiembre de 2006, el Procurador de los Tribunales don José Luís Pinto Marabotto, en nombre y representación de don Fermín Martínez Nantón, presentó en el Registro General de este Tribunal demanda de amparo contra la Sentencia de 19 de julio de 2006 del Juzgado de lo Contencioso-Administrativo núm. 4 de A Coruña, recaída en el procedimiento abreviado núm. 106-2006 sobre infracción de tráfico.</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El demandante de amparo aduce en la demanda de amparo la lesión de su derecho fundamental a la tutela judicial efectiva sin indefensión (art. 24.1 CE) producido por la Sentencia impugnada, que confirmó la sanción impuesta a pesar de su falta de motivación y de que en el procedimiento administrativo sancionador no se respetaron algunos de los trámites esenciales del mismo. Además, la lesión del derecho fundamental reconocido en el art. 24.1 CE se habría producido porque la Sentencia impugnada habría incurrido en incongruencia omisiva al no pronunciarse sobre la alegada inadmisión de las pruebas propuestas. En la demanda de amparo se aduce, asimismo, la lesión del derecho fundamental del recurrente a la utilización de los medios de prueba pertinentes para la defensa (art. 24.2 CE), porque fueron inadmitidas las pruebas propuestas, concretamente, se inadmitió un certificado del Ente público Portos de Galicia. Por último, se aduce en la demanda de amparo la infracción del principio de legalidad en materia sancionadora (art. 25.1 CE) por falta de tipificación de la infracción imputada en el precepto normativo indicado por la Administración durante todo el procedimiento sancionador, esto es, el art. 39.2.1 de la Ordenanza municipal de Laxe, que no existe en realidad. Una infracción del principio de legalidad que habría producido también el órgano judicial al declarar en la Sentencia impugnada que, si bien era cierto que los hechos no estaban tipificados por el art. 39 de la Ordenanza, sí lo estaban por el art. 44. 8 de la misma norma jurídica. </w:t>
      </w:r>
    </w:p>
    <w:p w:rsidR="00CF03FA" w:rsidRDefault="00CF03FA" w:rsidP="00CF03FA">
      <w:pPr>
        <w:pStyle w:val="TextoNormal"/>
      </w:pPr>
      <w:r>
        <w:t>Por otrosí, el recurrente solicitó la suspensión de la Sentencia impugnada en amparo con el fin de evitar daños y perjuicios de imposible y difícil reparación.</w:t>
      </w:r>
    </w:p>
    <w:p w:rsidR="00CF03FA" w:rsidRDefault="00CF03FA" w:rsidP="00CF03FA">
      <w:pPr>
        <w:pStyle w:val="TextoNormal"/>
      </w:pPr>
    </w:p>
    <w:p w:rsidR="00CF03FA" w:rsidRDefault="00CF03FA" w:rsidP="00CF03FA">
      <w:pPr>
        <w:pStyle w:val="TextoNormal"/>
      </w:pPr>
      <w:r w:rsidRPr="00CF03FA">
        <w:rPr>
          <w:rStyle w:val="NumeroAFNegritaCaracter"/>
        </w:rPr>
        <w:t>3</w:t>
      </w:r>
      <w:r>
        <w:t>. Por providencia de 24 de enero de 2008 la Sección Primera de este Tribunal ordenó que se formase la presente pieza separada de suspensión, concediendo al demandante de amparo y al Ministerio Fiscal, conforme a lo dispuesto en el art. 56 LOTC, plazo común de tres días para formular alegaciones en relación con la suspensión solicitada.</w:t>
      </w:r>
    </w:p>
    <w:p w:rsidR="00CF03FA" w:rsidRDefault="00CF03FA" w:rsidP="00CF03FA">
      <w:pPr>
        <w:pStyle w:val="TextoNormal"/>
      </w:pPr>
    </w:p>
    <w:p w:rsidR="00CF03FA" w:rsidRDefault="00CF03FA" w:rsidP="00CF03FA">
      <w:pPr>
        <w:pStyle w:val="TextoNormal"/>
      </w:pPr>
      <w:r w:rsidRPr="00CF03FA">
        <w:rPr>
          <w:rStyle w:val="NumeroAFNegritaCaracter"/>
        </w:rPr>
        <w:t>4</w:t>
      </w:r>
      <w:r>
        <w:t>. El 31 de enero de 2008 se registró en este Tribunal el escrito de alegaciones del recurrente, en el que reitera su solicitud de suspensión de la Sentencia impugnada porque su ejecución haría inútil o baladí el amparo pretendido y porque, además, dicha suspensión no ocasiona perturbación grave a ningún interés constitucionalmente protegido ni a los derechos fundamentales o libertades de otras personas.</w:t>
      </w:r>
    </w:p>
    <w:p w:rsidR="00CF03FA" w:rsidRDefault="00CF03FA" w:rsidP="00CF03FA">
      <w:pPr>
        <w:pStyle w:val="TextoNormal"/>
      </w:pPr>
    </w:p>
    <w:p w:rsidR="00CF03FA" w:rsidRDefault="00CF03FA" w:rsidP="00CF03FA">
      <w:pPr>
        <w:pStyle w:val="TextoNormal"/>
      </w:pPr>
      <w:r w:rsidRPr="00CF03FA">
        <w:rPr>
          <w:rStyle w:val="NumeroAFNegritaCaracter"/>
        </w:rPr>
        <w:t>5</w:t>
      </w:r>
      <w:r>
        <w:t>. El Ministerio Fiscal evacuó el trámite de alegaciones mediante escrito presentado el 1 de febrero de 2008, interesando que se deniegue la suspensión solicitada. Recuerda el Ministerio Fiscal la doctrina reiterada de este Tribunal que deniega la suspensión de las resoluciones que permiten la restitución íntegra de lo ejecutado, como sucede con los pronunciamientos de efectos exclusivamente patrimoniales y, además, la escasa entidad económica de la multa impuesta (72 €) cuya suspensión se solicita, cuyo importe puede ser restituido íntegramente al demandante de amparo en caso de que el Tribunal otorgué el amparo solicitado.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Del tenor del art. 56.1 LOTC, en la redacción anterior a la establecida por la Ley Orgánica 6/2007, de 24 de mayo, resulta que la interposición de un recurso de amparo no suspende la ejecución del acto recurrido. Excepción a esta regla general es la de que dicha ejecución comporte la pérdida de la finalidad del amparo, sin que a su vez la suspensión produzca una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w:t>
      </w:r>
    </w:p>
    <w:p w:rsidR="00CF03FA" w:rsidRDefault="00CF03FA" w:rsidP="00CF03FA">
      <w:pPr>
        <w:pStyle w:val="TextoNormal"/>
      </w:pPr>
    </w:p>
    <w:p w:rsidR="00CF03FA" w:rsidRDefault="00CF03FA" w:rsidP="00CF03FA">
      <w:pPr>
        <w:pStyle w:val="TextoNormal"/>
      </w:pPr>
      <w:r w:rsidRPr="00CF03FA">
        <w:rPr>
          <w:rStyle w:val="NumeroAFNegritaCaracter"/>
        </w:rPr>
        <w:t>2</w:t>
      </w:r>
      <w:r>
        <w:t>. Con relación a los perjuicios de carácter patrimonial o económico derivados de la resolución recurrida en amparo, hemos señalado que, por más que puedan producir efectos desfavorables en el demandante,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w:t>
      </w:r>
    </w:p>
    <w:p w:rsidR="00CF03FA" w:rsidRDefault="00CF03FA" w:rsidP="00CF03FA">
      <w:pPr>
        <w:pStyle w:val="TextoNormal"/>
      </w:pPr>
      <w:r>
        <w:t xml:space="preserve">Sólo en el caso de que el recurrente en amparo justificase cumplidamente que el no otorgamiento de la suspensión le ocasionaría un perjuicio irreparable que haría perder al amparo </w:t>
      </w:r>
      <w:r>
        <w:lastRenderedPageBreak/>
        <w:t>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00CF03FA" w:rsidRDefault="00CF03FA" w:rsidP="00CF03FA">
      <w:pPr>
        <w:pStyle w:val="TextoNormal"/>
      </w:pPr>
    </w:p>
    <w:p w:rsidR="00CF03FA" w:rsidRDefault="00CF03FA" w:rsidP="00CF03FA">
      <w:pPr>
        <w:pStyle w:val="TextoNormal"/>
      </w:pPr>
      <w:r w:rsidRPr="00CF03FA">
        <w:rPr>
          <w:rStyle w:val="NumeroAFNegritaCaracter"/>
        </w:rPr>
        <w:t>3</w:t>
      </w:r>
      <w:r>
        <w:t>. Pues bien, en el caso que nos ocupa no concurren ninguna de las circunstancias expuestas para acordar la suspensión interesada, toda vez que, como acertadamente pone de manifiesto el Ministerio Fiscal en sus alegaciones, el perjuicio por la condena al pago de 72 € es perfectamente reparable y, además, el recurrente no acredita la irreparabilidad de los supuestos perjuicios económicos que afirma que le ocasionaría la ejecución de la Sentencia recurrida, haciendo perder al recurso de amparo su finalidad en caso de que finalmente fuese estimado.</w:t>
      </w:r>
    </w:p>
    <w:p w:rsidR="00CF03FA" w:rsidRDefault="00CF03FA" w:rsidP="00CF03FA">
      <w:pPr>
        <w:pStyle w:val="TextoNormal"/>
      </w:pPr>
      <w:r>
        <w:t>No procede, en consecuencia, acceder a la suspensión interesada, pues no se acredita por el recurrente la existencia de daños irreversibles o de muy difícil reparación que impidan la efectividad de la restauración en el derecho fundamental vulnerado, en caso de un eventual otorgamiento del amparo.</w:t>
      </w:r>
    </w:p>
    <w:p w:rsidR="00CF03FA" w:rsidRDefault="00CF03FA" w:rsidP="00CF03FA">
      <w:pPr>
        <w:pStyle w:val="TextoNormal"/>
      </w:pPr>
    </w:p>
    <w:p w:rsidR="00CF03FA" w:rsidRDefault="00CF03FA" w:rsidP="00CF03FA">
      <w:pPr>
        <w:pStyle w:val="TextoNormal"/>
      </w:pPr>
      <w:r>
        <w:t>Por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w:t>
      </w:r>
    </w:p>
    <w:p w:rsidR="00CF03FA" w:rsidRDefault="00CF03FA" w:rsidP="00CF03FA">
      <w:pPr>
        <w:pStyle w:val="TextoNormal"/>
      </w:pPr>
    </w:p>
    <w:p w:rsidR="00CF03FA" w:rsidRDefault="00CF03FA" w:rsidP="00CF03FA">
      <w:pPr>
        <w:pStyle w:val="TextoNormal"/>
      </w:pPr>
      <w:r>
        <w:t>Madrid, a veinticinco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27" w:name="AUTO_2008_66"/>
      <w:r>
        <w:lastRenderedPageBreak/>
        <w:t>AUTO 66/2008, de 25 de febrero de 2008</w:t>
      </w:r>
    </w:p>
    <w:bookmarkEnd w:id="127"/>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ECLI:ES:TC:2008:66A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Deniega la suspensión en el recurso de amparo 10640-2006, promovido por Arroyo Hondo, S.L., en contencioso por impuesto sobre incremento de terrenos de naturaleza urbana.</w:t>
      </w:r>
    </w:p>
    <w:p w:rsidR="00CF03FA" w:rsidRDefault="00CF03FA" w:rsidP="00CF03FA">
      <w:pPr>
        <w:pStyle w:val="SntesisDescriptiva"/>
      </w:pPr>
    </w:p>
    <w:p w:rsidR="00CF03FA" w:rsidRDefault="00CF03FA" w:rsidP="00CF03FA">
      <w:pPr>
        <w:pStyle w:val="SntesisAnaltica"/>
      </w:pPr>
      <w:r>
        <w:t>Suspensión cautelar de resoluciones contencioso-administrativas: contenido patrimonial; liquidación tributaria,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registrado en este Tribunal el 24 de noviembre de 2006, el Procurador de los Tribunales don Manuel Lanchares Perlado, en nombre y representación de Arroyo Hondo, S.L., y bajo la dirección del Letrado don Santiago Gastón de Iriarte Medrano, interpuso recurso de amparo contra el Auto de la Sección Segunda de la Sala de lo Contencioso-Administrativo del Tribunal Superior de Justicia de Castilla y León de 2 de noviembre de 2006, por el que se aclara la providencia de 26 de octubre de 2006, por la que se inadmite el incidente de nulidad de actuaciones contra la Sentencia de 18 de septiembre de 2006, dictada en el rollo núm. 77-2006, por la que se estima el recurso de apelación interpuesto contra la Sentencia del Juzgado de lo Contencioso-Administrativo de Ávila de 4 de abril de 2006, dictada en el procedimiento ordinario núm.109-2005. </w:t>
      </w:r>
    </w:p>
    <w:p w:rsidR="00CF03FA" w:rsidRDefault="00CF03FA" w:rsidP="00CF03FA">
      <w:pPr>
        <w:pStyle w:val="TextoNormal"/>
      </w:pPr>
      <w:r>
        <w:t>En la demanda de amparo se solicita por otrosí la suspensión de la ejecución de la resolución impugnada, en la que se declaran conformes a Derecho los Decretos de Alcaldía del Ayuntamiento de Ávila de 4 de noviembre de 2004 y 15 de marzo de 2005, por los que se practican las liquidaciones relativas al Impuesto sobre el incremento de los terrenos de naturaleza urbana núms. 4148 a 4150-2004, dictadas en el expediente núm. 1988-2004. A esos efectos se alega la existencia de prestación de garantía hipotecaria sobre una finca a favor del Ayuntamiento, aceptada por éste e inscrita en el Registro de la propiedad.</w:t>
      </w:r>
    </w:p>
    <w:p w:rsidR="00CF03FA" w:rsidRDefault="00CF03FA" w:rsidP="00CF03FA">
      <w:pPr>
        <w:pStyle w:val="TextoNormal"/>
      </w:pPr>
    </w:p>
    <w:p w:rsidR="00CF03FA" w:rsidRDefault="00CF03FA" w:rsidP="00CF03FA">
      <w:pPr>
        <w:pStyle w:val="TextoNormal"/>
      </w:pPr>
      <w:r w:rsidRPr="00CF03FA">
        <w:rPr>
          <w:rStyle w:val="NumeroAFNegritaCaracter"/>
        </w:rPr>
        <w:t>2</w:t>
      </w:r>
      <w:r>
        <w:t>. La Sección Segunda de este Tribunal, por sendas providencias de 9 de enero de 2008,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3</w:t>
      </w:r>
      <w:r>
        <w:t>. El Ministerio Fiscal, por escrito registrado el 29 de enero de 2008, presentó alegaciones en las que interesaba la denegación de la suspensión al tratarse de una condena de exclusivo contenido económico de la que no puede derivarse daños irreparables.</w:t>
      </w:r>
    </w:p>
    <w:p w:rsidR="00CF03FA" w:rsidRDefault="00CF03FA" w:rsidP="00CF03FA">
      <w:pPr>
        <w:pStyle w:val="TextoNormal"/>
      </w:pPr>
    </w:p>
    <w:p w:rsidR="00CF03FA" w:rsidRDefault="00CF03FA" w:rsidP="00CF03FA">
      <w:pPr>
        <w:pStyle w:val="TextoNormal"/>
      </w:pPr>
      <w:r w:rsidRPr="00CF03FA">
        <w:rPr>
          <w:rStyle w:val="NumeroAFNegritaCaracter"/>
        </w:rPr>
        <w:t>4</w:t>
      </w:r>
      <w:r>
        <w:t>. La entidad recurrente, por escrito registrado el 22 de enero de 2008, presentó alegaciones solicitando la suspensión de pago de las liquidaciones, afirmando, por un lado, que de hacerse efectivo haría perder al amparo solicitado su finalidad y, por otro, que la suspensión no puede causar perjuicio al interés público al mantenerse una garantía hipotecaria a favor del Ayuntamiento.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Este Tribunal ha reiterado que la ejecución de las Sentencias cuyos efectos son patrimoniales o de contenido económico ni causan un perjuicio irreparable al obligado al pago ni la eventual estimación del amparo les haría perder su finalidad, toda</w:t>
      </w:r>
    </w:p>
    <w:p w:rsidR="00CF03FA" w:rsidRDefault="00CF03FA" w:rsidP="00CF03FA">
      <w:pPr>
        <w:pStyle w:val="TextoNormal"/>
      </w:pPr>
      <w:r>
        <w:t>vez que es legalmente posible en caso de estimación que se obtenga la devolución de lo pagado en ejecución de la Sentencia. De ahí que se haya insistido en que sólo en aquellos supuestos en los que con un principio de prueba la ejecución de lo acordado</w:t>
      </w:r>
    </w:p>
    <w:p w:rsidR="00CF03FA" w:rsidRDefault="00CF03FA" w:rsidP="00CF03FA">
      <w:pPr>
        <w:pStyle w:val="TextoNormal"/>
      </w:pPr>
      <w:r>
        <w:t>acarree perjuicios patrimoniales difícilmente reparables por su entidad, por la imposibilidad de repercutir su costo o por la irreversibilidad de las situaciones jurídicas que puedan producirse procede acceder a la suspensión (por todos, ATC 459/2006, de</w:t>
      </w:r>
    </w:p>
    <w:p w:rsidR="00CF03FA" w:rsidRDefault="00CF03FA" w:rsidP="00CF03FA">
      <w:pPr>
        <w:pStyle w:val="TextoNormal"/>
      </w:pPr>
      <w:r>
        <w:t>18 de diciembre, FJ 1)</w:t>
      </w:r>
    </w:p>
    <w:p w:rsidR="00CF03FA" w:rsidRDefault="00CF03FA" w:rsidP="00CF03FA">
      <w:pPr>
        <w:pStyle w:val="TextoNormal"/>
      </w:pPr>
      <w:r>
        <w:t>En atención a ello, se ha de denegar la suspensión solicitada, toda vez que la condena es de exclusivo contenido patrimonial y no se ha ofrecido ni se ha argumentado por parte de la entidad recurrente un principio de prueba razonable sobre la irreparabilidad de los perjuicios que le ocasionaría su ejecución. Esta conclusión no resulta alterada por el hecho de que el pago de la obligación tributaria de la actora cuente con una garantía hipotecaria, ya que la inexistencia de perjuicios para el interés público sólo puede entrar a valorarse una vez que se verifique la producción de un perjuicio al recurrente que hiciera al amparo perder su finalidad, que es, precisamente, lo que no ha quedado acreditado en este caso (por todas, ATC 470/2007, de 17 de diciembre, FJ 2).</w:t>
      </w:r>
    </w:p>
    <w:p w:rsidR="00CF03FA" w:rsidRDefault="00CF03FA" w:rsidP="00CF03FA">
      <w:pPr>
        <w:pStyle w:val="TextoNormal"/>
      </w:pPr>
    </w:p>
    <w:p w:rsidR="00CF03FA" w:rsidRDefault="00CF03FA" w:rsidP="00CF03FA">
      <w:pPr>
        <w:pStyle w:val="TextoNormal"/>
      </w:pPr>
      <w:r>
        <w:t>Por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de la Sentencia de la Sección Segunda de la Sala de lo Contencioso-Administrativo del Tribunal Superior de Justicia de Castilla y León de Sentencia de 18 de septiembre de 2006, dictada en el rollo de apelación núm. 77-2006.</w:t>
      </w:r>
    </w:p>
    <w:p w:rsidR="00CF03FA" w:rsidRDefault="00CF03FA" w:rsidP="00CF03FA">
      <w:pPr>
        <w:pStyle w:val="TextoNormal"/>
      </w:pPr>
    </w:p>
    <w:p w:rsidR="00CF03FA" w:rsidRDefault="00CF03FA" w:rsidP="00CF03FA">
      <w:pPr>
        <w:pStyle w:val="TextoNormal"/>
      </w:pPr>
      <w:r>
        <w:t>Madrid, a veinticinco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28" w:name="AUTO_2008_67"/>
      <w:r>
        <w:lastRenderedPageBreak/>
        <w:t>AUTO 67/2008, de 25 de febrero de 2008</w:t>
      </w:r>
    </w:p>
    <w:bookmarkEnd w:id="128"/>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ECLI:ES:TC:2008:67A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Deniega la suspensión en el recurso de amparo 11709-2006, promovido por don José Manuel Velasco Lingres en causa por delito contra la seguridad de tráfico.</w:t>
      </w:r>
    </w:p>
    <w:p w:rsidR="00CF03FA" w:rsidRDefault="00CF03FA" w:rsidP="00CF03FA">
      <w:pPr>
        <w:pStyle w:val="SntesisDescriptiva"/>
      </w:pPr>
    </w:p>
    <w:p w:rsidR="00CF03FA" w:rsidRDefault="00CF03FA" w:rsidP="00CF03FA">
      <w:pPr>
        <w:pStyle w:val="SntesisAnaltica"/>
      </w:pPr>
      <w:r>
        <w:t>Suspensión cautelar de sentencias penales: multa y privación del permiso de conducir,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día 29 de diciembre de 2006, la Procuradora de los Tribunales doña Celia López Ariza, en nombre y representación de don José Manuel Velasco Lingres, interpuso recurso de amparo contra la Sentencia de la Sección Decimosexta de la Audiencia Provincial de Madrid de 16 de noviembre de 2006, recaída en el rollo de apelación núm. 384-2006, promovido contra la Sentencia del Juzgado de lo Penal núm. 6 de Madrid de 20 de octubre de 2005 dictada en juicio oral núm. 303-2005 por delito contra la seguridad de tráfico. La Sentencia de instancia absolvió al recurrente, siendo esta Sentencia revocada por la dictada en apelación, que condenó al recurrente, como autor de un delito contra la seguridad del tráfico, a la pena de un año y un día de privación del derecho a conducir vehículos a motor, multa de tres meses con una cuota diaria de tres euros, así como al pago de determinada indemnización y de las costas procesales de la primera instancia.</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otrosí, y de conformidad con el art. 56.1 LOTC, el demandante de amparo solicitó que se acordara la suspensión de la ejecución de la Sentencia condenatoria recurrida, afirmando que tal medida ocasionaría un perjuicio que haría perder al amparo su finalidad.</w:t>
      </w:r>
    </w:p>
    <w:p w:rsidR="00CF03FA" w:rsidRDefault="00CF03FA" w:rsidP="00CF03FA">
      <w:pPr>
        <w:pStyle w:val="TextoNormal"/>
      </w:pPr>
    </w:p>
    <w:p w:rsidR="00CF03FA" w:rsidRDefault="00CF03FA" w:rsidP="00CF03FA">
      <w:pPr>
        <w:pStyle w:val="TextoNormal"/>
      </w:pPr>
      <w:r w:rsidRPr="00CF03FA">
        <w:rPr>
          <w:rStyle w:val="NumeroAFNegritaCaracter"/>
        </w:rPr>
        <w:t>3</w:t>
      </w:r>
      <w:r>
        <w:t>. Por providencia de 15 de enero de 2008 la Sección Segunda de este Tribunal acordó la admisión a trámite del recurso de amparo y ordenó que se formase la oportuna pieza separada para la tramitación del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4</w:t>
      </w:r>
      <w:r>
        <w:t>. El Ministerio Fiscal evacuó el trámite de alegaciones conferido mediante escrito registrado el 7 de marzo de 2007. En dicho escrito pone de relieve, luego de recordar la doctrina constitucional sobre esta materia, que no procede la suspensión de la pena de privación de la pena de un año y un día de privación del permiso de conducir porque, en contra de lo que se afirma en la demanda, la suspensión del cumplimiento de una resolución firme de los órganos judiciales implica siempre una perturbación grave de los intereses generales, además de que el recurrente no ha acreditado las circunstancias específicas que justificarían la irreparabilidad de los perjuicios derivados de la aplicación de dicha pena. Por lo que respecta a la pena de multa, a los pronunciamientos sobre responsabilidad civil y al pago de las costas tampoco procedería la suspensión ya que, como viene afirmando este Tribunal en estos casos, existe sólo un perjuicio patrimonial que es eventualmente resarcible si el amparo se otorgara. 5. La representación procesal del demandante realizó sus alegaciones en la presente pieza de suspensión mediante escrito registrado el día 29 de enero de 2008. En la mismas aduce, en relación con la condena con contenido económico, que su cumplimiento tendría consecuencias irreparables para el demandante dada la situación precaria en que se encuentra, a cuyo efecto aporta certificación que acredita que su vivienda está gravada con hipoteca hasta el año 2030, así como que existen sobre la finca dos anotaciones preventivas de embargo. Por su parte, en relación con la pena de privación del derecho a conducir vehículos de motor, alega que su cumplimiento tendría consecuencias irreparables, puesto que el demandante vive en un pueblo pequeño que carece de servicios médicos, urgencias y hospitalarias, así como de establecimientos para adquirir suministros, teniendo que desplazarse a una localidad vecina continuamente, disponiendo únicamente de este moedio de transporte.</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art. 56 LOTC, en la redacción anterior a la establecida por la Ley Orgánica 6/2007, de 24 de mayo, que es la que, de acuerdo con lo previsto en su disposición transitoria tercera, resulta aplicable a los recursos de amparo interpuestos con anterioridad a su entrada en vigor, prescribe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CF03FA" w:rsidRDefault="00CF03FA" w:rsidP="00CF03FA">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w:t>
      </w:r>
      <w:r>
        <w:lastRenderedPageBreak/>
        <w:t>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294/2004, de 19 de julio).</w:t>
      </w:r>
    </w:p>
    <w:p w:rsidR="00CF03FA" w:rsidRDefault="00CF03FA" w:rsidP="00CF03FA">
      <w:pPr>
        <w:pStyle w:val="TextoNormal"/>
      </w:pPr>
    </w:p>
    <w:p w:rsidR="00CF03FA" w:rsidRDefault="00CF03FA" w:rsidP="00CF03FA">
      <w:pPr>
        <w:pStyle w:val="TextoNormal"/>
      </w:pPr>
      <w:r w:rsidRPr="00CF03FA">
        <w:rPr>
          <w:rStyle w:val="NumeroAFNegritaCaracter"/>
        </w:rPr>
        <w:t>2</w:t>
      </w:r>
      <w:r>
        <w:t>. Descendiendo en el análisis del supuesto a que se refiere la presente petición de suspensión, vista la naturaleza de la pena que se le ha impuesto al recurrente, conviene también recordar que este Tribunal ha venido declarando que procede, de acuerdo con la doctrina antes referenciada, acordar la suspensión de la ejecución de las penas privativas o restrictivas de derechos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cumplir de la misma, el riesgo de eludir la acción de la justicia y la posible desprotección de las víctimas (por todos ATC 209/2007, de 16 de abril). Por lo que se refiere a la pena de privación del derecho a conducir vehículos a motor y ciclomotores debe tenerse en cuenta, además, que este Tribunal ha venido acordando la suspensión cuando el demandante alega y acredita un perjuicio específico derivado de sus circunstancias personales o profesionales, como su condición laboral de conductor (ATC 242/2000, de 16 de octubre) o de repartidor (ATC 361/2003, de 10 de noviembre), o la ausencia de transporte público para acceder al lugar de trabajo (ATC 53/1999, de 8 de marzo), y, por el contrario, lo ha negado en los supuestos de falta de acreditación de tales específicos perjuicios irreparables (Así, AATC 258/2004, de 12 de julio, 327/2005, de 12 de septiembre y 371/2006, de 23 de octubre, entre otros).</w:t>
      </w:r>
    </w:p>
    <w:p w:rsidR="00CF03FA" w:rsidRDefault="00CF03FA" w:rsidP="00CF03FA">
      <w:pPr>
        <w:pStyle w:val="TextoNormal"/>
      </w:pPr>
      <w:r>
        <w:t>Conjugados todos estos criterios procede, en este caso, denegar la suspensión de la ejecución de la pena de un año y un día de privación del derecho a conducir vehículos a motor impuesta al recurrente. En efecto, éste no alega en su demanda o en sus alegaciones que la denegación de dicha suspensión le ocasione un especial perjuicio “derivado de sus circunstancias personales o profesionales”, sino que se refiere de forma genérica y vaga a los perjuicios que se derivarían del cumplimiento total de la pena antes de que este Tribunal resuelva el recurso de amparo, habida cuenta la genérica necesidad que tiene de desplazarse para adquirir suministros o la necesidad que eventualmente pueda tener de acudir a un servicio médico. Tal denegación se efectúa ponderando, de un lado, el interés general en la ejecución de la resolución judicial y el específico en la ejecución de la pena impuesta a la luz de la conexión del delito por el que ha sido condenado —delito contra la seguridad del tráfico—, y, de otro, el contenido de la pena a la que se refiere la suspensión solicitada —privación del derecho a conducir— y la especifica función asegurativa que ésta cumple en estos casos, dado que su suspensión ocasionaría una perturbación grave en los intereses generales, mientras que el perjuicio que ocasionaría su ejecución al recurrente es, sin más, el inherente a la ejecución de una pena de esta naturaleza y entidad (ATC 327/2005, de 12 de septiembre).</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relación a la pena de multa impuesta (tres meses con una cuota diaria de 3 euros), hay que recordar que este Tribunal ha establecido el criterio de que la ejecución de las resoluciones judiciales cuyos efectos son fundamentalmente patrimoniales o de contenido </w:t>
      </w:r>
      <w:r>
        <w:lastRenderedPageBreak/>
        <w:t>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(AATC 291/2004, de 19 de julio y 241/2005, de 6 de junio, entre otros muchos). Por lo que procede con carácter general denegar la suspensión de la ejecución de la pena en estos casos, máxime teniendo en cuenta, como el Fiscal apunta, la relativamente limitada cantidad impuesta en concepto de multa (doscientos setenta euros), y que el recurrente, si bien alega tener su vivienda hipotecada y embargada, no acredita la incidencia que esta circunstancia tenga en su situación económica, ni aduce razón específica que justifique la procedencia de la suspensión en su caso concreto “por los irreparables perjuicios que pudiera acarrearle la imposibilidad material de atender al pago, frustrando así la finalidad del amparo impetrado” (AATC 249/2000, de 30 de octubre y 298/2004, de 19 de julio). Esta doctrina es igualmente aplicable a la condena en costas procesales, pues al entrañar un pago en dinero, su ejecución no provoca ningún perjuicio que pueda hacer inútil el recurso de amparo (ATC 241/2005, de 6 de junio). Por consiguiente, en atención al carácter excepcional de la suspensión (art. 56 LOTC), ha de denegarse también la suspensión de la resolución impugnada en relación con la pena de multa impuesta y la condena al pago de las costas procesales de la primera instancia.</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de la ejecución de la Sentencia de la Audiencia Provincial de Madrid, Sección Décimosexta recaída en el recurso de apelación 384-2006, de 16 de noviembre de 2006.</w:t>
      </w:r>
    </w:p>
    <w:p w:rsidR="00CF03FA" w:rsidRDefault="00CF03FA" w:rsidP="00CF03FA">
      <w:pPr>
        <w:pStyle w:val="TextoNormal"/>
      </w:pPr>
    </w:p>
    <w:p w:rsidR="00CF03FA" w:rsidRDefault="00CF03FA" w:rsidP="00CF03FA">
      <w:pPr>
        <w:pStyle w:val="TextoNormal"/>
      </w:pPr>
      <w:r>
        <w:t>Madrid, a veinticinco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29" w:name="AUTO_2008_68"/>
      <w:r>
        <w:lastRenderedPageBreak/>
        <w:t>AUTO 68/2008, de 25 de febrero de 2008</w:t>
      </w:r>
    </w:p>
    <w:bookmarkEnd w:id="129"/>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ECLI:ES:TC:2008:68A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Acuerda el desistimiento en el recurso de amparo 3083-2007.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30" w:name="AUTO_2008_69"/>
      <w:r>
        <w:lastRenderedPageBreak/>
        <w:t>AUTO 69/2008, de 25 de febrero de 2008</w:t>
      </w:r>
    </w:p>
    <w:bookmarkEnd w:id="130"/>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ECLI:ES:TC:2008:69A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Acuerda el desistimiento en el recurso de amparo 6383-2007.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31" w:name="AUTO_2008_70"/>
      <w:r>
        <w:lastRenderedPageBreak/>
        <w:t>AUTO 70/2008, de 26 de febrero de 2008</w:t>
      </w:r>
    </w:p>
    <w:bookmarkEnd w:id="131"/>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ECLI:ES:TC:2008:70A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Deniega la aclaración de la Sentencia 29/2008, de 20 de febrero, en el recurso de amparo 1907-2003, promovido por don Alberto Cortina de Alcocer y otro.</w:t>
      </w:r>
    </w:p>
    <w:p w:rsidR="00CF03FA" w:rsidRDefault="00CF03FA" w:rsidP="00CF03FA">
      <w:pPr>
        <w:pStyle w:val="SntesisDescriptiva"/>
      </w:pPr>
    </w:p>
    <w:p w:rsidR="00CF03FA" w:rsidRDefault="00CF03FA" w:rsidP="00CF03FA">
      <w:pPr>
        <w:pStyle w:val="SntesisAnaltica"/>
      </w:pPr>
      <w:r>
        <w:t>Recurso de aclaración: improcedencia de la solicitud.</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En los recursos de amparo acumulados núms. 1907-2003 y 1911-2003, respectivamente promovidos por don Alberto Cortina de Alcocer y por don Alberto de Alcocer Torra contra la Sentencia de la Sala Segunda del Tribunal Supremo de 14 de marzo de 2003, que revocó la Sentencia absolutoria dictada en instancia por la Sección Séptima de la Audiencia Provincial de Madrid con fecha de 29 de diciembre de 2000 en procedimiento seguido contra los demandantes de amparo por delitos de falsedad en documento mercantil y de estafa, se dictó Sentencia por esta Sala Segunda, con fecha de 20 de febrero de 2008, en cuyo fallo se acuerda lo siguiente: </w:t>
      </w:r>
    </w:p>
    <w:p w:rsidR="00CF03FA" w:rsidRDefault="00CF03FA" w:rsidP="00CF03FA">
      <w:pPr>
        <w:pStyle w:val="TextoNormal"/>
      </w:pPr>
      <w:r>
        <w:t xml:space="preserve">“Otorgar parcialmente el amparo solicitado por don Alberto Cortina Alcocer y don Alberto Alcocer Torra y, en su virtud: </w:t>
      </w:r>
    </w:p>
    <w:p w:rsidR="00CF03FA" w:rsidRDefault="00CF03FA" w:rsidP="00CF03FA">
      <w:pPr>
        <w:pStyle w:val="TextoNormal"/>
      </w:pPr>
      <w:r>
        <w:t xml:space="preserve">1º. Declarar que ha sido vulnerado el derechos de los demandantes a la tutela judicial efectiva (art. 24.1 CE) en relación con su derecho a la libertad personal (art. 17.1 CE). </w:t>
      </w:r>
    </w:p>
    <w:p w:rsidR="00CF03FA" w:rsidRDefault="00CF03FA" w:rsidP="00CF03FA">
      <w:pPr>
        <w:pStyle w:val="TextoNormal"/>
      </w:pPr>
      <w:r>
        <w:t xml:space="preserve">2º. Restablecerlos en la integridad de su derecho y, a tal fin, anular la Sentencia de la Sala de lo Penal del Tribunal Supremo 298/2003, de 14 de marzo. </w:t>
      </w:r>
    </w:p>
    <w:p w:rsidR="00CF03FA" w:rsidRDefault="00CF03FA" w:rsidP="00CF03FA">
      <w:pPr>
        <w:pStyle w:val="TextoNormal"/>
      </w:pPr>
      <w:r>
        <w:t xml:space="preserve">3º. Desestimar la demanda de amparo en lo demás”. </w:t>
      </w:r>
    </w:p>
    <w:p w:rsidR="00CF03FA" w:rsidRDefault="00CF03FA" w:rsidP="00CF03FA">
      <w:pPr>
        <w:pStyle w:val="TextoNormal"/>
      </w:pPr>
      <w:r>
        <w:t>La Sentencia fue notificada a todas las partes el mismo día 20 de febrero de 2008.</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escrito registrado en este Tribunal el día 22 de febrero de 2008 don Manuel Sánchez–Puelles González-Carvajal, Procurador de los Tribunales y de doña María del Pilar San Martín y otros, asimismo comparecidos y parte en los citados recursos de amparo, ha solicitado la aclaración de la parte dispositiva de la citada Sentencia en cuanto a la extensión de sus efectos, pidiendo se especifique que el otorgamiento parcial del amparo no implica, de manera necesaria, la anulación de los pronunciamientos sobre responsabilidad civil contenidos en la Sentencia anulada, por cuanto esa es una cuestión que queda a la libre apreciación de los Tribunales ordinarios.</w:t>
      </w:r>
    </w:p>
    <w:p w:rsidR="00CF03FA" w:rsidRDefault="00CF03FA" w:rsidP="00CF03FA">
      <w:pPr>
        <w:pStyle w:val="TextoNormal"/>
      </w:pPr>
    </w:p>
    <w:p w:rsidR="00CF03FA" w:rsidRDefault="00CF03FA" w:rsidP="00CF03FA">
      <w:pPr>
        <w:pStyle w:val="TextoNormalNegritaCentrado"/>
        <w:keepNext/>
      </w:pPr>
      <w:r>
        <w:lastRenderedPageBreak/>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art. 93.1 LOTC establece que en el plazo de dos días, a contar desde la notificación, las partes podrán solicitar la aclaración de la Sentencia. Esta actuación judicial, de acuerdo con el art. 267.1 de la Ley Orgánica del Poder Judicial (LOPJ), deberá limitarse a “aclarar algún concepto oscuro y suplir cualquier omisión que contengan” sobre puntos discutidos en el litigio, pero no podrá suponer, sin embargo, variación o modificación de la Sentencia, siendo permitido también rectificar los errores materiales manifiestos y los aritméticos allí contenidos (últimamente, entre otros, AATC 363/20007, de 11 de septiembre, y 439/2006, de 11 de diciembre).</w:t>
      </w:r>
    </w:p>
    <w:p w:rsidR="00CF03FA" w:rsidRDefault="00CF03FA" w:rsidP="00CF03FA">
      <w:pPr>
        <w:pStyle w:val="TextoNormal"/>
      </w:pPr>
    </w:p>
    <w:p w:rsidR="00CF03FA" w:rsidRDefault="00CF03FA" w:rsidP="00CF03FA">
      <w:pPr>
        <w:pStyle w:val="TextoNormal"/>
      </w:pPr>
      <w:r w:rsidRPr="00CF03FA">
        <w:rPr>
          <w:rStyle w:val="NumeroAFNegritaCaracter"/>
        </w:rPr>
        <w:t>2</w:t>
      </w:r>
      <w:r>
        <w:t>. La solicitud de aclaración considerada interesa de este Tribunal que especifique que el segundo pronunciamiento del fallo reproducido en los antecedentes no significa, de manera necesaria, la anulación de los pronunciamientos de condena sobre indemnización de daños y perjuicios que contiene la Sentencia anulada. Además de que, como los propios solicitantes reconocen en su escrito, la citada aclaración se refiere a una cuestión de estricta legalidad ordinaria y, por tanto, que excede patentemente de nuestras competencias, la misma alude a un problema en materia de responsabilidad civil ex delicto no enjuiciado en nuestra Sentencia, cuyo fallo claramente y en forma inequívoca declara la nulidad de la Sentencia de la Sala Segunda del Tribunal Supremo recurrida en los presentes recursos de amparo acumulados. En consecuencia no procede acceder a la aclaración interesada, pues en este caso no existe ningún concepto oscuro, omisión o error material o aritmético que aclarar.</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No haber lugar a la aclaración solicitada.</w:t>
      </w:r>
    </w:p>
    <w:p w:rsidR="00CF03FA" w:rsidRDefault="00CF03FA" w:rsidP="00CF03FA">
      <w:pPr>
        <w:pStyle w:val="TextoNormal"/>
      </w:pPr>
    </w:p>
    <w:p w:rsidR="00CF03FA" w:rsidRDefault="00CF03FA" w:rsidP="00CF03FA">
      <w:pPr>
        <w:pStyle w:val="TextoNormal"/>
      </w:pPr>
      <w:r>
        <w:t>Madrid, a veintiséis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32" w:name="AUTO_2008_71"/>
      <w:r>
        <w:lastRenderedPageBreak/>
        <w:t>AUTO 71/2008, de 26 de febrero de 2008</w:t>
      </w:r>
    </w:p>
    <w:bookmarkEnd w:id="132"/>
    <w:p w:rsidR="00CF03FA" w:rsidRDefault="00CF03FA" w:rsidP="00CF03FA">
      <w:pPr>
        <w:pStyle w:val="TtuloResolucin"/>
      </w:pPr>
      <w:r>
        <w:t>Pleno</w:t>
      </w:r>
    </w:p>
    <w:p w:rsidR="00CF03FA" w:rsidRDefault="00CF03FA" w:rsidP="00CF03FA">
      <w:pPr>
        <w:pStyle w:val="TtuloResolucin"/>
      </w:pPr>
    </w:p>
    <w:p w:rsidR="00CF03FA" w:rsidRDefault="00CF03FA" w:rsidP="00CF03FA">
      <w:pPr>
        <w:pStyle w:val="TtuloBOE"/>
      </w:pPr>
      <w:r>
        <w:t>("BOE" núm. 76, de 28 de marzo de 2008)</w:t>
      </w:r>
    </w:p>
    <w:p w:rsidR="00CF03FA" w:rsidRDefault="00CF03FA" w:rsidP="00CF03FA">
      <w:pPr>
        <w:pStyle w:val="TtuloBOE"/>
      </w:pPr>
    </w:p>
    <w:p w:rsidR="00CF03FA" w:rsidRDefault="00CF03FA" w:rsidP="00CF03FA">
      <w:pPr>
        <w:pStyle w:val="SntesisDescriptiva"/>
      </w:pPr>
      <w:r>
        <w:t>ECLI:ES:TC:2008:71A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CF03FA" w:rsidRDefault="00CF03FA" w:rsidP="00CF03FA">
      <w:pPr>
        <w:pStyle w:val="SntesisDescriptiva"/>
      </w:pPr>
    </w:p>
    <w:p w:rsidR="00CF03FA" w:rsidRDefault="00CF03FA" w:rsidP="00CF03FA">
      <w:pPr>
        <w:pStyle w:val="SntesisDescriptiva"/>
      </w:pPr>
      <w:r>
        <w:t>Inadmite a trámite por infundada la cuestión de inconstitucionalidad 8638-2006, planteada por la Sala de lo Contencioso-Administrativo del Tribunal Superior de Justicia de Cataluña en relación con el artículo 3.4.2, letra a) del Real Decreto-ley 16/1977, de 25 de febrero, por el que se regulan los juegos de suerte, envite o azar y apuestas, en la redacción de las Leyes 5/1990, 12/1996 y 65/1997, que fija la cuantía de la tasa que grava las máquinas tipo “B”.</w:t>
      </w:r>
    </w:p>
    <w:p w:rsidR="00CF03FA" w:rsidRDefault="00CF03FA" w:rsidP="00CF03FA">
      <w:pPr>
        <w:pStyle w:val="SntesisDescriptiva"/>
      </w:pPr>
    </w:p>
    <w:p w:rsidR="00CF03FA" w:rsidRDefault="00CF03FA" w:rsidP="00CF03FA">
      <w:pPr>
        <w:pStyle w:val="SntesisAnaltica"/>
      </w:pPr>
      <w:r>
        <w:t>Principio de capacidad económica: tributos. Principio de igualdad: discriminación por indiferenciación; gravamen fiscal. Principio de interdicción de la arbitrariedad: doctrina sobre la arbitrariedad del legislador. Tasas: juegos de azar. Votos particulares: formulado uno.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día 15 de septiembre de 2006 tuvo entrada en el Registro General de este Tribunal Constitucional un escrito de la Sección Primera de la Sala de lo Contencioso-Administrativo del Tribunal Superior de Justicia de Cataluña, al que se acompaña, junto con el testimonio del correspondiente procedimiento, el Auto de la referida Sala de 19 de julio de 2006, mediante el que se acuerda elevar a este Tribunal cuestión de inconstitucionalidad en relación con el artículo tercero, apartado cuarto, núm. dos, letra a), del Real Decreto-ley 16/1977, de 25 de febrero, por el que se regulan los aspectos penales, administrativos y fiscales de los juegos de suerte, envite o azar y apuestas, en la redacción dada al mismo por los arts. 38.2.1 de la Ley 5/1990, de 29 de junio; 67.2 de la Ley 12/1996, de 30 de diciembre; y 73.5 de la Ley 65/1997, de 30 de diciembre; dado que dicho precepto pudiera ser contrario a los arts. 1.1, 9.3, 14, 31.1, 33, 38, 40.1 y 130.1, todos ellos de la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antecedentes de hecho del planteamiento de la presente cuestión de inconstitucionalidad son, en esencia, los siguientes: </w:t>
      </w:r>
    </w:p>
    <w:p w:rsidR="00CF03FA" w:rsidRDefault="00CF03FA" w:rsidP="00CF03FA">
      <w:pPr>
        <w:pStyle w:val="TextoNormal"/>
      </w:pPr>
      <w:r>
        <w:t xml:space="preserve">a) Las entidades Codere Tarragona, S.A., Codere Barcelona, S.A, y Codere Lleida, S.A, tras presentar en plazo las autoliquidaciones trimestrales de la tasa fiscal sobre los juegos de suerte, envite o azar, por las máquinas recreativas tipo “B” o recreativas con premio explotadas en los ejercicios 1992 a 1998, ambos inclusive, el 13 de enero de 1999 solicitaron </w:t>
      </w:r>
      <w:r>
        <w:lastRenderedPageBreak/>
        <w:t xml:space="preserve">en la Delegación Territorial del Departamento de Economía y Finanzas de la Generalidad de Cataluña la devolución de los ingresos realizados en concepto de dicha tasa (un total de 2.090.301, 47 euros, 12.314.166, 45 euros y 2.926.630,85 euros, respectivamente) al considerar que la misma infringía varios preceptos constitucionales. Contra la denegación de dichas solicitudes las citadas sociedades presentaron reclamaciones económico-administrativas, que fueron desestimadas por resoluciones de fecha 14 de junio de 2001 del Tribunal Económico- Administrativo Regional de Cataluña. </w:t>
      </w:r>
    </w:p>
    <w:p w:rsidR="00CF03FA" w:rsidRDefault="00CF03FA" w:rsidP="00CF03FA">
      <w:pPr>
        <w:pStyle w:val="TextoNormal"/>
      </w:pPr>
      <w:r>
        <w:t xml:space="preserve">b) Frente a las citadas resoluciones del Tribunal Económico-Administrativo Regional de Cataluña, Codere Tarragona, S.A., Codere Barcelona, S.A, y Codere Lleida, S.A., interpusieron recursos contencioso-administrativos ante la Sala de lo Contencioso-Administrativo del Tribunal Superior de Justicia de Cataluña (que fueron acumulados), con fundamento, en esencia, en la inconstitucionalidad del artículo tercero, apartado cuarto, del Real Decreto-ley 16/1977, de 25 de febrero, en las sucesivas redacciones dadas a dicho precepto por los arts. 38.2.1 de la Ley 5/1990 (tasas de los ejercicios 1992 a 1996), 67.2 de la Ley 12/1996 (tasa del ejercicio 1997), y 73.5 de la Ley 65/1997 (tasa del ejercicio 1998). En particular, las sociedades recurrentes sostenían que dicho precepto vulneraba los principios de justicia tributaria (art. 1.1 CE), interdicción de la arbitrariedad (art. 9.3 CE), capacidad económica (art. 31.1 CE), igualdad (arts. 14 y 31.1 CE), progresividad (art. 31.1 CE) y no confiscatoriedad (art. 31.1 CE), así como el derecho a la propiedad privada (art. 33 CE) y la libertad de empresa (art. 38 CE), razón por la cual interesaban de la Sala el planteamiento de la cuestión de inconstitucionalidad sobre el artículo tercero, apartado cuarto, del Real Decreto-ley 16/1977, en las sucesivas redacciones dadas por Leyes antes mencionadas. Admitido y tramitado el recurso, y una vez conclusos los autos, el día 6 de junio de 2006 la Sección Primera de la Sala de lo Contencioso-Administrativo del Tribunal Superior de Justicia de Cataluña dictó providencia en la que, de conformidad con el art. 35.2 LOTC, con suspensión del término del plazo para dictar sentencia, se acordó oír a las partes y al Ministerio Fiscal, por término de diez días, para que alegasen lo que estimaran oportuno “sobre la pertinencia de plantear cuestión de inconstitucionalidad del apartado a) del número dos del artículo 3.4 del Real Decreto-ley 16/1977, de 25 de febrero, según la redacción dada al mismo por los artículos 38.2.1 de la Ley 5/1990, de 29 de junio; 67.2 de la Ley 12/1996, de 30 de noviembre; y 73.5 de la Ley 65/1997, de 30 de diciembre; por inconstitucionalidad de la cuantía de la tasa de juego exigida durante los ejercicios 1992 a 1998, al poder contravenir los artículos 1.1 (justicia como valor superior del Ordenamiento jurídico), 9.3 (principio de interdicción de la arbitrariedad), 14 (principio de igualdad), 31.1 (principio de progresividad y prohibición de alcance confiscatorio del sistema tributario justo), 33 (derecho a la propiedad privada), 38 (reconocimiento de la libertad de empresa), 40.1 (condiciones favorables para el progreso económico) y 130.1 (modernización y desarrollo de todos los sectores económicos) de la Constitución española”. </w:t>
      </w:r>
    </w:p>
    <w:p w:rsidR="00CF03FA" w:rsidRDefault="00CF03FA" w:rsidP="00CF03FA">
      <w:pPr>
        <w:pStyle w:val="TextoNormal"/>
      </w:pPr>
      <w:r>
        <w:t xml:space="preserve">c) Notificada dicha resolución, el Abogado del Estado evacuó el trámite conferido mediante escrito presentado el 13 de junio de 2006, en el que se oponía al planteamiento de la cuestión de inconstitucionalidad con fundamento en los razonamientos esgrimidos por la Sentencia de 24 de abril de 2006 dictada por la propia Sección Primera de la Sala de lo Contencioso-Administrativo del Tribunal Superior de Justicia de Cataluña, resolución que, recogiendo el criterio de la STS de 25 de noviembre de 2000, dictada en interés de ley, declaraba ajustada a Derecho la cuota fija de la tasa fiscal sobre juegos de suerte, envite o azar. Por su parte, el Fiscal presentó escrito el 16 de junio de 2006 en el que estimaba que no procedía el planteamiento de la cuestión de inconstitucionalidad porque el art. tercero, apartado cuarto, del Real Decreto-ley 16/1977, no incurre en la arbitrariedad proscrita por </w:t>
      </w:r>
      <w:r>
        <w:lastRenderedPageBreak/>
        <w:t>el art. 9.3 CE, ni vulnera los principios de no confiscatoriedad y capacidad económica establecidos en el art. 31.1 CE, ni, en fin, desconoce el derecho de propiedad garantizado en el art. 33 CE. También el Abogado de la Generalidad, en su escrito presentado el 26 de junio de 2006, mantuvo la improcedencia de plantear la cuestión al considerar que el precepto impugnado respeta los arts. 1.1, 9.3, 14, 31.1, 33, 38, 40.1 y 130.1, todos ellos de la CE. Finalmente, la representación procesal de Codere Tarragona, S.A, Codere Barcelona, S.A, y Codere Lleida, S.A., mediante escrito presentado el 26 de junio de 2006, con apoyo en los mismos razonamientos expuestos en el escrito de demanda contencioso- administrativa, suplicaba se dictara Auto elevando a este Tribunal cuestión de inconstitucionalidad sobre el apartado a) del número dos del art. 3.4 del Real Decreto-ley 16/1977, en la redacción dada al mismo por los arts. 38.2.1 de la Ley 5/1990, 67.2 de la Ley 12/1996 y 73.5 de la Ley 65/1997.</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Mediante Auto de 19 de julio de 2006, la Sección Primera de la Sala de lo Contencioso- Administrativo del Tribunal Superior de Justicia de Cataluña acordó elevar a este Tribunal cuestión de inconstitucionalidad en relación con el art. tercero, apartado cuarto, núm. dos, letra a), del Real Decreto-ley 16/1977, de 25 de febrero, por el que se regulan los aspectos penales, administrativos y fiscales de los juegos de suerte, envite o azar y apuestas, en la redacción dada al mismo por los arts. 38.2.1 de la Ley 5/1990, de 29 de junio; 67.2 de la Ley 12/1996, de 30 de diciembre; y 73.5 de la Ley 65/1997, de 30 de diciembre; dado que dicho precepto pudiera ser contrario a los arts. 1.1, 9.3, 14, 31.1, 33, 38, 40.1 y 130.1, todos ellos de la CE. En la fundamentación jurídica del Auto se razona, en esencia, en los siguientes términos: </w:t>
      </w:r>
    </w:p>
    <w:p w:rsidR="00CF03FA" w:rsidRDefault="00CF03FA" w:rsidP="00CF03FA">
      <w:pPr>
        <w:pStyle w:val="TextoNormal"/>
      </w:pPr>
      <w:r>
        <w:t xml:space="preserve">a) Tras señalar el objeto de los recursos contencioso-administrativos núms. 1138-2001, 1148-2001 y 1149-2001 acumulados, expresar que dichos recursos se fundamentan en la inconstitucionalidad de la cuantía de la tasa de juego establecida en el apartado a) del número dos del artículo tercero, apartado cuarto, del Real Decreto-ley 16/1977, según la redacción dada al mismo por los arts. 38.2.1 de la Ley 5/1990, 67.2 de la Ley 12/1996 y 73.5 de la Ley 65/1997, y transcribir este último precepto, la Sala comienza poniendo de manifiesto que no ofrece problemas el juicio de relevancia que exigen los arts. 163 CE y 35.1 LOTC, dado que en los citados recursos se cuestiona la legalidad de las autoliquidaciones presentadas en concepto de la mencionada tasa en los ejercicios 1992 a 1998 con fundamento precisamente en la inconstitucionalidad del precepto legal cuestionado. </w:t>
      </w:r>
    </w:p>
    <w:p w:rsidR="00CF03FA" w:rsidRDefault="00CF03FA" w:rsidP="00CF03FA">
      <w:pPr>
        <w:pStyle w:val="TextoNormal"/>
      </w:pPr>
      <w:r>
        <w:t xml:space="preserve">b) Seguidamente, la Sala cuestionante, después de expresar las razones por las que entiende que la duda de constitucionalidad que se plantea no ha sido resuelta, ni por Sentencias dictadas por la propia Sala o por el Tribunal Supremo, como sostienen la representación procesal de la Generalidad y el Abogado del Estado, ni por la STC 173/1996, de 31 de octubre (en la medida en que dicha Sentencia se limitó a declarar la inconstitucionalidad del gravamen complementario de la tasa fiscal del juego aplicable en el año 1990, creado por el apartado 2 del art. 38.2 de la Ley 5/1990, de 29 de junio, por vulneración del principio de seguridad jurídica, sin examinar el resto de las dudas de constitucionalidad planteadas también en relación con la tasa), destaca que la llamada tasa del juego no es realmente una tasa, esto es, una contraprestación por la actividad administrativa de autorización de las máquinas recreativas, sino, como habrían señalado este Tribunal Constitucional y la Sala Tercera del Tribunal Supremo, un impuesto con finalidad extrafiscal que recae sobre el ejercicio de la actividad empresarial de explotación de dichas máquinas. </w:t>
      </w:r>
    </w:p>
    <w:p w:rsidR="00CF03FA" w:rsidRDefault="00CF03FA" w:rsidP="00CF03FA">
      <w:pPr>
        <w:pStyle w:val="TextoNormal"/>
      </w:pPr>
      <w:r>
        <w:t xml:space="preserve">c) Hechas las anteriores aclaraciones, la Sala expone la regulación que ha tenido dicho tributo. En este sentido, comienza destacando que el Real Decreto-ley 16/1977, de 25 de </w:t>
      </w:r>
      <w:r>
        <w:lastRenderedPageBreak/>
        <w:t xml:space="preserve">febrero, estableció que el tipo de la tasa del juego aplicable a las máquinas recreativas de cualquier clase era del 20 por 100 de la base imponible, esto es, de las cantidades que los jugadores dedicaran a su participación en los juegos; que el Real Decreto- ley 11/1979, de 20 de julio, además de modificar la base imponible de la tasa —que de las “cantidades jugadas” pasó a ser los “ingresos presuntos que se puedan obtener”—, en su disposición adicional sexta, 7ª, autorizó al Gobierno a fijar una tarifa única por cada máquina, que podría ser modificada por las Leyes de presupuestos y se determinaría en función de los ingresos presuntos que se pudieran obtener de las mismas y de los tipos tributarios establecidos en el Real Decreto-ley 16/1977; y, finalmente, que el Real Decreto-ley 9/1980, de 26 de septiembre, mientras que estableció con carácter general a partir del 1 de enero de 1981 un tipo del 20 por 100 para las máquinas o aparatos aptos para la realización de juegos de azar, aprobó una cuota fija en función de la clasificación de las máquinas, cuota que para las máquinas tipo “B” o recreativas con premio se estableció en 6.000 ptas. anuales por máquina. A juicio de la Sala, la modificación establecida por el Real Decreto-ley 9/1980 “alteró sustancialmente la esencia del tributo” y plantea dudas desde la perspectiva del principio de capacidad económica, porque para que se respete dicho principio es preciso que “este criterio fundamente la estructura del tributo, tanto en lo referente al hecho imponible, como a la base, al tipo o a la cuota”, y esta última quedó establecida en una cantidad fija, determinada en función del tipo de máquina y en atención a los rendimientos “previsibles” que podría generar su explotación, sin ninguna referencia a la capacidad económica de los sujetos llamados a satisfacer la tasa y sin tomar en consideración criterios razonables que permitan clasificar las máquinas, como la población, que se trate o no de una actividad de temporada, o la antigüedad de las mismas. </w:t>
      </w:r>
    </w:p>
    <w:p w:rsidR="00CF03FA" w:rsidRDefault="00CF03FA" w:rsidP="00CF03FA">
      <w:pPr>
        <w:pStyle w:val="TextoNormal"/>
      </w:pPr>
      <w:r>
        <w:t xml:space="preserve">A partir del Real Decreto-ley 9/1980 —señala el Auto de planteamiento— se produjo un incremento incesante del importe de la cuota fija de la tasa del juego, fijado inicialmente, por lo que aquí interesa, en 6.000 ptas. anuales por cada máquina recreativa tipo “B”. Así, en primer lugar, el Real Decreto-ley 8/1982, de 30 de abril, estableció para dichas máquinas una cuota fija de 40.000 ptas. anuales por máquina, incremento que la Exposición de motivos de dicha norma justificaba, entre otros motivos, en que, como consecuencia del tratamiento fiscal tan beneficioso que tenían dichas máquinas en comparación con la generalidad de los juegos (que quedaban gravados al 20 por 100 del importe total de las cantidades jugadas) y de la cuota tan extraordinariamente baja que soportaban en proporción a las cantidades que se movían en torno a las mismas, las máquinas y aparatos automáticos habían “experimentado un desarrollo tan desmesurado que, con independencia de otras posibles consideraciones ético-sociales”, habían “dado lugar a una notable retracción de otras modalidades de juegos fiscalmente más controladas, sin la correspondiente contrapartida del incremento en la recaudación”. </w:t>
      </w:r>
    </w:p>
    <w:p w:rsidR="00CF03FA" w:rsidRDefault="00CF03FA" w:rsidP="00CF03FA">
      <w:pPr>
        <w:pStyle w:val="TextoNormal"/>
      </w:pPr>
      <w:r>
        <w:t xml:space="preserve">Seguidamente, la Ley 5/1983, de 29 de junio, aumentó la cuota fija para las máquinas tipo “B” de 40.000 a 125.000 ptas. y creó un gravamen complementario aplicable a aquellas máquinas cuya tasa correspondiente al año 1983 se hubiera devengado con anterioridad a la entrada en vigor de dicha Ley, gravamen que fue declarado constitucional por la STC 126/1987, de 16 de julio. Posteriormente, esa cuota fija de 125.000 ptas., que se mantuvo con la Ley 33/1987, de 23 de diciembre, aumentó moderadamente hasta 135.000 ptas. por máquina y año para el ejercicio 1989 en virtud de la Ley 37/1988, de 28 de diciembre. </w:t>
      </w:r>
    </w:p>
    <w:p w:rsidR="00CF03FA" w:rsidRDefault="00CF03FA" w:rsidP="00CF03FA">
      <w:pPr>
        <w:pStyle w:val="TextoNormal"/>
      </w:pPr>
      <w:r>
        <w:t xml:space="preserve">Para el siguiente ejercicio, el art. 39.2 del Real Decreto-ley 7/1989, de 29 de diciembre, modificó el art. 3.4 del Real Decreto-ley 16/1977, de 25 de febrero, estableciendo en su apartado 2 a) una cuota fija para las máquinas recreativas tipo “B” de 141.750 ptas. Dicho Real Decreto-ley 7/1989, que fue tramitado como proyecto de ley conforme al art. 86.2 CE </w:t>
      </w:r>
      <w:r>
        <w:lastRenderedPageBreak/>
        <w:t xml:space="preserve">y por el procedimiento de urgencia, dio lugar a la Ley 5/1990, de 29 de junio, que, además de aumentar la cuota anual hasta la cantidad de 375.000 ptas. anuales por máquina, en su art. 38.2 creó un gravamen complementario, aplicable exclusivamente en el año 1990, cuyo importe ascendía a 233.250 ptas., que fue declarado inconstitucional por la referida STC 173/1996, de 31 de octubre. Según subraya el Auto de planteamiento, dicha elevación de la cuota y el gravamen complementario aprobados por el Real Decreto-ley 7/1989, conforme expresaba la enmienda del Grupo Socialista que propuso dichas medidas, se fundamentaron en los siguientes motivos: en que el “espectacular incremento del gasto en los juegos de suerte, envite o azar en nuestro país, est [aba] generando fenómenos sociales indeseables, cuya creciente intensidad no p[odía] ser ignorada”; en que las empresas dedicadas al juego no estaban “soportando una carga fiscal suficiente que cumpla el doble objetivo de controlar y estimular el control de estas actividades y redistribuir una proporción importante de esa cuota de gasto personal tan importante”, como era el caso de las máquinas del tipo “B”, que, según datos del Ministerio de Interior, generaron unos ingresos de 347.750 millones de ptas., por los que sólo se recaudaron 38.800 como tasa fiscal (un 11,18 por 100); y, finalmente, en que la empresas de juego estaban dirigiendo su actividad preferentemente hacia las máquinas de juego, ya que “se orientan hacia los estratos medios y bajos de la renta personal, constituyendo un riesgo evidente la proliferación de los “minicasinos” y los locales dedicados a este tipo de juegos”. La cuantía de 375.000 ptas. al año por máquina fue mantenida en 1991 por el art. 77 de la Ley 31/1990, de 27 de septiembre, y para 1992 por el art. 83.2 de la Ley 31/1991, de 30 de diciembre. </w:t>
      </w:r>
    </w:p>
    <w:p w:rsidR="00CF03FA" w:rsidRDefault="00CF03FA" w:rsidP="00CF03FA">
      <w:pPr>
        <w:pStyle w:val="TextoNormal"/>
      </w:pPr>
      <w:r>
        <w:t xml:space="preserve">Desde 1993 hasta 1996, sin embargo, las sucesivas Leyes de presupuestos generales del Estado incrementaron la cuantía de las tasas de la Hacienda estatal mediante la aplicación de unos coeficientes a las cuotas fijas exigibles en los ejercicios inmediatamente anteriores (1,05 para 1993; 1,03 para 1994; y 1,035 para 1995 y 1996), actualizaciones que la STC 296/1994 y, sobre todo, la STS de 14 de marzo de 1998, consideraron improcedentes porque estaban previstas para las tasas y el tributo sobre el juego no tiene tal naturaleza. </w:t>
      </w:r>
    </w:p>
    <w:p w:rsidR="00CF03FA" w:rsidRDefault="00CF03FA" w:rsidP="00CF03FA">
      <w:pPr>
        <w:pStyle w:val="TextoNormal"/>
      </w:pPr>
      <w:r>
        <w:t xml:space="preserve">Finalmente, tanto la Ley 12/1996, de 30 de diciembre (art. 67.2), como la Ley 65/1997, de 30 de diciembre (art. 73.5), dieron una nueva redacción al art. tres, apartado cuarto, del Real Decreto-ley 16/1977, de 25 de febrero, y establecieron una cuota fija anual para las máquinas tipo “B” de 456.000 ptas., cantidad a la que hay que añadir el recargo del 20 por 100 sobre la tasa de juego establecido por la Ley 2/1987, de 5 de enero, del Parlamento de Cataluña. </w:t>
      </w:r>
    </w:p>
    <w:p w:rsidR="00CF03FA" w:rsidRDefault="00CF03FA" w:rsidP="00CF03FA">
      <w:pPr>
        <w:pStyle w:val="TextoNormal"/>
      </w:pPr>
      <w:r>
        <w:t xml:space="preserve">Partiendo de la evolución legislativa expuesta, la Sala considera que son dos las cuestiones sobre las que debe centrarse su análisis: en primer lugar, la constitucionalidad del establecimiento de una cuota fija general y genérica, desconectada de las circunstancias de cada supuesto; y, en segundo lugar, la constitucionalidad de las cuantías aplicadas entre los años 1992 a 1998, incidiendo especialmente en la motivación que se ofreció al incremento de 141.740 ptas. a 375.000 ptas. por máquina y año que introdujo la Ley 5/1990. </w:t>
      </w:r>
    </w:p>
    <w:p w:rsidR="00CF03FA" w:rsidRDefault="00CF03FA" w:rsidP="00CF03FA">
      <w:pPr>
        <w:pStyle w:val="TextoNormal"/>
      </w:pPr>
      <w:r>
        <w:t xml:space="preserve">d) Para examinar la constitucionalidad de la cuantía del tributo cuestionado, la Sala considera que debe partirse de la premisa de que éste no constituye una tasa, sino un impuesto con finalidad extrafiscal que recae sobre el ejercicio de las actividades empresariales que explotan dichas máquinas. Esto sentado, la Sala señala que, conforme a la doctrina establecida por este Tribunal Constitucional, aunque cabe la existencia de tributos con fines no fiscales, éstos no puede perseguir “objetivos más o menos moralizantes”, sino únicamente los derivados de los arts. 40.1 y 130.1 CE, y deben siempre respetar los principios de capacidad económica (cita, a este respecto, la STC 37/1987), de igualdad en la contribución a </w:t>
      </w:r>
      <w:r>
        <w:lastRenderedPageBreak/>
        <w:t xml:space="preserve">los gastos del Estado (STC 255/2004), y, en general, los contenidos en el art. 31.1 CE, precepto que establece “auténtico mandato jurídico” (SSTC 182/1997, 137/2003 y 189/2005) que debe respetar la legislación financiera y tributaria. </w:t>
      </w:r>
    </w:p>
    <w:p w:rsidR="00CF03FA" w:rsidRDefault="00CF03FA" w:rsidP="00CF03FA">
      <w:pPr>
        <w:pStyle w:val="TextoNormal"/>
      </w:pPr>
      <w:r>
        <w:t xml:space="preserve">Pues bien, la Sala considera que para contrastar si el importe de la cuota única de la tasa de juego de los años 1992 a 1992 resulta respetuoso con el principio de “capacidad económica de las empresas que la soportan, con la igualdad entre ellas y con otras modalidades del juego, con la progresividad y con el límite de la confiscatoriedad”, debe atenderse a los resultados obtenidos con la aplicación de las leyes tributarias, valiéndose de la información que suministran los estudios económicos y estadísticos que, en este caso, resultan imprescindibles. </w:t>
      </w:r>
    </w:p>
    <w:p w:rsidR="00CF03FA" w:rsidRDefault="00CF03FA" w:rsidP="00CF03FA">
      <w:pPr>
        <w:pStyle w:val="TextoNormal"/>
      </w:pPr>
      <w:r>
        <w:t xml:space="preserve">e) Comenzando por el análisis, desde la perspectiva de la interdicción de la arbitrariedad que establece el art. 9.3 CE, de la cuantía de la tasa de juego que ha gravado las máquinas recreativas tipo “B” de 1992 a 1998, tras sintetizar la doctrina de este Tribunal sobre los supuestos en que puede calificarse una norma como arbitraria, la Sala concluye que la cuantía de la tasa del juego durante el citado período para las máquinas tipo “B” puede calificarse como arbitraria por varios motivos. A su juicio, el primer indicio de arbitrariedad, se aprecia en el aumento “irracional” del 300 por 100 que ha experimentado la tasa en sólo siete años —pasando de 125.000 ptas. por máquina en 1983 a 375.000 ptas. en 1990 (a 450.000 ptas., si se tiene en cuenta el recargo autonómico, lo que eleva el aumento a un 350 por 100)— y del 440 por 100 en catorce años —de 125.000 en 1983 a 547.200 en 1997—, aumento que se habría producido sin relación alguna con los resultados económicos de las empresas explotadoras, dado que dichos importes han girado, supuestamente, sobre sus “ingresos previsibles”. </w:t>
      </w:r>
    </w:p>
    <w:p w:rsidR="00CF03FA" w:rsidRDefault="00CF03FA" w:rsidP="00CF03FA">
      <w:pPr>
        <w:pStyle w:val="TextoNormal"/>
      </w:pPr>
      <w:r>
        <w:t xml:space="preserve">El segundo motivo por el que debe tacharse de arbitrario el mencionado incremento en el gravamen es que, aun cuando tanto la Exposición de motivos del Real Decreto-ley 8/1982, de 30 de abril, como la STC 126/1987, lo justificaron en el desarrollo de las máquinas automáticas y la retracción de otras modalidades de juego, lo que hacía necesario equilibrar la presión fiscal en el sector, tanto los datos del Ministerio del Interior como los de la Comisión Nacional del Juego ponen de manifiesto que entre 1987 y 1989 ha existido una “estabilización del equilibrio entre lo gastado en unas u otras modalidades de juego”. </w:t>
      </w:r>
    </w:p>
    <w:p w:rsidR="00CF03FA" w:rsidRDefault="00CF03FA" w:rsidP="00CF03FA">
      <w:pPr>
        <w:pStyle w:val="TextoNormal"/>
      </w:pPr>
      <w:r>
        <w:t xml:space="preserve">Por otro lado, a la hora de fijar la tasa de juego el legislador tampoco tuvo en cuenta que, conforme a los datos proporcionados anualmente por el Ministerio del Interior, a partir de 1992 el sector privado del juego experimentó un claro retroceso en sus ingresos brutos, de manera que hasta 1998 no se volvió a recuperar un volumen de ingresos ligeramente superior al de 1989; y que, según han puesto manifiesto los informes anuales de la Comisión Nacional del Juego, existe una clara tendencia a la baja en el juego privado, tanto en relación con los ejercicios anteriores (1997) como frente al juego público (durante todos estos años). </w:t>
      </w:r>
    </w:p>
    <w:p w:rsidR="00CF03FA" w:rsidRDefault="00CF03FA" w:rsidP="00CF03FA">
      <w:pPr>
        <w:pStyle w:val="TextoNormal"/>
      </w:pPr>
      <w:r>
        <w:t xml:space="preserve">En definitiva, la Sala aprecia la existencia de arbitrariedad en la subida de la tasa porque “las circunstancias concurrentes eran justamente las opuestas a aquellas que en 1982 y 1983 tanto el legislador como el Tribunal Constitucional estimaron justificativas del aumento de la tasa entonces producido”. Arbitrariedad que, a juicio de la Sala, no viene excluida por el hecho de que se trate de un tributo extrafiscal. En efecto, resulta cuestionable que, una vez descartada la penalización del juego, el legislador pueda seguir estimando como rechazable el mismo en atención a “consideraciones ético-sociales” (Exposición de motivos del Real Decreto-ley 8/1982). Y aunque se entendiese legítimo ese “intervencionismo ético-social”, considera un puro capricho que desde 1983 a 1990 se estimase como suficiente “desestímulo” una cuota de 125.000 ptas. y, de pronto, sin que exista justificación alguna de la </w:t>
      </w:r>
      <w:r>
        <w:lastRenderedPageBreak/>
        <w:t xml:space="preserve">decisión del legislador, se multiplique por tres la misma cuota (a la que, además, se le añade un recargo autonómico del 20 por 100). </w:t>
      </w:r>
    </w:p>
    <w:p w:rsidR="00CF03FA" w:rsidRDefault="00CF03FA" w:rsidP="00CF03FA">
      <w:pPr>
        <w:pStyle w:val="TextoNormal"/>
      </w:pPr>
      <w:r>
        <w:t xml:space="preserve">En realidad, aventura la Sala, con el incremento de la cuota de la tasa de juego no se trataba de aumentar la recaudación y disuadir del juego, sino de monopolizar el juego “en manos de la Administración o de entidades fuertemente intervenidas por ella” (el Organismo Nacional de Loterías y Apuestas del Estado y la Organización Nacional de Ciegos Españoles). </w:t>
      </w:r>
    </w:p>
    <w:p w:rsidR="00CF03FA" w:rsidRDefault="00CF03FA" w:rsidP="00CF03FA">
      <w:pPr>
        <w:pStyle w:val="TextoNormal"/>
      </w:pPr>
      <w:r>
        <w:t xml:space="preserve">De lo anterior deduce la Sala que la llamada tasa de juego sobre las máquinas recreativas carece de la finalidad extrafiscal que se le atribuye, dado que, ni el tributo se vincula a la consecución de finalidad alguna relacionada con los perjuicios que supuestamente pudiera ocasionar el juego a la sociedad, ni la tributación es igual para todos los operadores del sector, pues los públicos disfrutan de una tributación privilegiada respecto de los privados, por lo que nos encontraríamos ante un supuesto análogo al enjuiciado en la STC 289/2000, de 30 de noviembre (que declaró la inconstitucionalidad del Impuesto balear sobre instalaciones que incidan en el medio ambiente), y diferente al que dio lugar a la STC 168/2004, de 6 de octubre (que confirmó la constitucionalidad del gravamen sobre elementos tributarios afectos a actividades de riesgo situados en Cataluña). </w:t>
      </w:r>
    </w:p>
    <w:p w:rsidR="00CF03FA" w:rsidRDefault="00CF03FA" w:rsidP="00CF03FA">
      <w:pPr>
        <w:pStyle w:val="TextoNormal"/>
      </w:pPr>
      <w:r>
        <w:t xml:space="preserve">Al hilo de lo anterior, la Sala pone de manifiesto que un factor esencial para controlar la adecuación de la norma a la finalidad perseguida es la propia motivación de la misma. Y la única “motivación” conocida de las cuotas es la que se contiene en la justificación de la enmienda número 5 del Grupo Socialista que dio lugar en 1990 al incremento de la cuota anual de 141.750 ptas. a 375.000 ptas. mediante la Ley 5/1990. Pues bien, a juicio de la Sala, esta motivación, además de notoriamente insuficiente, era errónea, fundamentalmente por tres motivos. En primer lugar, porque no existió ese “espectacular incremento del gasto” en las máquinas tipo “B”, dado que dicho gasto representó el mismo porcentaje respecto del consumo total en juego en los años 1987, 1988 y 1989, e incluso fue descendiendo posteriormente hasta que en 1998 volvió a los niveles de 1998. En segundo lugar, porque los “fenómenos sociales indeseables” que se dicen producidos, ni vienen respaldados por estudios científicos solventes que lo demuestren, ni, en todo caso, son exclusivos de los juegos gestionados por las empresas privadas, pese a lo cual, mientras que la publicidad en los juegos privados está prohibida, no sólo se hace constante propaganda de los públicos, sino que éstos además se benefician de un tratamiento fiscal privilegiado en el IRFP. Y, en tercer lugar, en fin, porque no es cierto que las máquinas del tipo “B” generaran “unos ingresos para las empresas de 347.750 millones de ptas., por los que se recaudaron 38.800 como tasa fiscal (11,18 por 100)”: de un lado, porque la cantidad de 347.750 millones de ptas. no correspondía a los ingresos para las empresas, sino a la total recaudación (“recaudación bruta”), correspondiendo a la empresa sólo un 50 por 100 (“recaudación neta”); y, de otro lado, porque la cifra recaudada como tasa fiscal de 38.800 millones de ptas. respondía al número de tasas pagadas, que no coincidía con el de máquinas existentes (dado que en 1989 existía un parque de 325.000 máquinas, que a 135.000 ptas. cada una daban lugar a 43.875 millones de ptas., a lo que habría que sumar los recargos autonómicos correspondientes). En suma, para la Sala, resulta arbitrario justificar una modificación sustancial de las cuotas basándose en ingresos de las empresas que no tienen que ver con los beneficios netos de las mismas; y se incurre aún más en “discriminación, irracionalidad e incoherencia” cuando se comparan dichos ingresos con lo efectivamente recaudado y no con lo que correspondía legalmente recaudar. </w:t>
      </w:r>
    </w:p>
    <w:p w:rsidR="00CF03FA" w:rsidRDefault="00CF03FA" w:rsidP="00CF03FA">
      <w:pPr>
        <w:pStyle w:val="TextoNormal"/>
      </w:pPr>
      <w:r>
        <w:t xml:space="preserve">Finalmente, subraya la Sala que cuando el legislador ha fundamentado el objetivo de la tasa fiscal —en la enmienda núm. 5 del Grupo Socialista del Congreso, incorporada a la </w:t>
      </w:r>
      <w:r>
        <w:lastRenderedPageBreak/>
        <w:t xml:space="preserve">Ley 5/1990— no ha hecho referencia a las finalidades económicas o sociales mencionadas en los arts. 40.1 y 130.1 CE o en el art. 4 LGT, que son las únicas que este Tribunal habría admitido como justificación de los tributos no fiscales, sino en “finalidades de orden moralizante”. A su juicio, en efecto, estas finalidades no son constitucionalmente aceptables porque el art. 16.1 CE proclama la libertad ideológica y el art. 25.1 CE ciñe la potestad sancionadora de los Poderes públicos al principio de legalidad. Por otro lado, aunque el legislador pretende achacar los fenómenos indeseables del incremento del gasto en los juegos exclusivamente a los gestionados por empresas privadas, como demostrarían los informes anuales de la Comisión Nacional del Juego, los juegos públicos aumentan en cifras mucho mayores y son objeto de publicidad, especialmente en los medios públicos. En este sentido, la Sala considera arbitrario que el legislador, con fundamento en que el fenómeno del juego resulta indeseable, aumente en proporciones geométricas la fiscalidad del juego privado, y, al mismo tiempo, permita la proliferación de los juegos públicos y los promocione con medios ilimitados. </w:t>
      </w:r>
    </w:p>
    <w:p w:rsidR="00CF03FA" w:rsidRDefault="00CF03FA" w:rsidP="00CF03FA">
      <w:pPr>
        <w:pStyle w:val="TextoNormal"/>
      </w:pPr>
      <w:r>
        <w:t xml:space="preserve">Por las razones expuestas, la Sala considera que la norma cuestionada ha infringido los arts. 1.1 CE (que establece la justicia como valor superior del Ordenamiento) y 9.3 CE (que recoge el principio de interdicción de la arbitrariedad). </w:t>
      </w:r>
    </w:p>
    <w:p w:rsidR="00CF03FA" w:rsidRDefault="00CF03FA" w:rsidP="00CF03FA">
      <w:pPr>
        <w:pStyle w:val="TextoNormal"/>
      </w:pPr>
      <w:r>
        <w:t xml:space="preserve">f) A continuación la Sala expone las razones por las que entiende que el precepto cuestionado vulnera el principio de capacidad económica reconocido en el art. 31.1 CE. A este respecto, comienza recordando que el art. tercero, apartado cuarto, del Real Decreto-ley 16/1977 fijaba para las máquinas recreativas “B” un tipo del 20 por 100 de la base imponible, y que fue el Real Decreto-ley 9/1980 el que modificó dicho precepto estableciendo una cantidad fija por año y máquina, alterando de este modo la esencia del tributo: mientras que el hecho imponible de las tasas —señala— se vincula a una actividad o servicio de la Administración, el de los impuestos, como señala la STC 296/1994, está relacionado con negocios, actos o hechos que ponen de manifiesto la capacidad económica del sujeto pasivo. Y, para la Sala, resulta cuestionable que respete el principio de capacidad contributiva en el establecimiento de los tributos la exigencia de una cuota fija determinada en función del tipo de máquina y en atención a los rendimientos “previsibles” que podría generar su explotación. </w:t>
      </w:r>
    </w:p>
    <w:p w:rsidR="00CF03FA" w:rsidRDefault="00CF03FA" w:rsidP="00CF03FA">
      <w:pPr>
        <w:pStyle w:val="TextoNormal"/>
      </w:pPr>
      <w:r>
        <w:t xml:space="preserve">Entiende la Sala que, para que se respete el principio de capacidad económica recogido en el art. 31.1 CE y en el art. 3.1 de la vigente Ley 58/2003, General tributaria, resulta imprescindible que este criterio fundamente la estructura del tributo, “tanto en lo referente al hecho imponible, como a la base, al tipo o a la cuota”. Y, a su juicio, este principio no se tomó en consideración al establecer la cuota fija de la tasa fiscal sobre el juego en los ejercicios 1992 a 1998, dado que dicha cuota se precisó en una cantidad determinada en función de los rendimientos “previsibles” que en general podría generar la explotación de una máquina, sin atender a la capacidad económica de los sujetos pasivos de la tasa, ni tomar en consideración criterios razonables diferenciadores de dichas máquinas. </w:t>
      </w:r>
    </w:p>
    <w:p w:rsidR="00CF03FA" w:rsidRDefault="00CF03FA" w:rsidP="00CF03FA">
      <w:pPr>
        <w:pStyle w:val="TextoNormal"/>
      </w:pPr>
      <w:r>
        <w:t xml:space="preserve">Para concluir que el precepto cuestionado ha vulnerado el principio de capacidad económica la Sala, tras sintetizar la doctrina de este Tribunal sobre el citado principio, comienza señalando que la capacidad económica “no puede relacionarse sólo con la autosuficiencia para mantener funciones vitales mínimas”, sino también con la “autosuficiencia para participar del progreso económico”. Al margen de la pura confiscación —señala—, la cuota tributaria, “en relación con el valor o rentabilidad del bien o de la explotación, ha de dejar medios suficientes para generar ahorro e inversión”. </w:t>
      </w:r>
    </w:p>
    <w:p w:rsidR="00CF03FA" w:rsidRDefault="00CF03FA" w:rsidP="00CF03FA">
      <w:pPr>
        <w:pStyle w:val="TextoNormal"/>
      </w:pPr>
      <w:r>
        <w:t xml:space="preserve">Partiendo de esta premisa, después de señalar que los mecanismos técnicos de que disponen las máquinas recreativas permiten conocer las cantidades jugadas, la Sala sostiene </w:t>
      </w:r>
      <w:r>
        <w:lastRenderedPageBreak/>
        <w:t xml:space="preserve">que del estudio de los datos económicos y estadísticos se concluye que el aumento de las cuotas fijas de la tasa que grava las máquinas recreativas tipo “B” “supone la detracción de una cantidad superior incluso a la de los beneficios que arroja la explotación de cada una de las máquinas”. En particular, de los Informes que cita del Ministerio de Economía Hacienda, la Comisión Nacional del Juego y el Ministerio del Interior infiere que, “en todos los casos”, en la cuantía fijada para los ejercicios 1992 y siguientes, la tasa cuestionada sería muy superior al beneficio neto de las empresas, y que a partir de 1991 el importe en que se incrementó la cuota fija de la tasa de juego respecto de la establecida para 1989 es siempre superior al beneficio medio y al máximo de las máquinas tipo B”. En estas condiciones —concluye la Sala—, la tasa de juego estaba absorbiendo el posible beneficio neto que pudieran obtener de las máquinas tipo “B” las empresas operadoras, no los establecimientos hosteleros, que tienen otra finalidad específica por sus beneficios. </w:t>
      </w:r>
    </w:p>
    <w:p w:rsidR="00CF03FA" w:rsidRDefault="00CF03FA" w:rsidP="00CF03FA">
      <w:pPr>
        <w:pStyle w:val="TextoNormal"/>
      </w:pPr>
      <w:r>
        <w:t xml:space="preserve">Además, pone de relieve la Sala que el efecto confiscatorio del gravamen complementario de 1990 declarado inconstitucional motivó que el “parque” de máquinas recreativas del sector, que el 1 de enero de 1990 era de 330.000 máquinas, quedara reducido un año después a la cifra de 200.000. En 1998 la cifra de las máquinas tipo B era de 222.767, lo que demuestra que el sector no logró nunca recuperarse de los efectos derivados del citado gravamen complementario de 1990 y el desorbitado incremento de la cuota fija de la tasa de juego de los ejercicios posteriores. </w:t>
      </w:r>
    </w:p>
    <w:p w:rsidR="00CF03FA" w:rsidRDefault="00CF03FA" w:rsidP="00CF03FA">
      <w:pPr>
        <w:pStyle w:val="TextoNormal"/>
      </w:pPr>
      <w:r>
        <w:t xml:space="preserve">Por otro lado, la Sala considera que la justicia del sistema tributario exige que el análisis desde la perspectiva de la capacidad económica se realice teniendo en cuenta tanto el conjunto de las cargas fiscales que soportan las empresas operadoras de máquinas o aparatos automáticos como la particular estructura de sus costes empresariales. En este sentido, destaca que dichas Empresas no sólo soportan la tasa de juego cuestionada, sino también, además del Impuesto sobre la renta de las personas físicas o el Impuesto de sociedades, la anterior Licencia fiscal de actividades comerciales e industriales, el Impuesto sobre el valor añadido y el recargo autonómico del 20 por 100 creado por la Ley 2/1987, de 5 de enero, del Parlamento de Cataluña. Y en cuanto a la estructura de sus costes empresariales, la Sala señala que las empresas explotadoras de máquinas recreativas, como consecuencia de las exigencias propias del mercado, soportan un porcentaje de amortización muy superior al de otras actividades relacionadas con el juego. Pues bien, entiende la Sala que al haberse ignorado las circunstancias descritas cuando se aumentó sustancialmente la tasa de juego en 1990 se habría infringido el principio de capacidad económica. </w:t>
      </w:r>
    </w:p>
    <w:p w:rsidR="00CF03FA" w:rsidRDefault="00CF03FA" w:rsidP="00CF03FA">
      <w:pPr>
        <w:pStyle w:val="TextoNormal"/>
      </w:pPr>
      <w:r>
        <w:t xml:space="preserve">Además, la Sala considera que, en la medida en que las entidades mercantiles recurrentes, por el hecho imponible consistente en la obtención de renta por la explotación de las máquinas recreativas, deben satisfacer tanto el Impuesto sobre sociedades como la llamada tasa fiscal sobre el juego, que en realidad es un impuesto estatal, se produce una doble imposición, dado que entre ambas figuras existe identidad en los sujetos pasivos, en el sujeto activo, en el tiempo y en el objeto; doble imposición que habría sido confirmada por la citada STC 296/1994 y que, de acuerdo con la STC 242/2004, de 16 de diciembre, debe analizarse desde el punto de vista del principio de capacidad económica y de la prohibición de confiscatoriedad a que hace referencia el art. 31.1 CE. </w:t>
      </w:r>
    </w:p>
    <w:p w:rsidR="00CF03FA" w:rsidRDefault="00CF03FA" w:rsidP="00CF03FA">
      <w:pPr>
        <w:pStyle w:val="TextoNormal"/>
      </w:pPr>
      <w:r>
        <w:t xml:space="preserve">En definitiva, para la Sala cuestionante, de los datos ofrecidos en la demanda contencioso- administrativa se desprende que la tasa del juego “excede de los beneficios netos que obtienen las empresas explotadoras de las máquinas recreativas, una vez analizados los costes empresariales de explotación”, por lo que la norma cuestionada vulnera el principio de capacidad económica recogido en el art. 31.1 CE. </w:t>
      </w:r>
    </w:p>
    <w:p w:rsidR="00CF03FA" w:rsidRDefault="00CF03FA" w:rsidP="00CF03FA">
      <w:pPr>
        <w:pStyle w:val="TextoNormal"/>
      </w:pPr>
      <w:r>
        <w:lastRenderedPageBreak/>
        <w:t xml:space="preserve">g) Seguidamente, la Sala expone los motivos que le llevan a concluir que la norma cuestionada infringe asimismo el principio de igualdad establecido en los arts. 14 y 31.1 CE. Con este fin, comienza señalando que las SSTC 36/1999 y 200/1999 eludieron pronunciarse sobre la posible existencia de la vulneración del principio de igualdad alegada por los demandantes de amparo porque la discriminación denunciada no se produciría por razones de índole subjetiva, únicas a las que se refiere el art. 14 CE, sino por razones objetivas contrarias al art. 31.1 CE. </w:t>
      </w:r>
    </w:p>
    <w:p w:rsidR="00CF03FA" w:rsidRDefault="00CF03FA" w:rsidP="00CF03FA">
      <w:pPr>
        <w:pStyle w:val="TextoNormal"/>
      </w:pPr>
      <w:r>
        <w:t xml:space="preserve">Sentado lo anterior, una vez expresado el alcance que atribuye al principio de igualdad del art. 31.1 CE, la Sala examina el precepto legal cuestionado desde la perspectiva de dicho principio y del progresividad. Comienza este examen recordando que aun cuando originariamente la llamada tasa fiscal sobre el juego para las máquinas recreativas era proporcional a los ingresos, posteriormente, al carecer dichas máquinas de contador de monedas, se estableció una cuota única en función de los ingresos presuntos, sistema de cuantificación de las máquinas que, a juicio de la Sala, no respeta las exigencias de los principios de igualdad y progresividad, dado que, pese a que según los datos del Ministerio de Economía y Hacienda el rendimiento medio es el doble del mínimo y el máximo más del triple del mínimo, la tasa fiscal es la misma, de manera que “paga igual quien obtiene uno que quien obtiene dos o tres”, no siendo algo excepcional sino consustancial al propio sector las obtención de unas u otras recaudaciones tan dispares. En particular, a la luz de la doctrina de este Tribunal, considera la Sala que el mantenimiento de las cuotas fijas es inconstitucional desde la aprobación de la Orden de Ministerio del Interior de 8 de junio de 1989, cuyo apartado 1 estableció que las máquinas recreativas tipos “B” y de azar tipo “C” fabricadas a partir del día 1 de octubre de 1989 debían incorporar obligatoriamente contadores de monedas, que permiten obtener, entre otros, los datos relativos al número de monedas jugadas, número de monedas retornadas en forma de premios y la recaudación bruta obtenida por máquina. A juicio de la Sala cuestionante, no se trata de que el sistema porcentual sea de una mayor o menor equidad, sino de que el establecimiento de una cuota única fijada en relación con los rendimientos máximos resulta contraria a los principios de igualdad y de progresividad, constituyendo un indicio más de la “arbitrariedad confiscatoria” del aumento de las cuantías la posibilidad, rechazada por el legislador, de establecer para las máquinas recreativas una fiscalidad proporcional o incluso, como en el caso de los casinos, progresiva. </w:t>
      </w:r>
    </w:p>
    <w:p w:rsidR="00CF03FA" w:rsidRDefault="00CF03FA" w:rsidP="00CF03FA">
      <w:pPr>
        <w:pStyle w:val="TextoNormal"/>
      </w:pPr>
      <w:r>
        <w:t xml:space="preserve">De lo expuesto, la Sala extrae la conclusión de que la norma cuestionada vulnera el principio de igualdad del art. 14 CE, en síntesis, porque exigiendo el principio de igualdad que se establezca la misma tributación en las situaciones en las que exista igualdad de capacidad económica, la norma cuestionada fija una cuota única por máquina recreativa. </w:t>
      </w:r>
    </w:p>
    <w:p w:rsidR="00CF03FA" w:rsidRDefault="00CF03FA" w:rsidP="00CF03FA">
      <w:pPr>
        <w:pStyle w:val="TextoNormal"/>
      </w:pPr>
      <w:r>
        <w:t xml:space="preserve">h) El último de los principios del art. 31.1 CE que la Sala cuestionante entiende vulnerados es el de no confiscatoriedad, que considera un límite objetivo frente a la utilización del tributo como instrumento para sancionar las conductas, radicando la distinción entre sanción pecuniaria y prestación tributaria en la inexistencia de conducta antijurídica en el sujeto que viene obligado a cumplir la prestación tributaria. </w:t>
      </w:r>
    </w:p>
    <w:p w:rsidR="00CF03FA" w:rsidRDefault="00CF03FA" w:rsidP="00CF03FA">
      <w:pPr>
        <w:pStyle w:val="TextoNormal"/>
      </w:pPr>
      <w:r>
        <w:t xml:space="preserve">Para alcanzar la conclusión de que las cuantías de la tasa de juego para las máquinas tipo “B” pueden resultar confiscatorias en los términos del art. 31.1 CE, la Sala parte de que el aumento sustancial de dicha tasa ha implicado la absorción de “la mayor parte de los beneficios que reportan la mayoría de las máquinas recreativas”. Así se desprendería de los informes de los Ministerios de Hacienda e Interior ya mencionados, y así lo habría puesto de manifiesto la prueba pericial practicada en los recursos contencioso-administrativos acumulados que han dado lugar al planteamiento de la presente cuestión de inconstitucionalidad, de cuyos datos la Sala infiere que el importe de la tasa de juego era “desproporcionado y </w:t>
      </w:r>
      <w:r>
        <w:lastRenderedPageBreak/>
        <w:t xml:space="preserve">arbitrario, superior incluso, en algunos casos, a los beneficios obtenidos por la explotación de las máquinas tipo B, con el consiguiente carácter confiscatorio”, dado que, conforme a las SSTC 233/1999 y 14/1998, se produciría confiscación y, al mismo tiempo, por vía fiscal indirecta, el desconocimiento de la garantía prevista en el art. 33.1 CE, cuando mediante la aplicación de las diversas figuras tributarias vigentes se llegara a privar al sujeto pasivo de sus rentas y propiedades. Además de ese aspecto objetivo de la confiscación, a juicio de la Sala, concurriría también el aspecto subjetivo, esto es, el propósito penalizador o sancionador del tributo cuestionado, porque, partiendo de una errónea valoración de la situación económica del sector, se intenta sancionarlo con un tributo que venga a asfixiar sus actividades, en beneficio del juego controlado por el sector público o por los órganos dependientes del mismo. </w:t>
      </w:r>
    </w:p>
    <w:p w:rsidR="00CF03FA" w:rsidRDefault="00CF03FA" w:rsidP="00CF03FA">
      <w:pPr>
        <w:pStyle w:val="TextoNormal"/>
      </w:pPr>
      <w:r>
        <w:t xml:space="preserve">De todo lo expuesto la Sala concluye que la cuantía de la tasa de juego para las máquinas tipo B puede resultar contraria al principio de no confiscatoriedad del art. 31.1 CE. </w:t>
      </w:r>
    </w:p>
    <w:p w:rsidR="00CF03FA" w:rsidRDefault="00CF03FA" w:rsidP="00CF03FA">
      <w:pPr>
        <w:pStyle w:val="TextoNormal"/>
      </w:pPr>
      <w:r>
        <w:t xml:space="preserve">i) Una vez expresados los motivos por los que considera que la norma cuestionada vulnera la prohibición de confiscatoriedad establecida en el art. 31.1 CE, la Sala, después de reiterar que la tasa de juego puede vulnerar el derecho de propiedad reconocido en el art. 33 CE (porque “la corrección de supuestos excesos en la práctica del juego nunca puede llevarse a cabo obligando al cierre de las empresas que lo explotan, si no es a través de la correspondiente expropiación e indemnización”), explica las razones por las que puede infringir asimismo el derecho a la libertad de empresa en el marco de la economía de mercado garantizado en el art. 38 CE. A juicio de la Sala, este derecho debe ser interpretado poniéndolo en conexión con los arts. 128 y 131 CE (cita las SSTC 37/1981, FJ 2; 111/1983, FJ 10, y 225/1993, FJ 3), y viene a implicar, en esencia, el derecho a iniciar y sostener una actividad empresarial (SSTC 83/1984, FJ 3) y hacerlo en libre competencia (SSTC 88/1986, FJ 4; y 135/1992, FJ 8), todo lo cual exige, entre otras cosas, la defensa de los empresarios contra las prácticas, acuerdos, conductas o actuaciones atentatorias de esa libertad (STC 71/1982, FJ 15) y viene a establecer los límites dentro de los que necesariamente han de moverse los Poderes constituidos al adoptar medidas que incidan sobre el sistema económico de nuestra sociedad (STC 37/1981). </w:t>
      </w:r>
    </w:p>
    <w:p w:rsidR="00CF03FA" w:rsidRDefault="00CF03FA" w:rsidP="00CF03FA">
      <w:pPr>
        <w:pStyle w:val="TextoNormal"/>
      </w:pPr>
      <w:r>
        <w:t xml:space="preserve">Entre tales límites entiende la Sala que se encuentra la prohibición de que los Poderes públicos monopolicen un sector económico como el del juego, confiscando las actividades empresariales que hasta ahora lo gestionan en parte. A este respecto, destaca que en la regulación de la tasa de juego, ni los aumentos de su cuantía son proporcionados ni congruentes (ni siquiera están debidamente motivados), ni se respeta el principio de igualdad de oportunidades entre los distintos operadores del sector, dado que se beneficia claramente a los operadores públicos en detrimento de los privados, infringiendo de este modo la doctrina sentada en la STS de 10 de octubre de 1989, en virtud de la cual la actividad que se va a desarrollar con la Empresa pública ha de ser una actividad de indudable interés público, apreciable y apreciada en el momento de su creación, y ha de someterse, sin excepción ni privilegio alguno, directo ni indirecto, a las mismas reglas de libre competencia que rigen el mercado. En este sentido, recuerda la Sala que, conforme a la STC 112/2006, de 5 de abril, dentro de las medidas necesarias para la protección de la libertad de empresa tiene especial importancia la defensa de la competencia. </w:t>
      </w:r>
    </w:p>
    <w:p w:rsidR="00CF03FA" w:rsidRDefault="00CF03FA" w:rsidP="00CF03FA">
      <w:pPr>
        <w:pStyle w:val="TextoNormal"/>
      </w:pPr>
      <w:r>
        <w:t xml:space="preserve">Pues bien, para la Sala, en la regulación del juego no resultan respetados los citados principios, pues no queda garantizado que la actividad de las distintas empresas que operan en el sector del juego se ejerza “en condiciones de igualdad” (cita, a este respecto, las SSTC 112/2006, 225/1993 y 96/2002), ya que se ha primado a unas (básicamente, ONLAE y </w:t>
      </w:r>
      <w:r>
        <w:lastRenderedPageBreak/>
        <w:t xml:space="preserve">ONCE) con privilegios fiscales en el IRPF, en detrimento de las del sector privado, a las que se impone una tributación que puede resultar abusiva. </w:t>
      </w:r>
    </w:p>
    <w:p w:rsidR="00CF03FA" w:rsidRDefault="00CF03FA" w:rsidP="00CF03FA">
      <w:pPr>
        <w:pStyle w:val="TextoNormal"/>
      </w:pPr>
      <w:r>
        <w:t xml:space="preserve">Finalmente, concluye la Sala señalando que, conforme a la STC 109/2003, de 5 de junio, las restricciones a que puede quedar sometida la libertad de empresa son tolerables siempre que sean proporcionadas, de modo que, por adecuadas, contribuyan a la consecución del fin constitucionalmente legítimo al que propenden, y, por indispensables, hayan de ser inevitablemente preferidas a otras que pudieran suponer para la esfera de libertad pública protegida un sacrificio mayor. </w:t>
      </w:r>
    </w:p>
    <w:p w:rsidR="00CF03FA" w:rsidRDefault="00CF03FA" w:rsidP="00CF03FA">
      <w:pPr>
        <w:pStyle w:val="TextoNormal"/>
      </w:pPr>
      <w:r>
        <w:t>Por las razones expuestas, la Sala estima vulnerada la libertad de empresa reconocida en el art. 38 CE, en relación con los arts. 40.1 y 130.1, ambos CE.</w:t>
      </w:r>
    </w:p>
    <w:p w:rsidR="00CF03FA" w:rsidRDefault="00CF03FA" w:rsidP="00CF03FA">
      <w:pPr>
        <w:pStyle w:val="TextoNormal"/>
      </w:pPr>
    </w:p>
    <w:p w:rsidR="00CF03FA" w:rsidRDefault="00CF03FA" w:rsidP="00CF03FA">
      <w:pPr>
        <w:pStyle w:val="TextoNormal"/>
      </w:pPr>
      <w:r w:rsidRPr="00CF03FA">
        <w:rPr>
          <w:rStyle w:val="NumeroAFNegritaCaracter"/>
        </w:rPr>
        <w:t>4</w:t>
      </w:r>
      <w:r>
        <w:t>. Mediante providencia de 22 de mayo de 2007,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El Fiscal General del Estado evacuó el trámite conferido mediante escrito registrado el día 18 de junio de 2007, interesando la inadmisión de la cuestión de inconstitucionalidad por entender que resulta notoriamente infundada. </w:t>
      </w:r>
    </w:p>
    <w:p w:rsidR="00CF03FA" w:rsidRDefault="00CF03FA" w:rsidP="00CF03FA">
      <w:pPr>
        <w:pStyle w:val="TextoNormal"/>
      </w:pPr>
      <w:r>
        <w:t xml:space="preserve">Tras exponer los hechos de los que trae causa la presente cuestión, el Ministerio Fiscal comienza precisando que el precepto cuestionado es el art. 3 del Real Decreto-ley 16/1997, y, concretamente, su punto 4, apartado 2, letra a), que establece para las llamadas máquinas de tipo “B” una cuota anual que se ha ido modificando a lo largo de los años, de manera que era de 6.000 ptas. en 1980, de 40.000 ptas. en 1982, de 125.000 ptas. en 1983, de 141.750 ptas. en 1989, de 375.000 ptas. en 1990 y, finalmente, las 456.000 ptas. que fijó el art. 73.5 de la Ley 65/1997, de 30 de diciembre. En suma, se trata de un tributo cuya cuantía anual se ha ido actualizando periódicamente por el legislador. Y es precisamente la cuantía concreta modificada en cada período temporal por las diferentes redacciones del citado art. 3 del Real Decreto-ley 16/1977 lo que cuestiona la Sala por considerarla excesiva. </w:t>
      </w:r>
    </w:p>
    <w:p w:rsidR="00CF03FA" w:rsidRDefault="00CF03FA" w:rsidP="00CF03FA">
      <w:pPr>
        <w:pStyle w:val="TextoNormal"/>
      </w:pPr>
      <w:r>
        <w:t xml:space="preserve">Seguidamente, subraya el Fiscal que, además de la tasa cuestionada, se aprobó para los años 1983 y 1990 un gravamen complementario de dicha tasa, con carácter retroactivo, frente al que se plantearon varias cuestiones de inconstitucionalidad que fueron resueltas por este Tribunal en la STC 126/1987, que declaró constitucional la disposición adicional 6 de la Ley 5/1983, y en la STC 173/1996, que declaró inconstitucional el art. 38.2.2 de la Ley 5/1990, resoluciones de las que no se puede prescindir porque, aunque incidentalmente, hacen continuas referencias a la capacidad y posibilidades normativas en esta materia. </w:t>
      </w:r>
    </w:p>
    <w:p w:rsidR="00CF03FA" w:rsidRDefault="00CF03FA" w:rsidP="00CF03FA">
      <w:pPr>
        <w:pStyle w:val="TextoNormal"/>
      </w:pPr>
      <w:r>
        <w:t xml:space="preserve">A continuación, pasa el Fiscal General del Estado a responder de forma sistemática a los argumentos esgrimidos por la Sala de lo Contencioso-Administrativo del Tribunal Superior de Justicia de Cataluña para fundamentar la inconstitucionalidad de la norma cuestionada, comenzando por la alegada vulneración de la interdicción de la arbitrariedad que garantiza el art. 9.3 CE, en relación con la justicia como valor superior del Ordenamiento que postula el art. 1.1 CE y la justicia del sistema tributario a que alude el art. 31.1 CE. A este respecto, después de señalar que la Sala, con apoyo en dichos principios, considera que el primer síntoma de arbitrariedad de la norma es el irracional aumento de las cuotas de la tasa de juego, que en los años que lleva de existencia han llegado a alcanzar hasta un 300 y un 440 por 100, recuerda que, conforme a reiterada doctrina de este Tribunal, la mera discrepancia con la opción del legislador en el ámbito tributario no puede conducir a calificar a la norma de arbitraria si no comporta discriminación alguna (cita las SSTC 108/1986 y 65/1990). </w:t>
      </w:r>
    </w:p>
    <w:p w:rsidR="00CF03FA" w:rsidRDefault="00CF03FA" w:rsidP="00CF03FA">
      <w:pPr>
        <w:pStyle w:val="TextoNormal"/>
      </w:pPr>
      <w:r>
        <w:lastRenderedPageBreak/>
        <w:t xml:space="preserve">Sentado lo anterior, el Fiscal responde a los indicios de arbitrariedad de la Ley que señala el Auto de planteamiento de la cuestión. A su juicio, en primer lugar, frente a la consideración como síntoma de la arbitrariedad del legislador el “móvil” de carácter extrafiscal aducido por el mismo para incrementar la tasa cuestionada —en particular, que se pretenda, no sólo una finalidad recaudatoria, sino también “moralizante”—, ha de responderse con la doctrina sentada por este Tribunal en la STC 37/1987, que ha declarado la constitucionalidad de la finalidad “parafiscal” de los tributos con fundamento en lo dispuesto en los arts. 40.1 y 130.1 CE, y en la STC 173/1996, que reconoce la posibilidad constitucional de la utilización de la tasa sobre el juego, no sólo como instrumento recaudatorio, sino también como medio para la consecución de tales fines extrafiscales. En segundo lugar, para el Fiscal, la alegada tendencia hacia el monopolio de los juegos públicos o intervenidos que la Sala cuestionante considera como otro síntoma de arbitrariedad del legislador, no deja de ser una opinión sin ningún sustento real demostrado. Y, finalmente, también rechaza el Fiscal General del Estado que pueda calificarse como arbitraria la decisión de legislador, porque, según el Auto de planteamiento, haya aumentado de forma desmesurada la cuantía de la tasa que grava las máquinas recreativas tipo “B” sin motivación alguna, ya que las distintas normas que han ido fijando las cuantías de dicha tasa han ido ofreciendo unas motivaciones que han sido conocidas (dada la publicidad de los debates legislativos) y han sido recogidas por la propia STC 173/1996. En particular, se señalaba como fundamento del progresivo aumento del tributo cuestionado la finalidad de limitar el efecto indeseable de una actividad no recomendable para los ciudadanos, se hacía mención al gran incremento del gasto en esta actividad lúdica y se ponía de manifiesto que, pese a que la actividad del juego se gravaba con carácter general en un 20 por 100, la carga fiscal que suponía la tasa era sólo del 11,18 por 100. En opinión del Fiscal, aunque las citadas razones pueden ser objeto de discusión, no sólo no pueden ser tachadas de inexistentes, sino que además están corroboradas por el devenir de la tasa que grava las máquinas tipo “B”. En efecto, hay dos momentos históricos en que el legislador aprecia un notorio desfase entre la capacidad contributiva del sector y la tributación a la que se somete: en el primer momento dichas máquinas sólo se gravaban con 6.000 ptas. al año, razón por la cual en tres años se pasó a 125.000 ptas.; el segundo momento es el año 1990, en el que se aumenta la tasa de 141.500 a 375.000 ptas. por las razones expresadas en la enmienda del Grupo Socialista del Congreso y aducidas con anterioridad. Entiende el Fiscal que las demás variaciones han sido paulatinas y no excesivas, lo que permite entender que responden a adecuación al desarrollo económico general de la sociedad. </w:t>
      </w:r>
    </w:p>
    <w:p w:rsidR="00CF03FA" w:rsidRDefault="00CF03FA" w:rsidP="00CF03FA">
      <w:pPr>
        <w:pStyle w:val="TextoNormal"/>
      </w:pPr>
      <w:r>
        <w:t xml:space="preserve">Por todo lo expuesto, el Fiscal General del Estado considera que las modificaciones de la cuantía de la tasa cuestionada no han sido arbitrarias, dado que responden a unas razones que han sido puestas de relieve por el legislador, que no hizo más que optar por una determinada forma de regulación. </w:t>
      </w:r>
    </w:p>
    <w:p w:rsidR="00CF03FA" w:rsidRDefault="00CF03FA" w:rsidP="00CF03FA">
      <w:pPr>
        <w:pStyle w:val="TextoNormal"/>
      </w:pPr>
      <w:r>
        <w:t xml:space="preserve">Rechazada la vulneración del principio de interdicción de la arbitrariedad, el Fiscal General del Estado pasa a exponer las razones por las que considera que la norma cuestionada tampoco vulnera el principio de capacidad económica establecido en el art. 31.1 CE. A este respecto, comienza el Ministerio público reproduciendo y compartiendo las afirmaciones que sobre dicho principio hace la Sala cuestionante, en particular: que la capacidad económica es determinante como criterio de imposición; que la carga fiscal no debe ser fijada a un nivel superior a la capacidad económica que acredita el acto económico; y, en fin, que esa capacidad económica no debe relacionarse solamente con el mantenimiento de las necesidades vitales, de manera que para que un tributo no tenga carácter confiscatorio debe permitir al contribuyente competir en el ámbito económico o empresarial al que pertenezca. </w:t>
      </w:r>
    </w:p>
    <w:p w:rsidR="00CF03FA" w:rsidRDefault="00CF03FA" w:rsidP="00CF03FA">
      <w:pPr>
        <w:pStyle w:val="TextoNormal"/>
      </w:pPr>
      <w:r>
        <w:lastRenderedPageBreak/>
        <w:t xml:space="preserve">Compartiendo dichas afirmaciones, rechaza sin embargo el Fiscal General del Estado que, frente a lo que mantiene la Sala cuestionante, asumiendo la “realidad” de los datos aportados por las empresas recurrentes y despreciando los aducidos por el legislador cuando justificó la modificación de 1990, la prueba aportada en los expedientes acredite que la cuantía de la tasa cuestionada supere el límite de los beneficios netos que obtienen las citadas empresas. Pues, aunque el Auto de planteamiento de la cuestión narre una catastrófica situación económica para tales sociedades, que habría pervivido entre los años 1990 a 1997 y no habría desaparecido en la actualidad, resulta contrario a la más elemental lógica que si la situación era totalmente “ruinosa”, por suponer la tasa un exceso sobre los beneficios, las empresas hayan mantenido la explotación de las máquinas tipo “B”, dado que, tratándose de personas jurídicas empresariales, su actividad se rige por criterios de eficacia económica y no altruistas. </w:t>
      </w:r>
    </w:p>
    <w:p w:rsidR="00CF03FA" w:rsidRDefault="00CF03FA" w:rsidP="00CF03FA">
      <w:pPr>
        <w:pStyle w:val="TextoNormal"/>
      </w:pPr>
      <w:r>
        <w:t xml:space="preserve">Rechaza también el Fiscal General del Estado que se haya producido la vulneración del principio de igualdad reconocido en los arts. 14 y 31.1 CE al establecerse un sistema de cuota fija para las máquinas tipo “B” que impide adecuar el gravamen al rendimiento económico real de cada una de ellas, que obviamente no es el mismo. A su juicio, además de que faltan los elementos precisos para realizar la comparación necesaria que condujera a afirmar la quiebra de la igualdad, la opción que tomó en su día el legislador al establecer una tasa de cuota fija para este tipo de actividad en lugar de un porcentaje de los ingresos es válida constitucionalmente, siendo relativamente frecuente que se atienda a criterios externos o fijos cuando el verdadero alcance y cuantía del hecho impositivo no es susceptible de ser conocido. </w:t>
      </w:r>
    </w:p>
    <w:p w:rsidR="00CF03FA" w:rsidRDefault="00CF03FA" w:rsidP="00CF03FA">
      <w:pPr>
        <w:pStyle w:val="TextoNormal"/>
      </w:pPr>
      <w:r>
        <w:t xml:space="preserve">Por otro lado, en la medida en que el Auto de planteamiento alega que la tasa cuestionada tiene carácter confiscatorio porque suprime los beneficios o ganancias obtenidas en la actividad de explotación de máquinas tipo “B”, el Fiscal General del Estado se limita a rechazar dicha denuncia remitiéndose a sus alegaciones en relación con la denunciada vulneración de la capacidad económica, subrayando que no se ha acreditado que la cuantía de la tasa cuestionada supere el límite de los beneficios netos que obtienen las empresas recurrentes en el proceso a quo. </w:t>
      </w:r>
    </w:p>
    <w:p w:rsidR="00CF03FA" w:rsidRDefault="00CF03FA" w:rsidP="00CF03FA">
      <w:pPr>
        <w:pStyle w:val="TextoNormal"/>
      </w:pPr>
      <w:r>
        <w:t xml:space="preserve">Finalmente, entiende el Fiscal General del Estado que la mención que se hace en el Auto de planteamiento a los derechos constitucionales a la propiedad privada (art. 33 CE) y a la libertad de empresa (art. 38 CE) no constituye más que un intento por desentrañar el fundamento de la prohibición de la confiscatoriedad tributaria. A su juicio, aun cuando es cierto que esos derechos de marcado contenido económico y social sustentan ese límite a la capacidad impositiva de los Poderes públicos, dado que no se ha probado que la tasa de juego aplicada a las máquinas de azar tipo “B” tengan el carácter confiscatorio denunciado, debe concluirse que el derecho a la propiedad privada sólo se perjudica en los límites permitidos por el derecho del Estado a recaudar tributos, y que la libertad de empresa no se limita más allá del interés, constitucionalmente lícito, que pueda tener el Estado en que determinadas actividades como el juego, por no ser deseables, no encuentren excesivas facilidades para su desarrollo. </w:t>
      </w:r>
    </w:p>
    <w:p w:rsidR="00CF03FA" w:rsidRDefault="00CF03FA" w:rsidP="00CF03FA">
      <w:pPr>
        <w:pStyle w:val="TextoNormal"/>
      </w:pPr>
      <w:r>
        <w:t>Con fundamento en las consideraciones expuestas, concluye el Fiscal General del Estado interesando que se inadmita la cuestión por carecer manifiestamente de fundamento.</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En fecha 12 de diciembre de 2006, con arreglo a lo dispuesto en el art. 80 LOTC, en relación con el art. 219.6ª, 13ª y 16ª LOPJ, don Eugeni Gay Montalvo formalizó su abstención en el proceso al haber sido en su día Abogado, Asesor y Letrado de diversas empresas que desarrollaban su actividad en las máquinas de juego tipo “B”. Por Auto de 22 de enero </w:t>
      </w:r>
      <w:r>
        <w:lastRenderedPageBreak/>
        <w:t>de 2008 el Pleno del Tribunal acordó no estimar la abstención de don Eugeni Gay Montalvo en la presente cuestión de inconstitucionalidad.</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La Sección Primera de la Sala de lo Contencioso-Administrativo del Tribunal Superior de Justicia de Cataluña, por medio de Auto de 19 de julio de 2006, plantea cuestión de inconstitucionalidad en relación con el artículo tercero, apartado cuarto, núm.  dos, letra a), del Real Decreto-ley 16/1977, de 25 de febrero, por el que se regulan los aspectos penales, administrativos y fiscales de los juegos de suerte, envite o azar y apuestas, en la redacción dada al mismo por los arts. 38.2.1 de la Ley 5/1990, de 29 de junio; 67.2 de la Ley 12/1996, de 30 de diciembre; y 73.5 de la Ley 65/1997, de 30 de diciembre; dado que dicho precepto pudiera ser contrario a los arts. 1.1, 9.3, 14, 31.1, 33, 38, 40.1 y 130.1, todos ellos de la CE.</w:t>
      </w:r>
    </w:p>
    <w:p w:rsidR="00CF03FA" w:rsidRDefault="00CF03FA" w:rsidP="00CF03FA">
      <w:pPr>
        <w:pStyle w:val="TextoNormal"/>
      </w:pPr>
      <w:r>
        <w:t>Como ha quedado expuesto en los antecedentes, el órgano judicial proponente de la cuestión entiende que la cuantía de la tasa establecida en el precepto legal cuestionado, en las sucesivas redacciones dadas por las citadas Leyes, podría infringir los siguientes valores, principios y derechos constitucionales: en primer lugar, el valor justicia (arts. 1.1 y 31.1 CE) y la interdicción de la arbitrariedad (art. 9.3 CE), porque dicho precepto ha determinado que la tasa que grava las máquinas tipo “B” haya aumentado extraordinariamente durante los ejercicios 1983 a 1997, sin que exista justificación razonable; en segundo lugar, el principio de igualdad (arts. 14 y 31.1 CE), porque la norma establece una cuota única para todas las máquinas, pese a que la recaudación que se obtiene de cada una de ellas es muy diversa; en tercer lugar, los principios de capacidad económica y no confiscatoriedad (art. 31.1 CE), así como el derecho a la propiedad privada (art. 33.1 CE), en esencia, porque en lugar de cuantificar la tasa en función de la recaudación obtenida por cada máquina recreativa, se establece una cuota fija cuya cuantía es superior al beneficio neto obtenido por las empresas explotadoras, soportando éstas un gravamen excesivo para la capacidad económica que manifiestan; y, finalmente, el derecho a la libertad de empresa en el marco de la economía de mercado (art. 38 CE), en conexión con los arts. 40.1 y 130.1 CE, porque mientras que a las entidades de naturaleza pública que operan en el sector del juego se les prima con privilegios fiscales en el Impuesto sobre la renta de las personas físicas, a las del sector privado se les impone una tributación que puede resultar abusiva.</w:t>
      </w:r>
    </w:p>
    <w:p w:rsidR="00CF03FA" w:rsidRDefault="00CF03FA" w:rsidP="00CF03FA">
      <w:pPr>
        <w:pStyle w:val="TextoNormal"/>
      </w:pPr>
      <w:r>
        <w:t>El Fiscal General del Estado interesa la inadmisión de la presente cuestión por carecer manifiestamente de fundamento. A su juicio, ni las alteraciones en la cuantía de la tasa operadas por la norma cuestionada pueden calificarse de arbitrarias, dado que responden a motivaciones expuestas por el legislador y aceptadas por este Tribunal en la STC 173/1996, de 31 de octubre; ni puede apreciarse la vulneración de los principios de capacidad económica y no confiscatoriedad, ya que, amén de que la Sala no acredita que la tasa cuestionada supere los beneficios netos obtenidos con las máquinas recreativas, tal afirmación no se compadece con la circunstancia de que las empresas hayan mantenido su explotación; ni, finalmente, cabe estimar que la tasa cuestionada vulnere los derechos a la propiedad privada y a la libertad de empresa, porque, descartado el carácter confiscatorio de dicha tasa, tales derechos sólo resultan limitados, respectivamente, por el derecho del Estado a recaudar tributos y por el interés constitucionalmente legítimo de aquél en no facilitar el desarrollo de actividades no deseables como el juego.</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2</w:t>
      </w:r>
      <w:r>
        <w:t>. Planteada así la cuestión, el examen de la misma requiere comenzar recordando, una vez más, siquiera brevemente, que el art. 37.1 LOTC habilita a este Tribunal a rechazar, en trámite de admisión, mediante Auto y sin otra audiencia que la del Fiscal General del Estado, la cuestión de inconstitucionalidad cuando faltaren las condiciones procesales requeridas o cuando la cuestión planteada fuere notoriamente infundada.</w:t>
      </w:r>
    </w:p>
    <w:p w:rsidR="00CF03FA" w:rsidRDefault="00CF03FA" w:rsidP="00CF03FA">
      <w:pPr>
        <w:pStyle w:val="TextoNormal"/>
      </w:pPr>
      <w:r>
        <w:t>En relación con este último motivo de inadmisión hemos señalado reiteradamente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de las cuestiones de inconstitucionalidad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(en este sentido, entre los últimos, AATC 47/2001, de 27 de febrero, FJ 3; 28/2002, de 26 de febrero, FJ 3; 269/2003, de 15 de julio, FJ 2; 63/2004, de 24 de febrero, FJ 2; 417/2005, de 22 de noviembre, FJ 3; 132/2006, de 4 de abril, FJ 1; 282/2006, de 18 de julio, FJ 1; 431/2006, de 21 de noviembre, FJ 1; 465/2006, de 19 de diciembre, FJ 2; 466/2006, de 19 de diciembre, FJ 3; 17/2007, de 16 de enero, FJ 3; 200/2007, de 27 de marzo, FJ 3, 257/2007, de 23 de mayo, FJ 2, entre otros muchos).</w:t>
      </w:r>
    </w:p>
    <w:p w:rsidR="00CF03FA" w:rsidRDefault="00CF03FA" w:rsidP="00CF03FA">
      <w:pPr>
        <w:pStyle w:val="TextoNormal"/>
      </w:pPr>
      <w:r>
        <w:t>Pues bien, el análisis de la presente cuestión de inconstitucionalidad pone de manifiesto que en la misma concurre el citado motivo de inadmisión, dado que resulta notoriamente infundada. Ciertamente, como señala el Auto de planteamiento, este Tribunal no se ha pronunciado aún sobre la cuantía de la tasa fiscal del juego establecida por la norma impugnada en sus sucesivas redacciones. Así lo expresamos en la STC 58/2004, de 19 de abril, al señalar que “la cuantía de la tasa fiscal establecida en el número 1 del mismo art. 38.2 de la Ley 5/1990, tanto en su redacción anterior a la modificación operada por esta Ley (que estaba en 141.750 ptas.)  como en su redacción posterior (que se elevó a 375.000 ptas.), no ha sido cuestionada ante este Tribunal hasta la fecha” (FJ 6, in fine), dado que es sólo al gravamen complementario establecido en el apartado 2 del citado art. 38.2, “aplicable exclusivamente durante el ejercicio 1990, al que se contrajo el pronunciamiento de inconstitucionalidad de la citada STC 173/1996” (FJ 7). Sin embargo, las dudas de constitucionalidad que plantea la Sala en relación con la cuantía de la citada tasa, o han sido ya resueltas por este Tribunal expresa o implícitamente en diversas resoluciones a las que a continuación aludiremos o, sin excesivo esfuerzo argumental, puede concluirse que carecen notoriamente de fundamento.</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La Sala de lo Contencioso-Administrativo del Tribunal Superior de Justicia de Cataluña considera que la norma cuestionada desconoce el valor justicia que proclaman el art. 1.1 CE y —en relación al sistema tributario— el art. 31.1 CE, e incurre en la arbitrariedad proscrita por el art. 9.3 CE, porque ha determinado que la tasa que grava las máquinas recreativas tipo “B” haya experimentado un extraordinario aumento desde 1983 a 1997 (un 440 por 100 en catorce años), sin que la justificación ofrecida por el legislador pueda considerarse razonable. En particular, entiende la Sala que ni es cierto que, tal y como afirmaba la exposición de motivos del Real Decreto-ley 8/1982, de 30 de abril, como consecuencia del tratamiento fiscal tan beneficioso que tenían dichas máquinas éstas hubieran experimentado un desarrollo desmesurado en detrimento de otras modalidades de juego fiscalmente </w:t>
      </w:r>
      <w:r>
        <w:lastRenderedPageBreak/>
        <w:t>más controladas (los datos de algunos de los años comprendidos entre 1987 a 1998 ofrecidos por el Ministerio del Interior y la Comisión Nacional del Juego pondrían de manifiesto “una estabilización del equilibrio entre lo gastado en unas u otras modalidades de juego” y un claro retroceso del sector privado del juego); ni es correcto afirmar, como hacía la enmienda número cinco del Grupo Socialista que dio lugar a las medidas adoptadas en la Ley 5/1990, de 29 de junio, que durante el citado período se hubiera producido un “espectacular incremento del gasto” en las máquinas tipo “B” y que éstas hubieran generado para las empresas explotadoras unos ingresos de 347.750 millones de pesetas (esta sería la “recaudación bruta”, no el “beneficio neto”), por los que se recaudaron 38.800 como tasa fiscal (lo que correspondía legalmente recaudar eran 43.875 millones); ni, en fin, las “consideraciones ético-sociales” a las que aludía la citada exposición de motivos o los “fenómenos sociales indeseables” (que no vienen respaldados por estudios científicos solventes) citados por la mencionada enmienda pueden justificar los incrementos de la tasa del juego, no sólo porque los tributos extrafiscales únicamente pueden tener las finalidades económicas o sociales mencionadas en los arts. 40.1 y 130.1 de la CE (nunca “finalidades de orden moralizante”), sino también porque, de existir, esos fenómenos indeseables se darían asimismo en los Juegos públicos, y estos han aumentado en cifras mucho mayores, son objeto de publicidad y se benefician de un tratamiento fiscal privilegiado en el impuesto sobre la renta de las personas físicas.</w:t>
      </w:r>
    </w:p>
    <w:p w:rsidR="00CF03FA" w:rsidRDefault="00CF03FA" w:rsidP="00CF03FA">
      <w:pPr>
        <w:pStyle w:val="TextoNormal"/>
      </w:pPr>
      <w:r>
        <w:t>Acotada en estos términos la tacha de arbitrariedad, debemos comenzar recordando que, conforme a nuestra doctrina, sintetizada recientemente en la STC 13/2007, de 18 de enero, “el control de la constitucionalidad de las leyes debe ejercerse por este Tribunal de forma que no se impongan constricciones indebidas al Poder legislativo y se respeten sus opciones políticas. En efecto, como venimos señalando, el cuidado que este Tribunal ha de tener para mantenerse dentro de los límites de su control ha de extremarse cuando se trata de aplicar preceptos generales e indeterminados, como es el de la interdicción de la arbitrariedad. Así, al examinar un precepto legal impugnado desde este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(SSTC 239/1992, de 17 de diciembre, FJ 5; 233/1999, de 16 de diciembre, FJ 11; 104/2000, de 13 de abril, FJ 8; 120/2000, de 10 de mayo, FJ 3; 96/2002, de 25 de abril, FJ 6; 242/2004, de 16 de diciembre, FJ 7, y 47/2005, de 3 de marzo, FJ 7).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99/1987, de 11 de junio, FJ 4 a; 227/1988, de 29 de noviembre, FJ 5; 239/1992, de 17 de diciembre, FJ 5; 233/1999, de 16 de diciembre, FJ 12; y 73/2000, de 14 de marzo, FJ 4)” (FJ 4; recoge esta doctrina la STC 45/2007, de 1 de marzo, FJ 4).</w:t>
      </w:r>
    </w:p>
    <w:p w:rsidR="00CF03FA" w:rsidRDefault="00CF03FA" w:rsidP="00CF03FA">
      <w:pPr>
        <w:pStyle w:val="TextoNormal"/>
      </w:pPr>
      <w:r>
        <w:t xml:space="preserve">Pues bien, a la luz de nuestra doctrina, resulta claro que ninguna de las razones en las que el Auto de planteamiento funda la arbitrariedad de la norma cuestionada puede ser acogida. A este respecto, conviene comenzar señalando que este Tribunal ya ha tenido la ocasión de pronunciarse sobre las razones aducidas en la exposición de motivos del Real Decreto-ley 8/1982 y en la enmienda núm. 5 del Grupo Socialista (que dio lugar a las medidas incluidas en la Ley 5/1990) para incrementar la tasa fiscal del juego, y no ha alcanzado las </w:t>
      </w:r>
      <w:r>
        <w:lastRenderedPageBreak/>
        <w:t>mismas conclusiones que la Sala que plantea la cuestión. En efecto, debe subrayarse, en primer lugar, que, como se reconoce en el propio Auto de planteamiento, en la STC 126/1987, de 16 de julio, estimamos que el aumento de las cuotas fijas de la tasa fiscal establecido en la disposición adicional sexta, 3, de la Ley 5/1983, aparecía justificado “por la necesidad de adecuar dichas cuotas al tipo normal de gravamen que soportan otras modalidades de juego” (FJ 4). En dicha Sentencia, en efecto, después de afirmar, con fundamento en la exposición de motivos del Real Decreto-ley 8/1982, que la disposición cuestionada obedecía “al intento de adecuar la presión tributaria del sector en cuestión al resto de las modalidades de juego, a fin de lograr una mayor justicia tributaria y aminorar las distorsiones que venían produciéndose entre ellas y que, a su vez, estaban afectando negativamente a la recaudación total procedente del juego”, concluíamos que se trataba de una norma que “respond[ía] a la finalidad, constitucionalmente respaldada, de una mayor justicia tributaria” (FJ 13). Por su parte, en la STC 173/1996, de 31 de octubre, aun cuando consideramos que las razones expuestas en la citada enmienda del Grupo Socialista no justificaban el establecimiento en el art. 38.2.2 de la Ley 5/1990 de un “gravamen complementario de la tasa fiscal sobre los juegos de suerte, envite o azar” con efectos retroactivos, no apreciamos obstáculo alguno en que pudieran fundamentar un incremento de las cuantías de la mencionada tasa. Así, respecto de la finalidad de evitar los “fenómenos sociales indeseables” (tales como “ludopatías, cambios en los comportamientos, tensiones familiares”) y la reorientación de las empresas del juego hacia las máquinas recreativas, sin duda partiendo de que son constitucionalmente válidos los objetivos que “respondan principalmente a criterios económicos o sociales orientados al cumplimiento de fines o a la satisfacción de intereses públicos que la Constitución preconiza o garantiza” [SSTC 37/1987, de 26 de marzo, FJ 13, y 134/1996, de 22 de julio,  FJ 6 b)], estimamos conveniente “aclarar que, desde una perspectiva constitucional, nada cab[ía] oponer, ni a los objetivos que pretend[ía]n alcanzarse, ni a la utilización de la tasa sobre el juego, no sólo como instrumento recaudatorio, sino también como medio para la consecución de tales fines extrafiscales” [FJ 5 c)], y que aunque ninguna relación podían guardar “con el aumento de la cuota a satisfacer en el año 1990 mediante la creación del gravamen complementario”, las “razones de naturaleza económica y social expuestas en la motivación de la citada enmienda, podr[i]án servir para justificar el incremento de las cuotas fijas a aplicar en años sucesivos” [FJ 5 c)]; y en relación con la alegada desigualdad de tributación entre las máquinas recreativas y las restantes manifestaciones del juego señalamos que el legislador siempre podía haber remediado semejante discriminación “con la adopción de medidas respetuosas con la seguridad jurídica”. No siendo arbitrario ni irracional el aumento de las cuotas de la tasa que grava las máquinas recreativas tipo “B” operado por el Decreto-ley 8/1982 y la Ley 5/1990 resultaba improcedente “un análisis a fondo de todas las [demás] motivaciones posibles de la norma y de todas sus eventuales consecuencias” (STC 47/2005, de 3 de marzo, FJ 7).</w:t>
      </w:r>
    </w:p>
    <w:p w:rsidR="00CF03FA" w:rsidRDefault="00CF03FA" w:rsidP="00CF03FA">
      <w:pPr>
        <w:pStyle w:val="TextoNormal"/>
      </w:pPr>
      <w:r>
        <w:t xml:space="preserve">Tampoco puede apreciarse la existencia de arbitrariedad por el hecho de que, a diferencia de las máquinas recreativas tipo “B”, los juegos organizados por el Organismo Nacional de Loterías y Apuestas del Estado (ONLAE) o la Organización Nacional de Ciegos Españoles (ONCE) sean objeto de publicidad y sus premios estén exentos del impuesto sobre la renta de las personas físicas. Aunque para rechazar la discriminación que, en definitiva, denuncia la Sala, bastaría con subrayar, como hicimos en la STC 159/1997, de 2 de octubre, que el órgano judicial no alega trato desigual de los empresarios de máquinas tipo “B” “respecto a alguno o algunos de sus verdaderos iguales, quienes serían, en principio, a los efectos que aquí nos ocupan, las demás empresas explotadoras de máquinas de juego”, razón por la cual “es obvio que no existe identidad sustancial con el término de comparación aducido” (FJ </w:t>
      </w:r>
      <w:r>
        <w:lastRenderedPageBreak/>
        <w:t>4), conviene asimismo poner de manifiesto que las que se ofrecen como contraste constituyen modalidades de juego muy distintas, no sólo, como se afirma en el Auto de planteamiento de la cuestión, por razón del titular de la explotación —el Estado y una corporación de Derecho público, respectivamente—, sino también, y lo que resulta más importante, por la finalidad que persiguen: la de “fuente o recurso económico de la Hacienda del Estado”, en el caso de la Lotería nacional (STC 164/1994, de 26 de mayo, FJ 4), y la del “cumplimiento de los relevantes fines de indudable interés público que ha asumido desde su creación” la ONCE, en el caso del “cupón pro-ciegos” (STC 171/1998, de 23 de julio, FJ 5).</w:t>
      </w:r>
    </w:p>
    <w:p w:rsidR="00CF03FA" w:rsidRDefault="00CF03FA" w:rsidP="00CF03FA">
      <w:pPr>
        <w:pStyle w:val="TextoNormal"/>
      </w:pPr>
      <w:r>
        <w:t>En efecto, como hemos tenido la ocasión de afirmar, desde el siglo XVIII la explotación de las Loterías está reservada “a la Hacienda con el único fin de producir ingresos no tributarios, regalía de la Corona primero y monopolio fiscal más tarde”, y como tal “institución productora de ingresos para la hacienda general”, “como tal recurso ordinario del presupuesto de ingresos y monopolio del Estado es competencia de éste en virtud del título de hacienda general” (art. 149.1.14 CE), título “que no puede quedar limitado a la específica denominación de Lotería nacional como una de las modalidades de la Lotería, sino a todo lo que ésta significa como monopolio históricamente definido institucionalmente” (STC 163/1994, de 26 de mayo, FJ 5; en el mismo sentido SSTC 164/1994, de 26 de mayo, FJ 4; 216/1994, de 14 de julio, FJ 2; 49/1995, de 16 de febrero, FJ 3, y 171/1998, de 23 de julio, FJ 7), razón por la cual hemos incluido también en el mismo a la Lotería primitiva o de números y a la llamada “Bonoloto” (STC 164/1994, de 26 de mayo, FJ 5), así como el concurso extraordinario denominado “El Gordo de la Primitiva” (STC 216/1994, de 14 de julio, FJ 3).</w:t>
      </w:r>
    </w:p>
    <w:p w:rsidR="00CF03FA" w:rsidRDefault="00CF03FA" w:rsidP="00CF03FA">
      <w:pPr>
        <w:pStyle w:val="TextoNormal"/>
      </w:pPr>
      <w:r>
        <w:t xml:space="preserve">Por lo que se refiere a los sorteos organizados por la ONCE (“cupón pro-ciegos”), cuya autorización corresponde asimismo al Estado (STC 171/1998, de 23 de julio, FJ 8), hemos afirmado (en esa misma Sentencia) que la ONCE aparece configurada “como una organización de base asociativa que, además de atender a la consecución de fines privados, propios de los miembros que la integran, participa, en cuanto corporación de Derecho público, en el desempeño de funciones públicas o de interés público en aquellos supuestos concretos en que la Administración le delega su ejercicio” (FJ 4); y que el “indudable interés público que presentan las actividades que desarrolla y los fines que persigue, y que históricamente ha desarrollado y perseguido, respecto a la protección e integración de un concreto colectivo social, determina finalmente su actual configuración como una corporación de Derecho público de carácter social y justifica su sometimiento al protectorado del poder público”, “[f]ines y objetivos de evidente interés público y que conectan directamente con el mandato del art. 49 CE.” (FJ 4).  Y también hemos señalado que “el denominado “cupón pro-ciegos” aparece estrechamente vinculado, tanto históricamente como en la actualidad, a la decisión estatal de creación de la ONCE y al cumplimiento de los fines de indudable interés público que tiene encomendados, en razón de los cuales se define hoy aquélla como una corporación de Derecho público de carácter social, configurándose los rendimientos de aquél como un recurso financiero de una determinada entidad en orden a la satisfacción de los intereses públicos que ha de atender con su actividad respecto a un concreto colectivo de personas, los incapacitados visuales, con notables dificultades de integración, para los cuales la ONCE ha de perseguir la consecución de su autonomía personal y plena integración en la sociedad (art. 1 del Real Decreto 358/1991). En otras palabras, la justificación de la concesión que históricamente se ha mantenido, de la explotación del “cupón pro-ciegos” como fuente de recursos financieros de la entidad, no reside sino en la necesidad de dotarle de los medios económicos suficientes para el cumplimiento de los relevantes fines de indudable interés público que ha asumido desde su creación y asume en la actualidad. Medios económicos </w:t>
      </w:r>
      <w:r>
        <w:lastRenderedPageBreak/>
        <w:t>que arbitró el Estado mediante la autorización de ese sorteo en lugar de asignar una consignación con cargo a su propio presupuesto, constituyendo así una fuente de ingresos de la ONCE que ha sido y sigue siendo el principal recurso financiero de la entidad, soporte, por lo tanto, imprescindible e indispensable para el desempeño de las actividades que realiza tendentes a la satisfacción de los fines de interés público que tiene encomendados y que son su razón de ser y que hace posible el sostenimiento de aquellas actividades y la pervivencia de la propia entidad” (FJ 5).</w:t>
      </w:r>
    </w:p>
    <w:p w:rsidR="00CF03FA" w:rsidRDefault="00CF03FA" w:rsidP="00CF03FA">
      <w:pPr>
        <w:pStyle w:val="TextoNormal"/>
      </w:pPr>
      <w:r>
        <w:t>Lo expuesto conduce a desestimar la denuncia de la inconstitucionalidad que la Sala de lo Contencioso-Administrativo del Tribunal Superior de Justicia de Cataluña formula en relación con el precepto cuestionado con fundamento en su supuesta arbitrariedad, dado que, ni existe la discriminación que se denuncia, ni, aunque pueda discreparse legítimamente de la concreta solución adoptada por el legislador, cabe apreciar que ésta carezca de toda justificación razonable, y, conforme venimos señalando, no cabe “discutir una opción tomada por el legislador que, aunque pueda ser discutible, no resulta arbitraria ni irracional” (SSTC 44/1988, de 22 de marzo, FJ 13; 104/2000, de 23 de abril, FJ 8; 96/2002, de 25 de abril, FJ 6; 242/2004, de 16 de diciembre, FJ 7; y 47/2005, de 3 de marzo, FJ 7).</w:t>
      </w:r>
    </w:p>
    <w:p w:rsidR="00CF03FA" w:rsidRDefault="00CF03FA" w:rsidP="00CF03FA">
      <w:pPr>
        <w:pStyle w:val="TextoNormal"/>
      </w:pPr>
    </w:p>
    <w:p w:rsidR="00CF03FA" w:rsidRDefault="00CF03FA" w:rsidP="00CF03FA">
      <w:pPr>
        <w:pStyle w:val="TextoNormal"/>
      </w:pPr>
      <w:r w:rsidRPr="00CF03FA">
        <w:rPr>
          <w:rStyle w:val="NumeroAFNegritaCaracter"/>
        </w:rPr>
        <w:t>4</w:t>
      </w:r>
      <w:r>
        <w:t>. También carece manifiestamente de contenido constitucional la denunciada vulneración del principio de igualdad (arts. 14 y 31.1 CE). A juicio de la Sala que plantea la cuestión, dicha vulneración se produciría porque, exigiendo el citado principio, en conexión con el de progresividad (art. 31.1 CE), que se graven de forma igual los supuestos expresivos de la misma capacidad económica y de manera diferente las distintas manifestaciones riqueza, pese a que, como reconoce el propio Ministerio de Hacienda, la recaudación que se obtiene de unas y otras máquinas es muy diversa incluso en el mismo municipio, la norma cuestionada establece una cuota única en función de los ingresos presuntos para todas las máquinas. Trato discriminatorio que, además, carecería de justificación razonable, dado que, desde la aprobación de la Orden del Ministerio del Interior de 8 de junio de 1989, las máquinas recreativas tipo “B” deben incorporar obligatoriamente contadores de monedas que, entre otros datos, permiten conocer la recaudación bruta obtenida por máquina.</w:t>
      </w:r>
    </w:p>
    <w:p w:rsidR="00CF03FA" w:rsidRDefault="00CF03FA" w:rsidP="00CF03FA">
      <w:pPr>
        <w:pStyle w:val="TextoNormal"/>
      </w:pPr>
      <w:r>
        <w:t>Aunque la Sala alude también al principio de progresividad en el encabezamiento y en el suplico del Auto de planteamiento de la cuestión, dado que los razonamientos jurídicos se limitan a argumentar la vulneración del principio de igualdad y a solicitar que se declare la inconstitucionalidad del precepto cuestionado con fundamento en dicho principio, y, en todo caso, que, conforme a reiterada doctrina de este Tribunal, la progresividad no es exigible de cada tributo en particular, sino del sistema tributario en su conjunto [SSTC 27/1981, de 20 de julio, FJ 4 in fine; 37/1987, de 26 de marzo; 76/1990, de 26 de abril , FJ 6 b); 150/1990, de 4 de octubre, FJ 9; 173/1996, de 31 de octubre, FJ 1; 14/1998, de 22 de enero, FJ 11 b); y 327/2006, de 20 de noviembre, FJ 4], nos limitaremos a examinar la denunciada infracción del principio de igualdad reconocido en los arts. 14 y 31.1 CE.</w:t>
      </w:r>
    </w:p>
    <w:p w:rsidR="00CF03FA" w:rsidRDefault="00CF03FA" w:rsidP="00CF03FA">
      <w:pPr>
        <w:pStyle w:val="TextoNormal"/>
      </w:pPr>
      <w:r>
        <w:t xml:space="preserve">Pues bien, a este respecto, en primer lugar, conviene comenzar descartando que el art. 14 CE resulte concernido en este caso. En efecto, sintetizando nuestra doctrina general sobre el principio de igualdad, es necesario recordar que no toda proclamación constitucional de dicho principio “es reconducible, sin más, a la efectuada por el art. 14 CE”, dado que dicho precepto únicamente tutela frente a las discriminaciones basadas en “una diferenciación de índole subjetiva” (SSTC 159/1997, de 2 de octubre, FFJJ 3 y 4; 183/1997, de 28 de octubre, FJ 3; 55/1998, de 16 de marzo, FFJJ 2 y 3; 71/1998, de 30 de marzo, FJ 4; 36/1999, de 22 de marzo, FJ 3; 84/1999, de 10 de mayo, FJ 4; 200/1999, de 8 de noviembre, FJ 3; 111/2001, de 7 de mayo, FJ 7; 54/2006, de 27 de febrero, FJ 6, y 45/2007, de 1 de marzo, FJ 3, y ATC </w:t>
      </w:r>
      <w:r>
        <w:lastRenderedPageBreak/>
        <w:t>1/2000, de 10 de enero, FJ 4).  Sentado lo anterior, no fundándose la discriminación denunciada por la Sala de lo Contencioso-Administrativo del Tribunal Superior de Justicia de Cataluña en ninguna de las razones subjetivas a las que alude expresamente el art. 14 CE, como señalamos al responder a idéntica alegación en relación con la misma tasa fiscal que grava las máquinas recreativas tipo “B” en las SSTC 55/1998, de 16 de marzo (FJ 3), y 200/1999, de 8 de noviembre (FJ 3), debe excluirse que se haya producido la infracción del citado precepto constitucional (en el mismo sentido, en relación con el llamado gravamen complementario de la tasa fiscal del juego, SSTC 159/1997, de 2 de octubre, FJ 4; 183/1997, de 28 de octubre, FJ 3; 71/1998, de 30 de marzo, FJ 4; 137/1998, de 29 de junio, FJ 2; 36/1999, de 22 de marzo, FJ 3, y 84/1999, de 10 de mayo, FJ 4).</w:t>
      </w:r>
    </w:p>
    <w:p w:rsidR="00CF03FA" w:rsidRDefault="00CF03FA" w:rsidP="00CF03FA">
      <w:pPr>
        <w:pStyle w:val="TextoNormal"/>
      </w:pPr>
      <w:r>
        <w:t>Pero tampoco cabe considerar implicado el derecho a la igualdad del art. 31.1 CE, lo que sucede siempre que se denuncia “que, sin justificación objetiva y razonable, índices de capacidad económica idénticos son objeto de un gravamen diverso” (STC 54/2006, de 27 de febrero, FJ 6). En efecto, la Sala no fundamenta la presunta infracción del principio de igualdad del art. 31.1 CE “en el diferente tratamiento que, desde la perspectiva del deber de contribuir, atribuye el legislador a idénticas manifestaciones de riqueza” (STC 57/2005, de 14 de marzo, FJ 3), sino en la circunstancia de que la norma cuestionada grava con la misma cuota fija a máquinas recreativas que obtienen diferentes rendimientos, esto es, porque trata de forma igual supuestos diversos.  De este modo, es evidente que el órgano judicial no plantea otra cosa que la existencia de lo que hemos venido denominando como “discriminación por indiferenciación”; y, conforme a reiterada doctrina de este Tribunal, el principio constitucional de igualdad no consagra “un derecho a la desigualdad de trato, ni ampara la falta de distinción entre supuestos desiguales, por lo que no existe ningún derecho subjetivo al trato normativo desigual” [STC 69/2007, de 16 de abril, FJ 4, en relación con el principio de igualdad del art. 14 CE; en el mismo sentido, SSTC 117/2006, de 24 de abril, FJ 2 c); 257/2005, de 24 de octubre, FJ 4; 231/2005, de 26 de septiembre, FJ 5; 104/2005, de 9 de mayo, FJ 3; 156/2003, de 15 de septiembre, FJ 3; 88/2001, de 2 de abril, FJ 3; 21/2001, de 29 de enero, FJ 2; 181/2000, de 29 de junio, FJ 11; 36/1999, de 22 de marzo, FJ 4; 211/1996, de 17 de diciembre, FJ 4, y 308/1994, de 21 de noviembre, FJ 5]. Doctrina esta que, formulada en la mayoría de nuestros pronunciamientos en relación con la igualdad del art. 14 CE, hemos extendido también implícitamente a la igualdad del art.  31.1 CE. Así lo hicimos, en efecto, en la STC 55/1998, de 16 de marzo, cuando, frente al mismo reproche de discriminación por indiferenciación que se hacía a la tasa fiscal que grava las máquinas recreativas tipo “B”, tras dejar claro que las alegaciones del recurrente debían entenderse referidas, “todo lo más, al principio de capacidad contributiva y al específico contenido del principio de igualdad en materia tributaria”, concluíamos que no procedía otorgar el amparo pretendido porque “el fondo de la argumentación del recurrente t[endía] a sustentar una imposible pretensión a que se ampar [ara] su derecho a la desigualdad” (FJ 3); y también en la STC 36/1999, de 22 de marzo, en la que, esta vez en relación con el gravamen complementario para 1991 de la citada tasa, después de puntualizar que la desigualdad denunciada debía enmarcarse, en su caso, en el art.  31.1 CE (FJ 3), rechazamos que pudiera vulnerarse el principio de igualdad por existir un “tratamiento tributario indiferenciado para todas las máquinas recreativas del tipo B, pese a que la explotación de éstas genera rendimientos diversos en función de la Comunidad Autónoma, el Municipio o el local donde se instalen”, al no amparar dicho principio contra la falta de distinción entre supuestos desiguales (FJ 4).</w:t>
      </w:r>
    </w:p>
    <w:p w:rsidR="00CF03FA" w:rsidRDefault="00CF03FA" w:rsidP="00CF03FA">
      <w:pPr>
        <w:pStyle w:val="TextoNormal"/>
      </w:pPr>
      <w:r>
        <w:t xml:space="preserve">En definitiva, “el principio de igualdad no puede fundamentar un reproche de discriminación por indiferenciación” (SSTC 257/2005, de 24 de octubre, FJ 4; 231/2005, de 26 de septiembre, FJ 5; 104/2005, de 9 de mayo, FJ 3; 181/2000, de 29 de junio, FJ 11; 164/1995, </w:t>
      </w:r>
      <w:r>
        <w:lastRenderedPageBreak/>
        <w:t>de 8 de noviembre, FJ 7), razón por la cual la cuestión de inconstitucionalidad resulta notoriamente infundada también en este punto.</w:t>
      </w:r>
    </w:p>
    <w:p w:rsidR="00CF03FA" w:rsidRDefault="00CF03FA" w:rsidP="00CF03FA">
      <w:pPr>
        <w:pStyle w:val="TextoNormal"/>
      </w:pPr>
    </w:p>
    <w:p w:rsidR="00CF03FA" w:rsidRDefault="00CF03FA" w:rsidP="00CF03FA">
      <w:pPr>
        <w:pStyle w:val="TextoNormal"/>
      </w:pPr>
      <w:r w:rsidRPr="00CF03FA">
        <w:rPr>
          <w:rStyle w:val="NumeroAFNegritaCaracter"/>
        </w:rPr>
        <w:t>5</w:t>
      </w:r>
      <w:r>
        <w:t>. No mayor fundamento constitucional tiene la denunciada infracción del principio de capacidad económica establecido en el art. 31.1 CE. Como ha quedado expuesto detalladamente en los antecedentes, partiendo de que la llamada tasa de juego constituye en realidad un impuesto con finalidad extrafiscal, y de que el principio de capacidad económica resulta también exigible en esta clase de tributos, son varios los argumentos que conducen a la Sala de lo Contencioso-Administrativo a concluir que la norma cuestionada vulnera dicho principio. En primer lugar, porque establece una cuota fija para cada tipo de máquina en atención a los rendimientos previsibles que podrían generar su explotación, sin tener en cuenta la verdadera capacidad económica de los sujetos pasivos de la tasa, pese a que, como se ha dicho, los mecanismos técnicos de que disponen dichas máquinas permiten establecer un sistema de estimación directa de las bases.  En segundo lugar, porque la cuantía que en concepto de la tasa cuestionada debieron satisfacer las empresas titulares de máquinas tipo “B” durante los ejercicios 1992 a 1997 fue superior a la del beneficio neto que obtuvieron en su explotación, lo que determinó que el número de dichas máquinas se redujera drásticamente (de 330.000 en 1990 se pasó a 200.000 en 1991 y a 222.767 en 1998). En tercer lugar, porque al aumentar sustancialmente la cuantía de la tasa en 1990 se ignoró que los empresarios explotadores de las máquinas debían soportar otros gravámenes (el impuesto sobre la renta de las personas físicas o el impuesto sobre sociedades, la anterior licencia fiscal de actividades comerciales e industriales, el impuesto sobre el valor añadido y el recargo autonómico del 20 por 100 fijado por la Ley 2/1987, del Parlamento de Cataluña) y un porcentaje de amortización muy superior al de otras actividades relacionadas con el juego. En cuarto lugar, porque se produce una doble imposición al gravar a los empresarios de las máquinas recreativas durante los ejercicios 1992 a 1998 por un mismo hecho imponible —la obtención de renta por la explotación de las máquinas recreativas— con la tasa fiscal sobre el juego y el impuesto sobre sociedades. Y, finalmente, porque la tasa cuestionada, siendo un tributo de finalidad extrafiscal, no tiene su fundamento en la planificación de la política económica o en la programación del gasto público, únicas finalidades extrafiscales que legitimarían constitucionalmente un tributo.</w:t>
      </w:r>
    </w:p>
    <w:p w:rsidR="00CF03FA" w:rsidRDefault="00CF03FA" w:rsidP="00CF03FA">
      <w:pPr>
        <w:pStyle w:val="TextoNormal"/>
      </w:pPr>
      <w:r>
        <w:t>En suma, prescindiendo de la alegada inconstitucionalidad de la finalidad extrafiscal de la tasa (cuestión a la que ya hemos dado respuesta en el fundamento jurídico 3), puede afirmarse que el órgano judicial considera que la norma cuestionada vulnera el principio de capacidad económica porque no fija la cuantía del tributo mediante un sistema de estimación directa de las bases, esto es, en función de la capacidad económica que manifiesta la explotación de cada máquina tipo “B”, sino que establece una cuota fija en atención a los rendimientos previsibles, cuya cuantía es superior al beneficio neto obtenido por las empresas explotadoras de dichas máquinas; y porque, como consecuencia de los diversos tributos que deben satisfacer y, en especial, del fenómeno de doble imposición que se produce al gravar el rendimiento obtenido de las máquinas con el impuesto sobre sociedades y la tasa cuestionada, la carga tributaria que soportan dichas empresas resulta excesiva para la capacidad económica que manifiestan.</w:t>
      </w:r>
    </w:p>
    <w:p w:rsidR="00CF03FA" w:rsidRDefault="00CF03FA" w:rsidP="00CF03FA">
      <w:pPr>
        <w:pStyle w:val="TextoNormal"/>
      </w:pPr>
      <w:r>
        <w:t xml:space="preserve">Con el fin de responder a las citadas alegaciones, conviene comenzar poniendo de manifiesto que, tal y como se advierte en el Auto de planteamiento de la cuestión, la llamada “tasa” que grava las máquinas recreativas tipo “B” es en realidad un impuesto que, al igual que sucede con el impuesto sobre sociedades, grava el rendimiento obtenido con el ejercicio de la explotación de dichas máquinas. En efecto, como señalamos en la STC 296/1994, de </w:t>
      </w:r>
      <w:r>
        <w:lastRenderedPageBreak/>
        <w:t>10 de noviembre, aunque desde el Real Decreto 16/1977, las normas vienen calificando al tributo que grava los juegos de azar como “tasa”, un análisis del régimen jurídico de dicha figura impositiva pone de manifiesto que se estructura como un impuesto, dado que “es el producto de la actividad de juego lo que constituye la base del tributo … que en la legislación específica de la tasa sobre el juego en máquinas tragaperras se concreta en una cuota fija que se establece en virtud del tipo de máquina y en función de las cantidades que puedan jugarse en cada modelo de máquina, es decir, en atención a los rendimientos previsibles o capacidad económica generada por la explotación de las máquinas, de manera que con ello se hace evidente que su verdadero fin consiste en gravar la capacidad contributiva manifestada por la adquisición de una renta”. En definitiva, el tributo sobre el juego cuestionado “es una figura fiscal distinta de la categoría de ‘tasa’, puesto que con ello no se pretende la contraprestación proporcional, más o menos aproximada, del coste de un servicio o realización de actividades en régimen de Derecho público, sino que constituye un auténtico ‘impuesto’ que grava los rendimientos obtenidos por actividades de empresarios privados de manera virtualmente idéntica a los impuestos que gravan la adquisición de renta por actividades expresiva de capacidad económica” (FJ 4; en el mismo sentido, STC 204/2002, de 31 de octubre, FJ 3).</w:t>
      </w:r>
    </w:p>
    <w:p w:rsidR="00CF03FA" w:rsidRDefault="00CF03FA" w:rsidP="00CF03FA">
      <w:pPr>
        <w:pStyle w:val="TextoNormal"/>
      </w:pPr>
      <w:r>
        <w:t>Ahora bien, que la tasa del juego sea un tributo que, al igual que el Impuesto sobre sociedades, grava el rendimiento obtenido con el ejercicio, aquí, de la actividad del juego, no permite por sí mismo alcanzar la conclusión de que la norma cuestionada es inconstitucional. Ya hemos tenido ocasión de señalar que, aun cuando llegáramos a la conclusión de que existe un supuesto de “doble imposición tributaria”, ello no “determinaría per se la inconstitucionalidad” de la norma, “pues la única prohibición de doble imposición en materia tributaria que se encuentra expresamente recogida en el bloque de la constitucionalidad viene establecida en el art. 6 de la Ley Orgánica de financiación de las Comunidades Autónomas” (STC 242/2004, de 16 de diciembre, FJ 6) y “garantiza que sobre los ciudadanos no pueda recaer la obligación material de pagar doblemente [al Estado y a las Comunidades Autónomas, o a las entidades locales y a las Comunidades Autónomas] por un mismo hecho imponible” [STC 242/2004, de 16 de diciembre, FJ 6; en el mismo sentido, SSTC 14/1998, de 22 de enero, FJ 11 c); y 233/1999, de 16 de diciembre, FJ 23; AATC 261/2003, de 15 de julio, FJ 5, y 269/2003, de 15 de julio, FJ 5]. “Fuera de este supuesto, la existencia de un doble gravamen por una misma manifestación de riqueza sólo debería analizarse desde el punto de vista del principio de capacidad económica y de la prohibición de no confiscatoriedad a que hace referencia el art. 31.1 CE” (STC 242/2004, de 16 de diciembre, FJ 6). Y precisamente es el principio de capacidad económica el que la Sala que plantea la cuestión entiende lesionado al no cuantificarse el tributo que grava las máquinas recreativas tipo “B” de acuerdo con los rendimientos realmente obtenidos, sino mediante una cuota única determinada en atención a los rendimientos previsiblemente obtenibles con su explotación.</w:t>
      </w:r>
    </w:p>
    <w:p w:rsidR="00CF03FA" w:rsidRDefault="00CF03FA" w:rsidP="00CF03FA">
      <w:pPr>
        <w:pStyle w:val="TextoNormal"/>
      </w:pPr>
      <w:r>
        <w:t xml:space="preserve">Para responder a esta alegación debemos comenzar recordando que, conforme a reiterada doctrina de este Tribunal, que recoge la STC 193/2004, de 4 de noviembre, FJ 5, el tributo —cualquier tributo—, “grava un presupuesto de hecho o ‘hecho imponible’ (art.  28 de la Ley general tributaria: LGT) revelador de capacidad económica (art. 31.1 CE) fijado en la Ley” (STC 276/2000, de 16 de noviembre, FJ 4), por lo que “el hecho imponible tiene que constituir una manifestación de riqueza” (por todas, SSTC 194/2000, de 19 de julio, FJ 8, y 276/2000, de 16 de noviembre, FJ 4), de modo que la “prestación tributaria no puede hacerse depender de situaciones que no son expresivas de capacidad económica” (STC 194/2000, de 19 de julio, FJ 4). Y aunque hemos señalado que “basta que dicha capacidad económica </w:t>
      </w:r>
      <w:r>
        <w:lastRenderedPageBreak/>
        <w:t>exista, como riqueza o renta real o potencial en la generalidad de los supuestos contemplados por el legislador” para que el principio constitucional de capacidad económica quede a salvo [SSTC 37/1987, de 26 de marzo, FJ 13; 221/1992, de 11 de diciembre, FJ 4; 14/1998, de 22 de enero, FJ 11 b); y 233/1999, de 16 de diciembre, FJ 14; en parecidos términos, STC 186/1993, de 7 de junio, FJ 4 a)], también hemos precisado que no cabe soslayar que “la libertad de configuración del legislador deberá, en todo caso, respetar los límites que derivan de dicho principio constitucional, que quebraría en aquellos supuestos en los que la capacidad económica gravada por el tributo sea, no ya potencial, sino inexistente o ficticia” (SSTC 221/1992, de 11 de diciembre, FJ 4, y 194/2000, de 19 de julio, FJ 9; en el mismo sentido, 295/2006, de 11 de octubre, FJ 5).</w:t>
      </w:r>
    </w:p>
    <w:p w:rsidR="00CF03FA" w:rsidRDefault="00CF03FA" w:rsidP="00CF03FA">
      <w:pPr>
        <w:pStyle w:val="TextoNormal"/>
      </w:pPr>
      <w:r>
        <w:t>En definitiva, el principio de capacidad económica establecido en el art. 31.1 CE impide en todo caso “que el legislador establezca tributos —sea cual fuere la posición que los mismos ocupen en el sistema tributario, de su naturaleza real o personal, e incluso de su fin fiscal o extrafiscal (por todas, SSTC 37/1987, de 26 de marzo, FJ 13, y 194/2000, de 19 de julio, FJ 8)— cuya materia u objeto imponible no constituya una manifestación de riqueza real o potencial, esto es, no le autoriza a gravar riquezas meramente virtuales o ficticias y, en consecuencia, inexpresivas de capacidad económica” (STC 193/2004, de 4 de noviembre, FJ 5). Y no cabe la menor duda de que el tributo que establece la norma cuestionada grava un hecho imponible —el rendimiento que previsiblemente se obtiene con la explotación de las máquinas tipo “B”— que constituye una manifestación de riqueza susceptible de imposición.</w:t>
      </w:r>
    </w:p>
    <w:p w:rsidR="00CF03FA" w:rsidRDefault="00CF03FA" w:rsidP="00CF03FA">
      <w:pPr>
        <w:pStyle w:val="TextoNormal"/>
      </w:pPr>
      <w:r>
        <w:t>Desde luego, no puede descartarse que eventualmente, en supuestos marginales, la tasa que establece la norma cuestionada pudiera ser superior al rendimiento obtenido por una determinada máquina recreativa tipo “B”. La posibilidad de tal circunstancia, sin embargo, no convierte a la norma cuestionada en inconstitucional, porque no es discutible que la riqueza que se pretende gravar existe “en la generalidad de los supuestos contemplados por el legislador”, y porque, como este Tribunal ha venido afirmando, “no puede fundarse la inconstitucionalidad de una norma en la existencia de supuestos patológicos, no previstos ni queridos por la ley o, dicho de otro modo, que el enjuiciamiento de la constitucionalidad de las leyes debe hacerse tomando en consideración el caso normal y no las posibles excepciones a la regla prevista en la norma (SSTC 70/1991, de 8 de abril, FJ 7; 308/1994, de 21 de noviembre, FJ 5, y 289/2000, de 30 de noviembre, FJ 6). Así, por ejemplo, hemos señalado que para que pueda afirmarse que una norma legal vulnera el art. 14 CE “no basta con que en situaciones puntuales” y “al margen de los objetivos perseguidos por la ley” genere desigualdades (STC 47/2001, de 15 de febrero, FJ 7), dado que las leyes “en su pretensión de racionalidad se proyectan sobre la normalidad de los casos, sin que baste la aparición de un supuesto no previsto para determinar su inconstitucionalidad” (SSTC 73/1996, de 30 de abril, FJ 5; 289/2000, de 30 de noviembre, FJ 6; 47/2001, de 15 de febrero, FJ 7; 212/2001, de 29 de octubre, FJ 5; 21/2002, de 28 de febrero, FJ 4; 193/2004, de 4 de noviembre, FJ 3, y 255/2004, de 22 de diciembre, FJ 4)” [SSTC 111/2006, de 5 de abril, FJ 8 a), y 113/2006, de 5 de abril, FJ 9 a)].</w:t>
      </w:r>
    </w:p>
    <w:p w:rsidR="00CF03FA" w:rsidRDefault="00CF03FA" w:rsidP="00CF03FA">
      <w:pPr>
        <w:pStyle w:val="TextoNormal"/>
      </w:pPr>
      <w:r>
        <w:t>Aunque la tasa cuestionada grave una manifestación de riqueza, la Sala entiende vulnerado el principio de capacidad económica porque, tal y como exigiría en todo caso el art. 31.1 CE, no se hace tributar a las empresas explotadoras de las máquinas recreativas en función de la recaudación efectivamente obtenida con las mismas, sino que la norma establece una cuota única fijada en atención a los rendimientos “previsibles”, cuota que además sería excesiva en la medida en que resulta superior al beneficio neto que arroja la explotación de cada una de las máquinas.</w:t>
      </w:r>
    </w:p>
    <w:p w:rsidR="00CF03FA" w:rsidRDefault="00CF03FA" w:rsidP="00CF03FA">
      <w:pPr>
        <w:pStyle w:val="TextoNormal"/>
      </w:pPr>
      <w:r>
        <w:lastRenderedPageBreak/>
        <w:t>Ciertamente, además de afirmar que el principio de capacidad económica establecido en el art. 31.1 CE exige que el hecho imponible constituya una manifestación de riqueza, hemos venido señalando que dicho principio obliga a que la contribución de solidaridad en que consiste el tributo “sea configurada en cada caso por el legislador según aquella capacidad” (STC 182/1997, de 28 de octubre, FJ 6), dicho de otro modo, le obliga a modular la carga tributaria de cada contribuyente “en la medida —en función— de la capacidad económica” (STC 194/2000, de 19 de julio, FJ 8; y AATC 381/2005, de 25 de octubre, FJ 5; 382/2005, 25 de octubre, FJ 5; 383/2005, de 25 de octubre, FJ 5; 117/2006, de 28 de marzo, FJ 4, y 118/2006, de 28 de marzo, FJ 4; en el mismo sentido, AATC 197/2003, de 16 de junio, FJ 3, y 212/2003, de 30 de junio, FJ 3).  Pero también hemos puesto de manifiesto que la Constitución conecta el deber de contribuir establecido en el art. 31.1 CE con el criterio de la capacidad económica “y lo relaciona, a su vez, claramente, no con cualquier figura tributaria en particular, sino con el conjunto del sistema tributario” (SSTC 182/1997, de 28 de octubre, FJ 7; 137/2003, de 3 de julio, FJ 6; 108/2004, de 30 de junio, FJ 7, y 189/2005, de 7 de julio, FJ 5); y que el principio de capacidad económica “debe inspirar el sistema tributario en su conjunto” [STC 134/1996, de 22 de julio, FJ 6 B)], que opera como “criterio inspirador del sistema tributario” [SSTC 19/1987, de 17 de febrero, FJ 3 y 193/2004, de 4 de noviembre, FJ 5; AATC 97/1993, de 22 de marzo, FJ 3, y 24/2005, de 18 de enero, FJ 3; 407/2007, de 6 de noviembre, FJ 4] o “principio ordenador de dicho sistema (SSTC 182/1997, de 28 de octubre, FJ 6, y 193/2004, de 4 de noviembre, FJ 5, y ATC 24/2005, de 18 de enero, FJ 3].</w:t>
      </w:r>
    </w:p>
    <w:p w:rsidR="00CF03FA" w:rsidRDefault="00CF03FA" w:rsidP="00CF03FA">
      <w:pPr>
        <w:pStyle w:val="TextoNormal"/>
      </w:pPr>
      <w:r>
        <w:t>De la jurisprudencia expuesta se infiere claramente que, aun cuando el principio de capacidad económica implica que cualquier tributo debe gravar un presupuesto de hecho revelador de riqueza, la concreta exigencia de que la carga tributaria se module en la medida de dicha capacidad sólo resulta predicable del “sistema tributario” en su conjunto, de manera que puede afirmarse, trasladando mutatis mutandis nuestra doctrina acerca de cuándo un Decreto-Ley afecta al deber de contribuir, que sólo cabe exigir que la carga tributaria de cada contribuyente varíe en función de la intensidad en la realización del hecho imponible en aquellos tributos que por su naturaleza y caracteres resulten determinantes en la concreción del deber de contribuir al sostenimiento de los gastos públicos que establece el art. 31.1 CE. Este es, como hemos tenido ocasión de afirmar varias veces, el caso del impuesto sobre la renta de las personas físicas, que “por su carácter general y personal, y figura central de la imposición directa, constituye una de las piezas básicas de nuestro sistema tributario. Se trata, indudablemente —hemos señalado—, de un tributo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 y que dotan de contenido al Estado social y democrático de Derecho (art. 1.1 CE)” (STC 182/1997, de 28 de octubre, FJ 9; en el mismo sentido, SSTC 134/1996, de 22 de julio, FJ 6; 46/2000, de 17 de febrero, FJ 6; 137/2003, de 3 de julio, FJ 7; 108/2004, de 30 de junio, FJ 8, y 189/2005, de 7 de julio, FJ 8). Pero, claramente, no es el caso de la llamada “tasa” del juego, tributo que, ni tiene carácter general (esto es, no grava la renta global de las personas físicas o jurídicas, sino una específica manifestación de capacidad económica: por lo que aquí interesa, los rendimientos que se obtienen con la explotación de las máquinas recreativas tipo “B”), ni, por sus características, puede afirmarse que constituya uno de los pilares básicos o estructurales de nuestro sistema tributario, ni, en fin, por su estructura y su hecho imponible puede considerarse como instrumento idóneo para alcanzar los objetivos  constitucionales a que hemos aludido.</w:t>
      </w:r>
    </w:p>
    <w:p w:rsidR="00CF03FA" w:rsidRDefault="00CF03FA" w:rsidP="00CF03FA">
      <w:pPr>
        <w:pStyle w:val="TextoNormal"/>
      </w:pPr>
      <w:r>
        <w:lastRenderedPageBreak/>
        <w:t>La Sala pone también el acento en la excesiva cuantía de la tasa del juego para fundamentar la infracción del principio de capacidad económica, cuantía que sería “superior incluso a la de los beneficios que arroja la explotación de cada una de las máquinas”. Pero, ni, conforme a los propios datos que aporta la Sala, puede afirmarse que la tasa supere en la mayoría de los casos los beneficios netos obtenidos (el propio órgano judicial sostiene, contradictoriamente, que la tasa cuestionada habría implicado la absorción “de la mayor parte de los beneficios que reportan las mayoría de las máquinas recreativas”, y que dicho tributo, respecto de los beneficios netos obtenidos por Codere Barcelona, S.A., Codere Lleida, S.A. y Codere Tarragona, S.A., representaría, una vez descontados todos los gravámenes, incluida dicha tasa, un porcentaje del 88,13 por 100, el 78,53 por 100 y 75,12 por 100, respectivamente); ni, como afirma el Fiscal General del Estado, dicha afirmación se compadece con la circunstancia de que las empresas recurrentes en el proceso a quo hayan mantenido la explotación de las máquinas tipo “B” (en el propio Auto se afirma que, tras la subida espectacular de la tasa del juego, el número de máquinas en España sería de 200.000 en 1991 y de 222.767 en 1998; y según los informes de la Comisión Nacional del Juego y de la Subdirección General de Estudios y Relaciones Institucionales de la Secretaría General Técnica del Ministerio del Interior, en los años 1999 a 2006 —ambos inclusive— el número de máquinas tipo “B” ha sido de 234.203, 241.289, 245.076, 245.324, 241.907, 243.206, 245.966 y 248.796, respectivamente); ni, en fin, en todo caso, una vez constatado que el hecho imponible es revelador de capacidad económica, la Constitución impone otro límite a la magnitud del gravamen que examinamos que el que deriva de la prohibición de confiscatoridad establecida en el mismo art. 31.1 CE, límite que, frente a lo que se sostiene en el Auto de planteamiento de la cuestión, tampoco ha resultado quebrantado, por las razones que exponemos a continuación.</w:t>
      </w:r>
    </w:p>
    <w:p w:rsidR="00CF03FA" w:rsidRDefault="00CF03FA" w:rsidP="00CF03FA">
      <w:pPr>
        <w:pStyle w:val="TextoNormal"/>
      </w:pPr>
    </w:p>
    <w:p w:rsidR="00CF03FA" w:rsidRDefault="00CF03FA" w:rsidP="00CF03FA">
      <w:pPr>
        <w:pStyle w:val="TextoNormal"/>
      </w:pPr>
      <w:r w:rsidRPr="00CF03FA">
        <w:rPr>
          <w:rStyle w:val="NumeroAFNegritaCaracter"/>
        </w:rPr>
        <w:t>6</w:t>
      </w:r>
      <w:r>
        <w:t>. En síntesis, entiende la Sala de lo Contencioso-Administrativo del Tribunal Superior de Justicia de Cataluña que la tasa de juego establecida por la norma cuestionada resulta confiscatoria porque durante los ejercicios 1992 a 1998 el importe de la misma fue “desproporcionado y arbitrario, superior incluso, en algunos casos, a los beneficios obtenidos por la explotación de las máquinas tipo B”. Sin embargo, con independencia de que, como hemos señalado en el fundamento jurídico precedente, esta afirmación contradice los datos que ofrece la propia Sala y los que proporciona el Ministerio del Interior, y el hecho incontrovertible de que existen personas físicas y jurídicas —entre ellas la recurrente en el proceso a quo— que siguen explotando las citadas máquinas (de acuerdo con las cifras oficiales, en 2006 el número de máquinas tipo “B” era de 248.796, y, según los datos del propio Grupo Codere, ese grupo en la actualidad cuenta en España con algo más de 13.300 unidades), conforme a reiterada doctrina de este Tribunal, el principio de no confiscatoriedad que establece el art. 31.1 CE “obliga a no agotar la riqueza imponible —sustrato, base o exigencia de toda imposición— so pretexto del deber de contribuir”, y este efecto sólo se produciría “si mediante la aplicación de las diversas figuras tributarias vigentes se llegara a privar al sujeto pasivo de sus rentas y propiedades, con lo que además se estaría desconociendo, por la vía fiscal indirecta, la garantía prevista en el art. 33.1 de la Constitución” [SSTC 150/1990, de 4 de octubre, FJ 9; 14/1998, de 22 de enero, FJ 11 b), y 233/1999, de 16 de diciembre, FJ 23]. Y, ni la Sala afirma que se haya producido este resultado, ni, claramente, conforme a los datos que se ofrecen en el propio Auto de planteamiento, puede afirmarse que haya tenido lugar.</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7</w:t>
      </w:r>
      <w:r>
        <w:t>. Finalmente, también son notoriamente infundadas las alegadas vulneraciones de los derechos a la propiedad privada reconocido en el art. 33.1 CE y a la libertad de empresa en el marco de la economía de mercado garantizado en el art. 38 CE. Por lo que se refiere a la primera de las quejas, fundamentada la vulneración del derecho de propiedad en el carácter confiscatorio de la tasa del juego —lo que, se afirma, habría obligado al “cierre de las empresas que lo explotan”—, debemos concluir, como señala el Fiscal General del Estado, en que, una vez rechazado que se haya producido dicho resultado confiscatorio, y a ello se reduce la planteada vulneración del art. 33.1 CE, cae por su propio peso esa vulneración que se denuncia.</w:t>
      </w:r>
    </w:p>
    <w:p w:rsidR="00CF03FA" w:rsidRDefault="00CF03FA" w:rsidP="00CF03FA">
      <w:pPr>
        <w:pStyle w:val="TextoNormal"/>
      </w:pPr>
      <w:r>
        <w:t>No mejor suerte, aunque sí más detenido análisis, debe correr la alegada infracción del art.  38 CE que, a juicio de la Sala que plantea la cuestión, tendría lugar porque no queda garantizado que las distintas empresas que operan en el sector del juego ejerzan su actividad “en condiciones de igualdad”, dado que se ha primado a las entidades de naturaleza pública —el ONLAE y la ONCE— con privilegios fiscales en el impuesto sobre la renta de las personas físicas, en detrimento de las del sector privado, “a las que se impone una tributación que puede resultar abusiva”.</w:t>
      </w:r>
    </w:p>
    <w:p w:rsidR="00CF03FA" w:rsidRDefault="00CF03FA" w:rsidP="00CF03FA">
      <w:pPr>
        <w:pStyle w:val="TextoNormal"/>
      </w:pPr>
      <w:r>
        <w:t>Conviene recordar que, conforme a reiterada doctrina de este Tribunal, el art. 38 CE, directamente conectado con los arts. 128 y 131 CE [SSTC 37/1981, de 16 de noviembre, FJ 2; 111/1983, de 2 de diciembre, FJ 10; 225/1993, de 8 de julio, FJ 3 b), y 96/2002, de 25 de abril, FJ 11], al garantizar la “libertad de empresa en el marco de la economía de mercado”, no reconoce “el derecho a acometer cualquier empresa, sino sólo el de iniciar y sostener en libertad la actividad empresarial, cuyo ejercicio está disciplinado por normas de muy distinto orden” [STC 83/1984, FJ 3; reiteran esta doctrina las SSTC 84/1993, de 8 de marzo, FJ 2 b); 225/1993, de 8 de julio, FJ 3 b); 96/2002, de 25 de abril, FJ 11; y 112/2006, de 5 de abril, FJ 8], lo que entraña “en el marco de una economía de mercado, donde este derecho opera como garantía institucional, el reconocimiento a los particulares de una libertad de decisión no sólo para crear empresas y, por tanto, para actuar en el mercado, sino también para establecer los propios objetivos de la empresa y dirigir y planificar su actividad en atención a sus recursos y a las condiciones del propio mercado” [SSTC 225/1993, de 8 de julio, FJ 3 b), y 112/2006, de 5 de abril, FJ 8]. Y aunque “no cuesta admitir que sería incompatible con tal garantía constitucional la genérica y absoluta exclusión legal de tal libertad empresarial —movida por la búsqueda del beneficio— en todo un determinado ámbito de la actividad económica, de no venir dada tal exclusión por lo dispuesto en el segundo inciso del art. 128.2 CE o en atención a la previa caracterización como ilícito del tráfico o actividad en cuestión” (STC 84/1993, de 8 de marzo, FJ 2), es evidente que la norma cuestionada no hace tal cosa, dado que en modo alguno viene a impedir que las personas físicas o las entidades mercantiles se dediquen a la explotación de máquinas recreativas tipo “B” —como demuestra, debemos repetir otra vez, la existencia de numerosas empresas que, como la recurrente en el proceso a quo, en todas las Comunidades Autónomas, sin excepción, explotan dichas máquinas, que, según las cifras ofrecidas por el Ministerio del Interior, han pasado de ser 234.203 en 1999 a 248.796  en 2006—, sino que se limita a gravar tales actividades, no sólo con un objetivo puramente recaudatorio, sino también como medio para conseguir fines extrafiscales respetuosos con la Constitución.</w:t>
      </w:r>
    </w:p>
    <w:p w:rsidR="00CF03FA" w:rsidRDefault="00CF03FA" w:rsidP="00CF03FA">
      <w:pPr>
        <w:pStyle w:val="TextoNormal"/>
      </w:pPr>
      <w:r>
        <w:t xml:space="preserve">Ciertamente, hemos afirmado que la libertad de empresa “exige que las distintas empresas de un mismo sector se hallen sometidas al mismo género de limitaciones básicas en todo el territorio nacional, pues dicha libertad … sólo existe en una economía de mercado que resulta incompatible con posiciones jurídicas básicamente distintas de los diversos operadores” (STC 109/2003, de 5 de junio, FJ 8). Y también hemos afirmado que “[n]o puede </w:t>
      </w:r>
      <w:r>
        <w:lastRenderedPageBreak/>
        <w:t>desconocerse que, en un marco de libre competencia, las medidas tributarias afectan a su ejercicio y, consecuentemente, al acceso al mercado en posiciones de libre concurrencia, de modo que, en tanto favorezcan el ejercicio de actividades económicas para determinados operadores o concretas inversiones o actuaciones de los sujetos (bien mediante exenciones o bonificaciones, bien mediante amortizaciones aceleradas de inversiones, bien mediante subvenciones, ayudas, etc.), si carecen de una justificación que las legitime, harán de peor condición a quienes, encontrándose en la misma situación, no pueden acceder a ninguna de ellas” (STC 96/2002, de 25 de abril, FJ 12). Sin embargo, como hemos señalado en el fundamento jurídico 3, ni puede equipararse el concreto sector de las máquinas recreativas tipo “B” con la lotería (en cualquiera de sus modalidades) o el llamado cupón pro-ciegos, ni, de todos modos, carece de explicación racional que los premios de los juegos organizados por el ONLAE o la ONCE estén exentos del impuesto sobre la renta de las personas físicas, dado que se trata de modalidades de juego muy distintas por razón del titular de la explotación (el Estado y una corporación de derecho público, respectivamente) y la finalidad que persiguen (la obtención de recursos para la hacienda pública y la protección e integración de un concreto colectivo social).</w:t>
      </w:r>
    </w:p>
    <w:p w:rsidR="00CF03FA" w:rsidRDefault="00CF03FA" w:rsidP="00CF03FA">
      <w:pPr>
        <w:pStyle w:val="TextoNormal"/>
      </w:pPr>
    </w:p>
    <w:p w:rsidR="00CF03FA" w:rsidRDefault="00CF03FA" w:rsidP="00CF03FA">
      <w:pPr>
        <w:pStyle w:val="TextoNormal"/>
      </w:pPr>
      <w:r w:rsidRPr="00CF03FA">
        <w:rPr>
          <w:rStyle w:val="NumeroAFNegritaCaracter"/>
        </w:rPr>
        <w:t>8</w:t>
      </w:r>
      <w:r>
        <w:t>. En consecuencia, y tras el examen de las razones aducidas en el Auto, cabe concluir que esta cuestión de inconstitucionalidad resulta notoriamente infundada, en los términos del art.  37.1 LOTC.</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a trámite la cuestión de inconstitucionalidad núm. 8638-2006, planteada por la Sección Primera de la Sala de lo Contencioso-Administrativo del Tribunal Superior de Justicia de Cataluña.</w:t>
      </w:r>
    </w:p>
    <w:p w:rsidR="00CF03FA" w:rsidRDefault="00CF03FA" w:rsidP="00CF03FA">
      <w:pPr>
        <w:pStyle w:val="TextoNormal"/>
      </w:pPr>
    </w:p>
    <w:p w:rsidR="00CF03FA" w:rsidRDefault="00CF03FA" w:rsidP="00CF03FA">
      <w:pPr>
        <w:pStyle w:val="TextoNormal"/>
      </w:pPr>
      <w:r>
        <w:t>Publíquese este Auto en el “Boletín Oficial del Estado”.</w:t>
      </w:r>
    </w:p>
    <w:p w:rsidR="00CF03FA" w:rsidRDefault="00CF03FA" w:rsidP="00CF03FA">
      <w:pPr>
        <w:pStyle w:val="TextoNormal"/>
      </w:pPr>
      <w:r>
        <w:t>Madrid, a veintiséis de febrero de dos mil ocho.</w:t>
      </w:r>
    </w:p>
    <w:p w:rsidR="00CF03FA" w:rsidRDefault="00CF03FA" w:rsidP="00CF03FA">
      <w:pPr>
        <w:pStyle w:val="ParrafoNormal"/>
      </w:pPr>
    </w:p>
    <w:p w:rsidR="00CF03FA" w:rsidRDefault="00CF03FA" w:rsidP="00CF03FA">
      <w:pPr>
        <w:pStyle w:val="TextoNormalNegritaCentrado"/>
        <w:keepNext/>
      </w:pPr>
      <w:r>
        <w:t>Voto particular disidente que formulan los Magistrados don Ramón Rodríguez Arribas y don Manuel Aragón Reyes, al que se adhiere el Magistrado don Eugeni Gay Montalvo, al Auto de inadmisión dictado por el Pleno en la cuestión de inconstitucionalidad núm. 8638-2006.</w:t>
      </w:r>
    </w:p>
    <w:p w:rsidR="00CF03FA" w:rsidRDefault="00CF03FA" w:rsidP="00CF03FA">
      <w:pPr>
        <w:pStyle w:val="TextoNormalNegritaCentrado"/>
        <w:keepNext/>
      </w:pPr>
    </w:p>
    <w:p w:rsidR="00CF03FA" w:rsidRDefault="00CF03FA" w:rsidP="00CF03FA">
      <w:pPr>
        <w:pStyle w:val="TextoNormal"/>
      </w:pPr>
      <w:r>
        <w:t>Compartiendo plenamente los demás razonamientos del Auto, con el mayor respeto a la opinión de la mayoría de los Magistrados formulamos nuestra discrepancia con la argumentación contenida en el fundamento jurídico 5 a propósito del alcance del principio de capacidad económica establecido en el art. 31.1 CE y, por este motivo, con la inadmisión de la cuestión de inconstitucionalidad planteada, por las razones que expresamos en la deliberación y que ahora brevemente reiteramos.</w:t>
      </w:r>
    </w:p>
    <w:p w:rsidR="00CF03FA" w:rsidRDefault="00CF03FA" w:rsidP="00CF03FA">
      <w:pPr>
        <w:pStyle w:val="TextoNormal"/>
      </w:pPr>
      <w:r>
        <w:t xml:space="preserve">El fundamento jurídico del que disentimos comienza reconociendo sin reservas que, conforme a reiterada doctrina de este Tribunal, el principio de capacidad económica obliga al legislador a modular la carga de cada contribuyente “en la medida —en función— de la capacidad económica” (por todas, STC 194/2000, FJ 8). Sin embargo, llega a la conclusión </w:t>
      </w:r>
      <w:r>
        <w:lastRenderedPageBreak/>
        <w:t>de que la tasa que grava las máquinas recreativas tipo “B” no vulnera el citado principio porque éste no resulta predicable de cada tributo en particular, sino únicamente del “sistema tributario” en su conjunto, lo que, trasladando mutatis mutandis nuestra doctrina acerca de cuándo un Decreto-Ley afecta al deber de contribuir, permite así afirmar que sólo cabe exigir que la carga tributaria se module en la medida de la capacidad económica en aquellos tributos que por su naturaleza y caracteres resultan determinantes en la concreción del deber de contribuir establecido en el art. 31.1 CE, como sería el caso, señaladamente, del impuesto sobre la renta de las personas físicas, pero no de la llamada tasa sobre el juego.</w:t>
      </w:r>
    </w:p>
    <w:p w:rsidR="00CF03FA" w:rsidRDefault="00CF03FA" w:rsidP="00CF03FA">
      <w:pPr>
        <w:pStyle w:val="TextoNormal"/>
      </w:pPr>
      <w:r>
        <w:t>Pero, además de que esa traslación mimética de nuestra doctrina sobre el Decreto-ley merecería una mayor explicación que la que ofrece el fundamento jurídico 5 del Auto, no tenemos nada claro que la afirmación de que el principio de capacidad económica sólo resulta predicable del sistema tributario en su conjunto pueda fundamentarse sólidamente en la jurisprudencia de este Tribunal. A este respecto, en primer lugar, queremos recordar que, como subraya el propio Auto, hemos declarado que el principio de capacidad económica impide al legislador establecer tributos —con independencia de “la posición que los mismos ocupen en el sistema tributario, de su naturaleza real o personal, e incluso de su fin fiscal o extrafiscal” (STC 193/2004, FJ 5)— cuyo presupuesto de hecho o hecho imponible no constituya una manifestación de riqueza real o potencial.</w:t>
      </w:r>
    </w:p>
    <w:p w:rsidR="00CF03FA" w:rsidRDefault="00CF03FA" w:rsidP="00CF03FA">
      <w:pPr>
        <w:pStyle w:val="TextoNormal"/>
      </w:pPr>
      <w:r>
        <w:t>En segundo lugar, nos interesa también señalar que el examen de las SSTC 182/1997 (FJ 7), 137/2003 (FJ 6), 108/2004 (FJ 7) y 189/2005 (FJ 5), todas ellas citadas en el Auto, revela que lo que hemos afirmado en realidad en dichos pronunciamientos no es que el art. 31.1 CE conecta el principio de capacidad económica sólo con el sistema tributario, sino que dicho precepto relaciona el deber de contribuir —no el citado principio de justicia tributaria— “no con cualquier figura tributaria en particular, sino con el conjunto del sistema tributario”. De hecho, la mera lectura del art. 31.1 CE permite mantener que mientras que éste vincula claramente los principios de igualdad, progresividad y no confiscatoriedad con el sistema tributario (“Todos contribuirán … mediante un sistema tributario justo inspirado en los principios de igualdad y progresividad que, en ningún caso, tendrá alcance confiscatorio”), parece reclamar la aplicación del principio de capacidad económica para todos los supuestos de contribución obligatoria al sostenimiento de los gastos públicos (“Todos contribuirán al sostenimiento de los gastos públicos de acuerdo con su capacidad económica”, comienza afirmando el precepto), instrumentos coactivos de financiación de los gastos públicos entre los que, indudablemente, se encuentran los tributos.</w:t>
      </w:r>
    </w:p>
    <w:p w:rsidR="00CF03FA" w:rsidRDefault="00CF03FA" w:rsidP="00CF03FA">
      <w:pPr>
        <w:pStyle w:val="TextoNormal"/>
      </w:pPr>
      <w:r>
        <w:t xml:space="preserve">En fin, en tercer lugar, aunque es cierto que, como también se recoge en el fundamento jurídico 5 del Auto, hemos calificado en varias ocasiones al principio de capacidad económica como “criterio inspirador del sistema tributario” (por todas, STC 193/2004, de 4 de noviembre, FJ 5) o, en el mismo sentido, hemos afirmado que “debe inspirar el sistema tributario en su conjunto” (STC 134/1996, de 22 de julio, FJ 6), desde luego, nunca hemos colegido de dicha afirmación que la obligación del legislador de cuantificar el gravamen en función de la riqueza del contribuyente se limite exclusivamente a los tributos con mayor peso específico en el conjunto del sistema. Todo lo contrario, un análisis de nuestra jurisprudencia permite concluir que la declaración de que el principio de capacidad económica inspira el sistema tributario, más que limitar la eficacia o alcance de dicho principio, ha permitido ampliar su ámbito de aplicación a recursos que no tienen naturaleza estrictamente tributaria, como es el caso de las sanciones por infracciones tributarias. Así, en la STC 76/1990, de 26 de abril, afirmábamos que en el art. 31.1 CE no se dice que la eficacia de los principios de capacidad económica y de progresividad “quede reducida al momento de ordenar el ingreso público”, sino que más bien “debe afirmarse que, desde el momento en que </w:t>
      </w:r>
      <w:r>
        <w:lastRenderedPageBreak/>
        <w:t>el art. 31.1 de la Constitución atribuye a aquellos principios una función inspiradora del entero sistema tributario justo, su aplicación al ámbito sancionador no puede suscitar especiales reparos, pues dentro de un sistema tributario justo encuentra natural acomodo la regulación del régimen de infracciones y sanciones” [FJ 6 b)].</w:t>
      </w:r>
    </w:p>
    <w:p w:rsidR="00CF03FA" w:rsidRDefault="00CF03FA" w:rsidP="00CF03FA">
      <w:pPr>
        <w:pStyle w:val="TextoNormal"/>
      </w:pPr>
      <w:r>
        <w:t>En suma, consideramos que no se encuentran en los pronunciamientos de este Tribunal afirmaciones que permitan mantener —al menos, sin ninguna explicación o argumentación adicional, que echamos en falta en el Auto del que respetuosamente discrepamos— que la exigencia de que la carga tributaria de cada contribuyente varíe en función de la intensidad en la realización del hecho imponible sólo resulte aplicable en los tributos que tienen, desde un punto de vista cuantitativo y cualitativo, un mayor protagonismo en el conjunto de nuestro sistema tributario.</w:t>
      </w:r>
    </w:p>
    <w:p w:rsidR="00CF03FA" w:rsidRDefault="00CF03FA" w:rsidP="00CF03FA">
      <w:pPr>
        <w:pStyle w:val="TextoNormal"/>
      </w:pPr>
      <w:r>
        <w:t>Desde luego, lo que acabamos de señalar no nos conduce a concluir que cualquier tributo cuya cuantía determine la ley sin tener en cuenta la magnitud de la riqueza expresada en cada hecho imponible vulnere el principio de capacidad económica. Debiendo constituir, como hemos señalado, en todo caso, el presupuesto de hecho del tributo una manifestación de riqueza, consideramos que la exigencia concreta de que se cuantifique el gravamen atendiendo a la intensidad de la capacidad económica que revela el hecho imponible puede ser susceptible de matizaciones o incluso excepciones en función, no sólo de la naturaleza del tributo, sino también de las circunstancias concurrentes. En este sentido, consideramos más acorde con la definición del principio de capacidad económica como “criterio ordenador” del sistema tributario (por todas, STC 193/2004, de 4 de noviembre, FJ 5) y con el papel central —aunque no único— que le venimos otorgando en la configuración de la justicia del sistema tributario (entre muchas otras, SSTC 27/1981, FJ 4; 76/1990, FJ 3; 221/1992, FJ4; 96/2002, FJ 7), mantener que dicho principio de justicia material reclama que la ley establezca el gravamen en función de la riqueza siempre que la naturaleza, estructura y hecho imponible del tributo —en definitiva, la manifestación de riqueza que se pretende gravar— lo permitan y no exista ninguna circunstancia que lo impida u obstaculice gravemente; exigencia constitucional que, naturalmente, no resulta incompatible con la existencia de supuestos en los que, para facilitar la labor de la Administración tributaria, la norma permita opcionalmente —y el sujeto pasivo acepte— acogerse a un sistema de estimación objetiva (como sucede en el caso del impuesto sobre la renta de las personas físicas o en el del IVA).</w:t>
      </w:r>
    </w:p>
    <w:p w:rsidR="00CF03FA" w:rsidRDefault="00CF03FA" w:rsidP="00CF03FA">
      <w:pPr>
        <w:pStyle w:val="TextoNormal"/>
      </w:pPr>
      <w:r>
        <w:t>Así, aunque, desde luego, estamos convencidos de que se ajustaría más al principio de capacidad económica como criterio inspirador del sistema tributario que todas las tasas se cuantificaran en función de la capacidad económica, dada la naturaleza y estructura de esta clase de tributos, estimamos que no vulnera el art. 31.1 CE la circunstancia de que, en la actualidad, en algunas tasas, la ley fije la misma cuota tributaria con independencia de que la magnitud de la riqueza que manifiesta en cada caso el hecho imponible pueda ser diferente. Esta matización para las tasas del principio de capacidad económica como criterio —que no fundamento— de la imposición es, seguramente, la que se quiere poner de manifiesto en la STC 296/1994, de 10 de noviembre, cuando se afirma que mientras que “el hecho imponible de la tasa se vincula a una actividad o servicio de la Administración pública”, de manera que no existe inconveniente en que “el importe de la cuota se fije, esencialmente, atendiendo al coste de la actividad o servicio prestado por la Administración”, “el hecho imponible del impuesto se relaciona con negocios, actos o hechos que ponen de manifiesto la capacidad económica del sujeto pasivo”, razón por la cual “el gravamen se obtiene sobre una base imponible que es expresiva de una capacidad económica, que no opera como elemento configurador en las tasas o, si lo hace, es de manera muy indirecta y remota” (FJ 4).</w:t>
      </w:r>
    </w:p>
    <w:p w:rsidR="00CF03FA" w:rsidRDefault="00CF03FA" w:rsidP="00CF03FA">
      <w:pPr>
        <w:pStyle w:val="TextoNormal"/>
      </w:pPr>
      <w:r>
        <w:lastRenderedPageBreak/>
        <w:t>Sin embargo, tenemos serias dudas de que en la llamada tasa que grava las máquinas recreativas tipo “B” quepa excepcionar o matizar la aplicación del criterio en virtud del cual la contribución debe hacerse en función de la capacidad económica, por la sencilla razón de que, tal y como expresa el propio Auto del que discrepamos en su fundamento jurídico 5 y ha subrayado este Tribunal en ocasiones anteriores, la que la Ley califica como “tasa” es en realidad un auténtico impuesto que grava los rendimientos “o capacidad económica generada por la explotación de las máquinas”, que “grava los rendimientos obtenidos por actividades de empresarios privados de manera virtualmente idéntica a los impuestos que gravan la adquisición de renta por actividades expresivas de capacidad económica” (SSTC 296/1994, de 10 de noviembre, FJ 4; en el mismo sentido, STC 204/2002, de 31 de octubre, FJ 3).</w:t>
      </w:r>
    </w:p>
    <w:p w:rsidR="00CF03FA" w:rsidRDefault="00CF03FA" w:rsidP="00CF03FA">
      <w:pPr>
        <w:pStyle w:val="TextoNormal"/>
      </w:pPr>
      <w:r>
        <w:t>Como hemos sugerido más arriba, en virtud de lo que en Alemania se conoce como “principio de practicabilidad” (Prinzip der Praktikabilität), consideramos que cabría dispensar la exigencia constitucional de que un verdadero impuesto como el que enjuiciamos se cuantifique en atención a la magnitud de la capacidad económica expresada en el hecho imponible, si existiera alguna circunstancia que lo impidiera u obstaculizara gravemente. En particular, creemos que no resultaría problemático entender que la fijación en la Ley de una cuota única para todas las máquinas recreativas del mismo tipo no vulneraría el principio de capacidad económica del art. 31.1 CE si, como señala el Fiscal General del Estado, no existieran medios técnicos para conocer el rendimiento obtenido con cada máquina. Pero es sabido que desde la Orden del Ministerio del Interior de 8 de junio de 1989 (BOE núm. 150, de 24 de junio de 1989), todas las máquinas recreativas deben incorporar contadores de monedas precintados que ofrecen, entre otros, los datos sobre el número de monedas jugadas, el número de monedas retornadas y la recaudación bruta obtenida por cada máquina, de manera que desde la vigencia de dicha norma no parece existir ninguna justificación razonable para que, en un tributo que —repetimos— grava el rendimiento obtenido con la actividad empresarial del juego, se establezca el mismo gravamen, prescindiendo de la verdadera— y perfectamente cognoscible— capacidad económica (a la misma conclusión ha llegado el BVerfG en el Auto 1 BvR 624/00, de 3 de mayo de 2001).</w:t>
      </w:r>
    </w:p>
    <w:p w:rsidR="00CF03FA" w:rsidRDefault="00CF03FA" w:rsidP="00CF03FA">
      <w:pPr>
        <w:pStyle w:val="TextoNormal"/>
      </w:pPr>
      <w:r>
        <w:t>Para concluir, como también hemos apuntado, tampoco encontraríamos reparos desde la perspectiva del principio de capacidad económica si la Ley estableciera para todas las máquinas recreativas tipo “B” una cuota única determinada en función de los rendimientos previsibles que podría generar su explotación con carácter opcional; pero el cuestionado artículo tercero, apartado cuarto, núm. dos, letra a), del Real Decreto-ley 16/1977, de 25 de febrero, en todas sus redacciones, no ha hecho eso, sino que ha establecido como único y preceptivo este sistema de estimación objetiva del gravamen.</w:t>
      </w:r>
    </w:p>
    <w:p w:rsidR="00CF03FA" w:rsidRDefault="00CF03FA" w:rsidP="00CF03FA">
      <w:pPr>
        <w:pStyle w:val="TextoNormal"/>
      </w:pPr>
      <w:r>
        <w:t>Todas las razones expuestas permiten llegar, a nuestro juicio, a la conclusión de que el problema acerca de si la capacidad económica ha de operar en todos los tributos, o sí, al menos, en qué tributos y circunstancias la Constitución reclama que la ley establezca el gravamen de acuerdo con la capacidad económica expresada en el hecho imponible no está definitivamente resuelto en nuestra jurisprudencia, como tampoco lo está el que en un impuesto como éste, en el que el propio poder público exige la instalación de un mecanismo de control para verificar la real capacidad económica (lo que cada máquina de juego produce), pueda el legislador dejar de tener en cuenta, absolutamente, dicha capacidad a la hora de establecer la carga tributaria.</w:t>
      </w:r>
    </w:p>
    <w:p w:rsidR="00CF03FA" w:rsidRDefault="00CF03FA" w:rsidP="00CF03FA">
      <w:pPr>
        <w:pStyle w:val="TextoNormal"/>
      </w:pPr>
      <w:r>
        <w:t xml:space="preserve">Por estas razones consideramos que la cuestión, en este punto (ya hemos dicho que respecto de los demás estamos de acuerdo con el Auto), no cabía entenderla “notoriamente </w:t>
      </w:r>
      <w:r>
        <w:lastRenderedPageBreak/>
        <w:t>infundada” y, en consecuencia, debía de haberse admitido, ya que su entidad y, sobre todo, su carácter problemático exigían su resolución mediante sentencia.</w:t>
      </w:r>
    </w:p>
    <w:p w:rsidR="00CF03FA" w:rsidRDefault="00CF03FA" w:rsidP="00CF03FA">
      <w:pPr>
        <w:pStyle w:val="TextoNormal"/>
      </w:pPr>
      <w:r>
        <w:t>En tal sentido emitimos el presente Voto particular disidente.</w:t>
      </w:r>
    </w:p>
    <w:p w:rsidR="00CF03FA" w:rsidRDefault="00CF03FA" w:rsidP="00CF03FA">
      <w:pPr>
        <w:pStyle w:val="TextoNormal"/>
      </w:pPr>
      <w:r>
        <w:t>Madrid, a veintiséis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33" w:name="AUTO_2008_72"/>
      <w:r>
        <w:lastRenderedPageBreak/>
        <w:t>AUTO 72/2008, de 26 de febrero de 2008</w:t>
      </w:r>
    </w:p>
    <w:bookmarkEnd w:id="133"/>
    <w:p w:rsidR="00CF03FA" w:rsidRDefault="00CF03FA" w:rsidP="00CF03FA">
      <w:pPr>
        <w:pStyle w:val="TtuloResolucin"/>
      </w:pPr>
      <w:r>
        <w:t>Pleno</w:t>
      </w:r>
    </w:p>
    <w:p w:rsidR="00CF03FA" w:rsidRDefault="00CF03FA" w:rsidP="00CF03FA">
      <w:pPr>
        <w:pStyle w:val="TtuloResolucin"/>
      </w:pPr>
    </w:p>
    <w:p w:rsidR="00CF03FA" w:rsidRDefault="00CF03FA" w:rsidP="00CF03FA">
      <w:pPr>
        <w:pStyle w:val="TtuloBOE"/>
      </w:pPr>
      <w:r>
        <w:t>("BOE" núm. 76, de 28 de marzo de 2008)</w:t>
      </w:r>
    </w:p>
    <w:p w:rsidR="00CF03FA" w:rsidRDefault="00CF03FA" w:rsidP="00CF03FA">
      <w:pPr>
        <w:pStyle w:val="TtuloBOE"/>
      </w:pPr>
    </w:p>
    <w:p w:rsidR="00CF03FA" w:rsidRDefault="00CF03FA" w:rsidP="00CF03FA">
      <w:pPr>
        <w:pStyle w:val="SntesisDescriptiva"/>
      </w:pPr>
      <w:r>
        <w:t>ECLI:ES:TC:2008:72A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CF03FA" w:rsidRDefault="00CF03FA" w:rsidP="00CF03FA">
      <w:pPr>
        <w:pStyle w:val="SntesisDescriptiva"/>
      </w:pPr>
    </w:p>
    <w:p w:rsidR="00CF03FA" w:rsidRDefault="00CF03FA" w:rsidP="00CF03FA">
      <w:pPr>
        <w:pStyle w:val="SntesisDescriptiva"/>
      </w:pPr>
      <w:r>
        <w:t>Inadmite a trámite por infundada la cuestión de inconstitucionalidad 10260-2006, planteada por la Sección Cuarta de la Audiencia Provincial de Sevilla en relación con el artículo 365, párrafo segundo, de la Ley de enjuiciamiento criminal, añadido por la disposición final primera de la Ley Orgánica 15/2003, de 24 de noviembre, que rige la valoración penal de las mercancías sustraídas en establecimientos comerciales.</w:t>
      </w:r>
    </w:p>
    <w:p w:rsidR="00CF03FA" w:rsidRDefault="00CF03FA" w:rsidP="00CF03FA">
      <w:pPr>
        <w:pStyle w:val="SntesisDescriptiva"/>
      </w:pPr>
    </w:p>
    <w:p w:rsidR="00CF03FA" w:rsidRDefault="00CF03FA" w:rsidP="00CF03FA">
      <w:pPr>
        <w:pStyle w:val="SntesisAnaltica"/>
      </w:pPr>
      <w:r>
        <w:t>Circunstancias modificativas de la responsabilidad penal: circunstancias agravantes de la responsabilidad. Igualdad, derecho a la: igualdad en la ley. Inadmisión de cuestión de inconstitucionalidad: causas de inadmisión; cuestión de inconstitucionalidad notoriamente infundada</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15 de noviembre de 2006 tuvo entrada en el Registro de este Tribunal un escrito de la Sección Cuarta de la Audiencia Provincial de Sevilla, al que se acompaña, junto con el testimonio del correspondiente procedimiento, Auto de 27 de octubre de 2006, dictado en el rollo de apelación penal 93-2006, en el que se acuerda promover ante este Tribunal cuestión de inconstitucionalidad respecto del párrafo segundo del art. 365 LECrim, añadido por la Ley Orgánica 15/2003, de 24 de noviembre, de modificación de la Ley Orgánica 10/1995, de 23 de noviembre, del Código penal, por posible vulneración de los art. 9.3, 14 y 81.1 CE.</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relevantes en este proceso constitucional son los siguientes: </w:t>
      </w:r>
    </w:p>
    <w:p w:rsidR="00CF03FA" w:rsidRDefault="00CF03FA" w:rsidP="00CF03FA">
      <w:pPr>
        <w:pStyle w:val="TextoNormal"/>
      </w:pPr>
      <w:r>
        <w:t xml:space="preserve">a) El Juzgado de lo Penal núm. 6 de Sevilla, por Sentencia de 14 de septiembre de 2005, dictada en el procedimiento abreviado núm. 225-2005, condenó al acusado como autor de un delito de hurto en grado de tentativa a la pena de tres meses de prisión, inhabilitación especial y pago de las costas, al considerar acreditado que el 22 de julio de 2005, y dentro de unos grandes almacenes, abrió una vitrina-expositor del departamento de video e informática, tomando para sí dos máquinas de fotografía digital cuyos precios de venta al público eran, respectivamente, de 299 € y 126, 65 €, guardándoselas en el pantalón y pasando por la línea de caja sin abonar su precio, siendo interceptado antes de abandonar el edificio por vigilantes de seguridad. </w:t>
      </w:r>
    </w:p>
    <w:p w:rsidR="00CF03FA" w:rsidRDefault="00CF03FA" w:rsidP="00CF03FA">
      <w:pPr>
        <w:pStyle w:val="TextoNormal"/>
      </w:pPr>
      <w:r>
        <w:lastRenderedPageBreak/>
        <w:t xml:space="preserve">b) El condenado interpuso recurso de apelación, cuyo conocimiento correspondió a la Sección Cuarta de la Audiencia Provincial de Sevilla, que se tramitó con el núm. 93-2006. Una vez señalado el día 23 de febrero de 2006 para la deliberación y fallo del recurso, por providencia de 2 de marzo de 2006 se acordó dar audiencia al Ministerio Fiscal y al acusado para que en un plazo de diez días alegaran lo que estimasen pertinente sobre la procedencia de plantear cuestión de inconstitucionalidad respecto del párrafo segundo del art. 365 LECrim, en cuanto dicha norma pudiera ser contraria a los arts. 9.3, 14 y 81.1 CE, que garantizan, respectivamente, la seguridad jurídica, la igualdad ante la ley y el ámbito normativo reservado a la ley orgánica, señalando que aquel precepto había sido añadido por el apartado segundo, letra e), de la disposición final primera de la Ley Orgánica 15/2003, de 24 de noviembre, que tiene carácter de ley ordinaria, según expresamente precisa la disposición final cuarta de la propia Ley Orgánica 15/2003. </w:t>
      </w:r>
    </w:p>
    <w:p w:rsidR="00CF03FA" w:rsidRDefault="00CF03FA" w:rsidP="00CF03FA">
      <w:pPr>
        <w:pStyle w:val="TextoNormal"/>
      </w:pPr>
      <w:r>
        <w:t>c) El acusado no formuló alegaciones, y el Ministerio Fiscal, por escrito de 10 de marzo de 2006, manifestó no oponerse al planteamiento de la cuestión por ser relevante para la resolución del caso al depender de la constitucionalidad del precepto que la condena lo fuera por falta o por delito, ya que, conforme al informe pericial aportado en la causa, mientras el precio de venta al público es de 425,65 € y, por tanto, dentro del límite previsto para el delito de hurto, el valor de costo sería de 361,80 € y, por tanto, dentro del límite previsto para la falta de hurto.</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Por Auto de 27 de octubre de 2006, la Sección Cuarta de la Audiencia Provincial de Sevilla, acordó “[p]lantear cuestión de inconstitucionalidad del párrafo segundo del art. 365 de la Ley de enjuiciamiento criminal, añadido por la Ley Orgánica 15/2003, de 24 de noviembre, en cuanto el mismo pudiera ser contrario a los arts. 9.3, 14 y 81.1 de la Constitución Española”. Dicho precepto dispone que “[l]a valoración de las mercancías sustraídas en establecimientos comerciales se fijará atendiendo a su precio de venta al público”. </w:t>
      </w:r>
    </w:p>
    <w:p w:rsidR="00CF03FA" w:rsidRDefault="00CF03FA" w:rsidP="00CF03FA">
      <w:pPr>
        <w:pStyle w:val="TextoNormal"/>
      </w:pPr>
      <w:r>
        <w:t xml:space="preserve">En el Auto se argumenta, en primer lugar, que esta norma es aplicable al caso y relevante en el procedimiento, ya que, por un lado, a pesar de no haber sido mencionada en la Sentencia de instancia, en su relato de hechos probados se hace referencia exclusiva al precio de venta al público de los objetos que se intentaban sustraer (425,65 €) y no a la tasación pericial de su valor (361,80 €) y, por otro, de su constitucionalidad depende que la sanción a imponer sea por delito o por falta de hurto, al ser el límite cuantitativo entre ambos los 400 €. En segundo lugar, por lo que se refiere al tema de fondo, se argumenta que el precepto cuestionado plantea dudas de constitucionalidad, tanto desde la perspectiva de la reserva de ley orgánica (art. 81.1 CE) como en relación con los principios de la interdicción de la arbitrariedad y la seguridad jurídica (art. 9.3 CE), y de igualdad (art. 14 CE). </w:t>
      </w:r>
    </w:p>
    <w:p w:rsidR="00CF03FA" w:rsidRDefault="00CF03FA" w:rsidP="00CF03FA">
      <w:pPr>
        <w:pStyle w:val="TextoNormal"/>
      </w:pPr>
      <w:r>
        <w:t>Las dudas de constitucionalidad referida a la infracción de la reserva de ley orgánica (art. 81.1 CE) se fundamentan en que, a pesar de que el precepto está en la LECrim, se trataría de una norma penal sustantiva que integraría los tipos penales relativos al hurto y que, por tanto, debería revestir forma de ley orgánica y no de ley ordinaria, tal y como establece la disposición final cuarta de la Ley Orgánica 15/2003. Así, con referencia a la STC 234/1997, de 18 de diciembre, se considera que la norma cuestionada no constituye un elemento normativo complementario de los tipos penales relativos al hurto que sea susceptible de ser regulado por una ley ordinaria, puesto que el valor de las cosas hace referencia a un hecho y no a una realidad determinada por una norma jurídica o social y, además, tampoco es un elemento complementario, sino nuclear del tipo penal al afectar a la distinción entre delito y falta. Igualmente se descarta que la norma cuestionada constituya un complemento extra</w:t>
      </w:r>
      <w:r>
        <w:lastRenderedPageBreak/>
        <w:t xml:space="preserve">penal necesario de las normas penales en blanco, argumentando que estos preceptos disponen de todos los elementos precisos para la determinación de la conducta típica, sin que antes de la reforma legal se hubiera planteado que las referencias de estos preceptos al valor de lo sustraído precisaran ninguna integración normativa. </w:t>
      </w:r>
    </w:p>
    <w:p w:rsidR="00CF03FA" w:rsidRDefault="00CF03FA" w:rsidP="00CF03FA">
      <w:pPr>
        <w:pStyle w:val="TextoNormal"/>
      </w:pPr>
      <w:r>
        <w:t>Por su parte, las dudas de constitucionalidad referidas a los principios de interdicción de la arbitrariedad y la seguridad jurídica (art. 9.3 CE) y de igualdad (art. 14 CE) se fundamentan en que el criterio del precio de venta al público es aleatorio, variable, temporal y geográficamente, y dependiente de factores ajenos a la antijuricidad del hecho, como es la voluntad del sujeto pasivo de la infracción penal. Así, se argumenta que, en virtud de la libertad de precios, existe la posibilidad de que el precio de venta al público varíe de un lugar a otro, e incluso temporalmente, concluyendo que, teniendo en cuenta la trascendencia penal de dicha variación, este criterio no puede justificarse racionalmente puesto que puede llevar a castigar de modo muy distinto conductas que presentan idénticos rasgos de antijuricidad en cuanto al desvalor de la acción -sustracción sin violencia ni intimidación ni fuerza en las cosas- y al desvalor del resultado —idénticos objetos y mismo coste de reposición—. De ese modo se insiste en que, lejos de ser un valor objetivo y abstracto, el precio de venta al público constituye un criterio subjetivo y, en definitiva, arbitrario y generador de inseguridad jurídica.</w:t>
      </w:r>
    </w:p>
    <w:p w:rsidR="00CF03FA" w:rsidRDefault="00CF03FA" w:rsidP="00CF03FA">
      <w:pPr>
        <w:pStyle w:val="TextoNormal"/>
      </w:pPr>
    </w:p>
    <w:p w:rsidR="00CF03FA" w:rsidRDefault="00CF03FA" w:rsidP="00CF03FA">
      <w:pPr>
        <w:pStyle w:val="TextoNormal"/>
      </w:pPr>
      <w:r w:rsidRPr="00CF03FA">
        <w:rPr>
          <w:rStyle w:val="NumeroAFNegritaCaracter"/>
        </w:rPr>
        <w:t>4</w:t>
      </w:r>
      <w:r>
        <w:t>. La Sección Segunda de este Tribunal, por providencia de 3 de julio de 2007, acordó oír al Fiscal General del Estado para que, conforme a lo previsto en el art. 37.1 LOTC, expusiera lo que considerara conveniente acerca de la admisibilidad de la cuestión de inconstitucionalidad, por si fuese notoriamente infundada.</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El Fiscal General del Estado formuló sus alegaciones por escrito registrado en este Tribunal el 30 de julio de 2007, interesando su inadmisión por entender que resultan notoriamente infundadas las dudas de constitucionalidad suscitadas por el órgano judicial que la ha promovido. </w:t>
      </w:r>
    </w:p>
    <w:p w:rsidR="00CF03FA" w:rsidRDefault="00CF03FA" w:rsidP="00CF03FA">
      <w:pPr>
        <w:pStyle w:val="TextoNormal"/>
      </w:pPr>
      <w:r>
        <w:t xml:space="preserve">Por lo que se refiere a las dudas relacionadas con la reserva de ley orgánica, el Fiscal General del Estado destaca que la existencia de un limite cuantitativo entre delito y falta de hurto “no otorga a la norma que determina los criterios de valoración de lo sustraído el carácter de elemento nuclear del tipo, ni puede entenderse que éste afecta a la regulación de ley orgánica, pues es claro que tal norma no establece restricción alguna sobre los derechos y libertades fundamentales reconocidos en el capítulo II del título primero de la Constitución, ni los desarrolla de modo directo ni regula aspectos sustanciales de los mismos al establecer que, en determinados delitos contra el patrimonio, deben valorarse las mercancías de acuerdo a su precio de venta al público, para nada supone regulación del ejercicio de los derechos fundamentales ni un desarrollo de aspectos consustanciales en el ejercicio de la libertad personal”. </w:t>
      </w:r>
    </w:p>
    <w:p w:rsidR="00CF03FA" w:rsidRDefault="00CF03FA" w:rsidP="00CF03FA">
      <w:pPr>
        <w:pStyle w:val="TextoNormal"/>
      </w:pPr>
      <w:r>
        <w:t xml:space="preserve">En cuanto a las dudas relacionadas con los principios de interdicción de la arbitrariedad, la seguridad jurídica y la igualdad, el Fiscal General del Estado señala, respecto del primer principio que “establece un criterio legal de valoración… que tiene, frente a los otros posibles, el valor de su plena cognoscibilidad para los sujetos activos de las infracciones con anterioridad a que decidan llevarlas a cabo, por lo que la norma aparece dotada de una justificación razonable, y no puede ser tildada de arbitraria, teniendo la clara finalidad de acabar con la situación precedente y dotar a la punición de las infracciones de que se trata de una respuesta judicial homogénea”. </w:t>
      </w:r>
    </w:p>
    <w:p w:rsidR="00CF03FA" w:rsidRDefault="00CF03FA" w:rsidP="00CF03FA">
      <w:pPr>
        <w:pStyle w:val="TextoNormal"/>
      </w:pPr>
      <w:r>
        <w:lastRenderedPageBreak/>
        <w:t xml:space="preserve">Respecto de las dudas sobre la seguridad jurídica, afirma que la norma puede ser interpretada y aplicada de una forma natural, dada su sencillez, sin que su contenido pueda generar confusión o dudas de ninguna índole, incidiendo en que la jurisprudencia constitucional ha destacado que la seguridad jurídica ha de entenderse como la certeza sobre el ordenamiento jurídico aplicable y los intereses jurídicamente tutelados, procurando la claridad y la no confusión normativa, en tanto que la expectativa razonablemente fundada del ciudadano en cuál ha de ser la actuación del poder en la aplicación de Derecho. </w:t>
      </w:r>
    </w:p>
    <w:p w:rsidR="00CF03FA" w:rsidRDefault="00CF03FA" w:rsidP="00CF03FA">
      <w:pPr>
        <w:pStyle w:val="TextoNormal"/>
      </w:pPr>
      <w:r>
        <w:t>Por último, en relación con el derecho a la igualdad, el Fiscal General de Estado destaca que el criterio normativo no ha introducido ninguna diferencia de trato por razones personales, y que el punto de partida del órgano cuestionante sobre una hipotética igualdad en el precio de coste tampoco existe por sufrir fluctuaciones parecidas al del precio de venta al público, por depender de la cantidad de producto adquirido, relaciones con el productor, lugar de adquisición o modo de pago, siendo además un precio desconocido para el sujeto activo de la infracción.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objeto de la presente cuestión de inconstitucionalidad es determinar si el art. 365 de la Ley de enjuiciamiento criminal (LECrim) lesiona la reserva de ley orgánica (art. 81.1 CE), los principios de la interdicción de la arbitrariedad y la seguridad jurídica (art. 9.3 CE), y el derecho a la igualdad (art. 14 CE).</w:t>
      </w:r>
    </w:p>
    <w:p w:rsidR="00CF03FA" w:rsidRDefault="00CF03FA" w:rsidP="00CF03FA">
      <w:pPr>
        <w:pStyle w:val="TextoNormal"/>
      </w:pPr>
      <w:r>
        <w:t>Este precepto establece que “[l]a valoración de las mercancías sustraídas en establecimientos comerciales se fijará atendiendo a su precio de venta al público” y el órgano judicial que plantea la cuestión considera, como se ha expuesto más ampliamente en los antecedentes, por un lado, que al tratarse de una norma sustantiva que define un elemento nuclear de la delimitación entre delito y falta de hurto, afectando con ello al derecho a la libertad, debería revestir forma de ley orgánica y no de ley ordinaria. Y, por otro, que es un criterio arbitrario y sin justificación racional que genera desigualdad e inseguridad jurídica, ya que resulta aleatorio por su variabilidad temporal y geográfica y puede llevar a castigar de modo muy distinto conductas que presentan idéntico contenido de antijuricidad.</w:t>
      </w:r>
    </w:p>
    <w:p w:rsidR="00CF03FA" w:rsidRDefault="00CF03FA" w:rsidP="00CF03FA">
      <w:pPr>
        <w:pStyle w:val="TextoNormal"/>
      </w:pPr>
      <w:r>
        <w:t>El art. 37.1 LOTC establece que el Tribunal podrá rechazar, en trámite de admisión, mediante Auto y sin otra audiencia que la del Fiscal General del Estado, la cuestión de inconstitucionalidad cuando fuera notoriamente infundada. A tales efectos, este Tribunal ha reiterado que el concepto de “cuestión notoriamente infundada”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 apreciar la falta de viabilidad de la cuestión suscitada, “sin que ello signifique, necesariamente, que carezca de falta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ATC 426/2007, de 6 de noviembre, FJ 2). El presente caso, como se argumentará a continuación, es uno de esos supuestos en que, sin excesivo esfuerzo argumental, es posible concluir que las dudas de inconstitucionalidad están manifiestamente infundadas.</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2</w:t>
      </w:r>
      <w:r>
        <w:t>. Las dudas de constitucionalidad suscitadas sobre la necesidad de que la norma cuestionada debiera tener el rango de ley orgánica están manifiestamente infundadas, toda vez que dicho precepto no regula ningún elemento de los tipos penales de hurto, que, de acuerdo con la jurisprudencia constitucional, y por afectar al art. 17 CE, debiera estar contenido en una norma de carácter orgánico, conforme a lo establecido en el art. 81.1 CE.</w:t>
      </w:r>
    </w:p>
    <w:p w:rsidR="00CF03FA" w:rsidRDefault="00CF03FA" w:rsidP="00CF03FA">
      <w:pPr>
        <w:pStyle w:val="TextoNormal"/>
      </w:pPr>
      <w:r>
        <w:t>Una lectura de los tipos penales contenidos en los arts. 234 del Código penal (CP) —delito de hurto— y 623.1 CP —falta de hurto—, en que se establece la correspondiente sanción para la conducta de quien, con ánimo de lucro y sin la voluntad de su dueño, tomare las cosas muebles ajenas de más o de menos de 400 €, pone de manifiesto, como acertadamente señala el órgano judicial cuestionante, que ni se trata de normas penales incompletas o en blanco, que, de acuerdo con la jurisprudencia constitucional, pueden ser concretadas mediante normas que no revistan carácter orgánico, ni de un supuesto de normas penales que remitan la regulación de elementos normativos complementarios del tipo penal a otras normas, técnica constitucionalmente admitida en la STC 234/1997, de 18 de diciembre, FJ 10. Ahora bien, tampoco cabe apreciar, en contra de lo que sostiene el órgano judicial, que la norma cuestionada venga a integrar los preceptos penales citados, estableciendo un elemento nuclear del tipo concretando la conducta infractora. En efecto, la totalidad de los elementos que describen las infracciones penales de hurto y la cuantía de las penas están contenidos directamente en los arts. 234 y 623.1 CP. Por tanto, son normas con rango de ley orgánica las que establecen taxativamente no sólo los elementos integrantes de estas conductas, sino también que la delimitación entre el delito y la falta de hurto radica en que la cuantía de lo sustraído exceda o no de los 400 €.</w:t>
      </w:r>
    </w:p>
    <w:p w:rsidR="00CF03FA" w:rsidRDefault="00CF03FA" w:rsidP="00CF03FA">
      <w:pPr>
        <w:pStyle w:val="TextoNormal"/>
      </w:pPr>
      <w:r>
        <w:t>A partir de ello se pone de manifiesto que la norma cuestionada, al establecer que la valoración de las mercancías sustraídas en establecimientos comerciales se fijará atendiendo a su precio de venta al público, tampoco viene a regular una definición auténtica del concepto cuantía de 400 €, aplicado al objeto del hurto, sino que se limita a fijar un criterio para la valoración probatoria de este concreto elemento en el contexto de los hurtos en establecimientos comerciales. Este carácter de mero criterio de valoración probatoria, además, está en perfecta concordancia con el hecho de su ubicación sistemática en el art. 365 LECrim, en el que se regula la tasación pericial del valor de la cosa objeto de delito.</w:t>
      </w:r>
    </w:p>
    <w:p w:rsidR="00CF03FA" w:rsidRDefault="00CF03FA" w:rsidP="00CF03FA">
      <w:pPr>
        <w:pStyle w:val="TextoNormal"/>
      </w:pPr>
      <w:r>
        <w:t>Por consiguiente, aunque no cabe negar que la cuantía de 400 € es un elemento que diferencia el delito de la falta de hurto y, en esa medida, supone un presupuesto para la mayor o menor incidencia de la sanción en el art. 17.1 CE, sin embargo, la norma cuestionada ni define un elemento del delito, ni tampoco extiende la aplicación del tipo penal de hurto a nuevas conductas, supuesto que también se ha afirmado que es materia reservada a la ley orgánica (STC 119/1992, de 18 de noviembre, FJ 2). Así pues, desde la interpretación restrictiva del alcance de la reserva de ley orgánica que tradicionalmente ha defendido la jurisprudencia constitucional, no puede afirmarse que la norma cuestionada afecte directamente al derecho de libertad reconocido en el art.  17.1 CE, ya que no determina los supuestos y las condiciones en que la privación de libertad es legítima.</w:t>
      </w:r>
    </w:p>
    <w:p w:rsidR="00CF03FA" w:rsidRDefault="00CF03FA" w:rsidP="00CF03FA">
      <w:pPr>
        <w:pStyle w:val="TextoNormal"/>
      </w:pPr>
    </w:p>
    <w:p w:rsidR="00CF03FA" w:rsidRDefault="00CF03FA" w:rsidP="00CF03FA">
      <w:pPr>
        <w:pStyle w:val="TextoNormal"/>
      </w:pPr>
      <w:r w:rsidRPr="00CF03FA">
        <w:rPr>
          <w:rStyle w:val="NumeroAFNegritaCaracter"/>
        </w:rPr>
        <w:t>3</w:t>
      </w:r>
      <w:r>
        <w:t>. Las dudas de constitucionalidad relacionadas con los principios de interdicción de la arbitrariedad y seguridad jurídica (art. 9.3 CE) y el derecho a la igualdad en la ley (art. 14 CE) también resultan notoriamente infundadas.</w:t>
      </w:r>
    </w:p>
    <w:p w:rsidR="00CF03FA" w:rsidRDefault="00CF03FA" w:rsidP="00CF03FA">
      <w:pPr>
        <w:pStyle w:val="TextoNormal"/>
      </w:pPr>
      <w:r>
        <w:t xml:space="preserve">En relación con el principio de interdicción de la arbitrariedad en la actividad legislativa, este Tribunal ha reiterado que el control de la constitucionalidad de las leyes debe ejercerse sin imponer constricciones indebidas al Poder legislativo y respetando sus opciones políticas, máxime cuando se trata de aplicar preceptos generales e indeterminados, como es el de </w:t>
      </w:r>
      <w:r>
        <w:lastRenderedPageBreak/>
        <w:t>la interdicción de la arbitrariedad. De ese modo se ha hecho especial incidencia en que en tales casos el análisis se ha de centrar en verificar si el precepto controvertido establece una discriminación, que entraña siempre una arbitrariedad, o bien, si aun no estableciéndola, carece de toda explicación racional, lo que también supondría una arbitrariedad, sin que resulte pertinente realizar un análisis a fondo de todas las motivaciones posibles de la norma y de todas sus eventuales consecuencias. En todo caso, también se ha destacado que no es posible confundir lo que es arbitrio legítimo del legislador con capricho, inconsecuencia o incoherencia creadores de desigualdad o distorsión en los efectos legales (por todas, STC 1372007, de 18 de enero, FJ 4).</w:t>
      </w:r>
    </w:p>
    <w:p w:rsidR="00CF03FA" w:rsidRDefault="00CF03FA" w:rsidP="00CF03FA">
      <w:pPr>
        <w:pStyle w:val="TextoNormal"/>
      </w:pPr>
      <w:r>
        <w:t>Por su parte, en relación con el principio de seguridad jurídica también se ha afirmado que ha de entenderse como la certeza sobre la regulación jurídica aplicable y los intereses jurídicamente tutelados, procurando la claridad y no la confusión normativa, de tal manera que sólo si en el Ordenamiento jurídico en el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(por todas, STC 248/2007, de 13 de noviembre).</w:t>
      </w:r>
    </w:p>
    <w:p w:rsidR="00CF03FA" w:rsidRDefault="00CF03FA" w:rsidP="00CF03FA">
      <w:pPr>
        <w:pStyle w:val="TextoNormal"/>
      </w:pPr>
      <w:r>
        <w:t>Pues bien, conforme también ha destacado el Fiscal General del Estado, la regulación establecida en la norma cuestionada sobre que el criterio para valorar los objetos sustraídos en los establecimientos comerciales será el precio de venta al público, ni puede considerarse que carezca de toda explicación racional ni, desde luego, que pueda generar confusión e incertidumbre acerca de la conducta exigible para su cumplimiento. En efecto, más allá de las legítimas discrepancias que puedan mantenerse sobre cuál pudiera ser el criterio más adecuado para la valoración del objeto material de un delito de hurto —el precio de coste, el precio de reposición, el precio de venta o cualquier otro criterio imaginable— o incluso si esa valoración debe quedar dentro del margen de libertad probatoria y libre valoración de la prueba, lo cierto es que, aun cuando no exista ninguna referencia a ello en la Exposición de motivos de la Ley Orgánica 15/2003 en que se añadió este precepto, existen razones para justificar la elección de este criterio por el legislador. Su carácter absolutamente objetivo permite, por un lado, la previsibilidad del sujeto activo respecto de las eventuales consecuencias de su conducta, en tanto que le es posible conocer, incluso antes de actuar, la valoración que realizará el órgano judicial, y, por otro, propicia la eliminación de la eventual apreciación subjetiva que implica remitir a un informe pericial la valoración de este elemento normativo, valoración que siempre sería ex post.  Igualmente, por lo ya avanzado con anterioridad, no resulta posible asumir las dudas relativas a la seguridad jurídica, pues, contrariamente a lo afirmado por el órgano judicial, este criterio, por su objetividad y facilidad de constatación para el sujeto activo, tiene, precisamente, la virtualidad de permitirle conocer con carácter previo a los hechos cuál va a ser la calificación de su conducta y, por tanto, la consecuencia jurídica aplicable.</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En relación con el derecho a la igualdad ante la Ley (art. 14 CE) este Tribunal ha reiterado que el juicio de igualdad constituye un juicio de carácter relacional que requiere como presupuestos obligados, por un lado, que como consecuencia de la medida normativa cuestionada se haya introducido directa o indirectamente una diferencia de trato entre grupos o categorías de personas y, por otro, que las situaciones subjetivas que quieran traerse a la comparación sean, efectivamente, homogéneas o equiparables, es decir, que el término </w:t>
      </w:r>
      <w:r>
        <w:lastRenderedPageBreak/>
        <w:t>de comparación no resulte arbitrario o caprichoso (por todas, STC 307/2006, de 23 de octubre, FJ 4).</w:t>
      </w:r>
    </w:p>
    <w:p w:rsidR="00CF03FA" w:rsidRDefault="00CF03FA" w:rsidP="00CF03FA">
      <w:pPr>
        <w:pStyle w:val="TextoNormal"/>
      </w:pPr>
      <w:r>
        <w:t>En el presente caso, como también ha destacado el Fiscal General del Estado, no resulta posible apreciar que la norma cuestionada haya introducido ninguna diferencia de trato entre grupos o categorías de personas necesaria para dotar de un mínimo fundamento a esta duda de constitucionalidad. En efecto, la circunstancia destacada por el órgano judicial de que se estaría dispensando un desigual tratamiento para una misma conducta dependiendo de la decisión adoptada por el sujeto pasivo en función de la libertad de fijación de precios no puede ser reconducida a una eventual lesión del derecho a la igualdad en la ley, ya que, conforme a lo previsto en la norma cuestionada, con independencia del precio fijado en cada establecimiento para un producto, la valoración de ese producto en caso de hurto en ese concreto establecimiento será la misma para cualquiera sujeto activo, sin distinción ninguna y sin atender a ninguna consideración subjetiva, que es lo que prohíbe el art. 14 CE. Ello, por si sólo, priva de cualquier fundamento a esta duda de constitucionalidad.</w:t>
      </w:r>
    </w:p>
    <w:p w:rsidR="00CF03FA" w:rsidRDefault="00CF03FA" w:rsidP="00CF03FA">
      <w:pPr>
        <w:pStyle w:val="TextoNormal"/>
      </w:pPr>
    </w:p>
    <w:p w:rsidR="00CF03FA" w:rsidRDefault="00CF03FA" w:rsidP="00CF03FA">
      <w:pPr>
        <w:pStyle w:val="TextoNormal"/>
      </w:pPr>
      <w:r>
        <w:t>Por lo expuesto, el Pleno del Tribunal</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la presente cuestión de inconstitucionalidad.</w:t>
      </w:r>
    </w:p>
    <w:p w:rsidR="00CF03FA" w:rsidRDefault="00CF03FA" w:rsidP="00CF03FA">
      <w:pPr>
        <w:pStyle w:val="TextoNormal"/>
      </w:pPr>
    </w:p>
    <w:p w:rsidR="00CF03FA" w:rsidRDefault="00CF03FA" w:rsidP="00CF03FA">
      <w:pPr>
        <w:pStyle w:val="TextoNormal"/>
      </w:pPr>
      <w:r>
        <w:t>Publíquese este Auto en el “Boletín Oficial del Estado”.</w:t>
      </w:r>
    </w:p>
    <w:p w:rsidR="00CF03FA" w:rsidRDefault="00CF03FA" w:rsidP="00CF03FA">
      <w:pPr>
        <w:pStyle w:val="TextoNormal"/>
      </w:pPr>
      <w:r>
        <w:t>Madrid, a veintiséis de febrero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34" w:name="AUTO_2008_73"/>
      <w:r>
        <w:lastRenderedPageBreak/>
        <w:t>AUTO 73/2008, de 4 de marzo de 2008</w:t>
      </w:r>
    </w:p>
    <w:bookmarkEnd w:id="134"/>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ECLI:ES:TC:2008:73A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Acuerda el desistimiento en el recurso de amparo 6483-2007.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35" w:name="AUTO_2008_74"/>
      <w:r>
        <w:lastRenderedPageBreak/>
        <w:t>AUTO 74/2008, de 5 de marzo de 2008</w:t>
      </w:r>
    </w:p>
    <w:bookmarkEnd w:id="135"/>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ECLI:ES:TC:2008:74A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Acuerda el desistimiento en el recurso de amparo 7835-2006.</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36" w:name="AUTO_2008_75"/>
      <w:r>
        <w:lastRenderedPageBreak/>
        <w:t>AUTO 75/2008, de 10 de marzo de 2008</w:t>
      </w:r>
    </w:p>
    <w:bookmarkEnd w:id="136"/>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ECLI:ES:TC:2008:75A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Deniega la suspensión en el recurso de amparo 5799-2005, promovido por la Federación de Servicios y Administraciones Públicas de Comisiones Obreras en contencioso sobre adjudicación de puestos de trabajo.</w:t>
      </w:r>
    </w:p>
    <w:p w:rsidR="00CF03FA" w:rsidRDefault="00CF03FA" w:rsidP="00CF03FA">
      <w:pPr>
        <w:pStyle w:val="SntesisDescriptiva"/>
      </w:pPr>
    </w:p>
    <w:p w:rsidR="00CF03FA" w:rsidRDefault="00CF03FA" w:rsidP="00CF03FA">
      <w:pPr>
        <w:pStyle w:val="SntesisAnaltica"/>
      </w:pPr>
      <w:r>
        <w:t>Sindicatos: legitimación para interponer recursos. Suspensión cautelar de resoluciones administrativas: denegación de la suspensión del acto administrativo. Suspensión cautelar de sentencias contencioso-administrativas: improcedente.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presentado en este Tribunal el 29 de julio de 2005 doña María Jesús Ruiz Esteban, Procuradora de los Tribunales y de la Federación de Servicios y Administraciones Públicas de Comisiones Obreras, interpuso recurso de amparo contra la Sentencia de la Sala de lo Contencioso-Administrativo del Tribunal Superior de Justicia de Canarias, con sede en Santa Cruz de Tenerife, de 28 de junio de 2005, que desestima el recurso de apelación interpuesto contra la Sentencia del Juzgado de lo Contencioso-Administrativo núm. 1 de Santa Cruz de Tenerife, de fecha 4 de marzo de 2004, que inadmite, por falta de la imprescindible legitimación activa, el recurso contencioso núm. 500-2004 promovido por el sindicato recurrente contra las órdenes de la Consejería de Presidencia y Justicia del Gobierno de Canarias, de 29 de julio y 11 de agosto de 2004, que aprobaron las listas provisionales de adjudicación de puestos de trabajo controvertidas en el proceso judicial. </w:t>
      </w:r>
    </w:p>
    <w:p w:rsidR="00CF03FA" w:rsidRDefault="00CF03FA" w:rsidP="00CF03FA">
      <w:pPr>
        <w:pStyle w:val="TextoNormal"/>
      </w:pPr>
      <w:r>
        <w:t>Por medio de otrosí, con arreglo al art. 56 LOTC, el sindicato recurrente solicitó la suspensión de la ejecución de las Sentencias y órdenes recurridas, so riesgo, en otro caso, de hacer perder al amparo su finalidad, y habida cuenta también del criterio favorable a la suspensión que luce en otras decisiones de este Tribunal dictadas a propósito de supuestos idénticos, tal y como, según se advierte, se probará cumplidamente en su momento oportuno.</w:t>
      </w:r>
    </w:p>
    <w:p w:rsidR="00CF03FA" w:rsidRDefault="00CF03FA" w:rsidP="00CF03FA">
      <w:pPr>
        <w:pStyle w:val="TextoNormal"/>
      </w:pPr>
    </w:p>
    <w:p w:rsidR="00CF03FA" w:rsidRDefault="00CF03FA" w:rsidP="00CF03FA">
      <w:pPr>
        <w:pStyle w:val="TextoNormal"/>
      </w:pPr>
      <w:r w:rsidRPr="00CF03FA">
        <w:rPr>
          <w:rStyle w:val="NumeroAFNegritaCaracter"/>
        </w:rPr>
        <w:t>2</w:t>
      </w:r>
      <w:r>
        <w:t>. Por sendas providencias de fecha 24 de julio de 2007 la Sala Segunda de este Tribunal acordó la admisión a trámite de la demanda de amparo y formar la presente pieza separada de suspensión, concediendo, de conformidad con lo dispuesto en el art. 56 LOTC, plazo común de tres días al Ministerio Fiscal y a la parte recurrente para que alegaran lo que estimasen pertinente en relación con la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3</w:t>
      </w:r>
      <w:r>
        <w:t>. Con fecha de 31 de julio de 2007 la representación procesal del sindicato recurrente en amparo presentó sus alegaciones, poniendo de manifiesto los perjuicios, que considera difícilmente reversibles, que habría de ocasionar la consumación de la nueva adjudicación de puestos propuesta en la lista provisional aprobada por las órdenes administrativas recurridas y el consecuente riesgo que, para la efectividad del amparo solicitado, supondría no acceder a la suspensión interesada, que extiende igualmente, bien que sin mayor razonamiento, a las Sentencias recurridas en amparo.</w:t>
      </w:r>
    </w:p>
    <w:p w:rsidR="00CF03FA" w:rsidRDefault="00CF03FA" w:rsidP="00CF03FA">
      <w:pPr>
        <w:pStyle w:val="TextoNormal"/>
      </w:pPr>
    </w:p>
    <w:p w:rsidR="00CF03FA" w:rsidRDefault="00CF03FA" w:rsidP="00CF03FA">
      <w:pPr>
        <w:pStyle w:val="TextoNormal"/>
      </w:pPr>
      <w:r w:rsidRPr="00CF03FA">
        <w:rPr>
          <w:rStyle w:val="NumeroAFNegritaCaracter"/>
        </w:rPr>
        <w:t>4</w:t>
      </w:r>
      <w:r>
        <w:t>. Mediante escrito registrado el día 6 de agosto de 2007 el Ministerio Fiscal manifestó su opinión contraria a la suspensión considerada a la vista del criterio restrictivo que debe guiar la suspensión de resoluciones judiciales, tanto más necesario en los supuestos, como es el caso, de resoluciones judiciales de contenido negativo, y dada también la grave perturbación de los intereses legítimos de terceros que, por su parte, supondría la suspensión de las resoluciones administrativas recurridas.</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Conforme se ha expuesto en los antecedentes de esta resolución, el sindicato recurrente solicita la suspensión de las órdenes de la Consejería de Presidencia del Gobierno de Canarias de 29 de julio y 11 de agosto de 2004, que aprobaron las listas provisionales de adjudicación de puestos de trabajo controvertidas en el proceso judicial, y también, aunque sin mayor argumentación, la suspensión de la Sentencia del Juzgado de lo Contencioso núm. 1 de Santa Cruz de Tenerife, de 4 de marzo de 2004, que declaró la no admisión, por falta de legitimación, del recurso contencioso que el sindicato recurrente interpuso contra las citadas órdenes, así como la de la Sentencia dictada por la Sala de lo Contencioso-Administrativo del Tribunal Superior de Justicia de Canarias, con sede en Santa Cruz de Tenerife, de 28 de junio de 2005, que desestimó el recurso de apelación. En síntesis porque, en su criterio, de no acordarse la suspensión interesada se consolidaría una situación difícilmente reversible y, de este modo, se malograría también la efectividad del amparo solicitado. El Ministerio Fiscal, por su parte, se pronuncia en contra de la suspensión solicitada por considerar, de acuerdo con el art. 56 LOTC, que la no suspensión en nada compromete la finalidad del amparo solicitado y sí, en cambio, legítimos intereses de terceros.</w:t>
      </w:r>
    </w:p>
    <w:p w:rsidR="00CF03FA" w:rsidRDefault="00CF03FA" w:rsidP="00CF03FA">
      <w:pPr>
        <w:pStyle w:val="TextoNormal"/>
      </w:pPr>
    </w:p>
    <w:p w:rsidR="00CF03FA" w:rsidRDefault="00CF03FA" w:rsidP="00CF03FA">
      <w:pPr>
        <w:pStyle w:val="TextoNormal"/>
      </w:pPr>
      <w:r w:rsidRPr="00CF03FA">
        <w:rPr>
          <w:rStyle w:val="NumeroAFNegritaCaracter"/>
        </w:rPr>
        <w:t>2</w:t>
      </w:r>
      <w:r>
        <w:t>. La petición de suspensión no puede ser estimada. En el caso de las Sentencias recurridas porque, como con acierto señala el Fiscal en su escrito de alegaciones y es ya consolidada doctrina constitucional (que arranca del ATC 132/1982, de 31 de marzo, y confirman, entre otros muchos, los más recientes AATC 292/2005, de 4 de julio, FJ 2; 3/2006, de 16 de enero, FJ 2; 314/2006, de 25 de septiembre, FJ 2), las resoluciones judiciales de contenido exclusivamente negativo (como lo es, desde luego, el caso de las cuestionadas en amparo que declararon la no admisión del recurso contencioso interpuesto por falta de legitimación del sindicato recurrente), no son susceptibles de suspensión, puesto que lo contrario supondría adelantar un eventual fallo estimatorio del recurso de amparo y, en consecuencia, reconocer al sindicato recurrente la legitimación procesal que los órganos judiciales negaron en el proceso a quo, y que constituye cabalmente el objeto de la pretensión principal que ha deducido en su recurso de amparo.</w:t>
      </w:r>
    </w:p>
    <w:p w:rsidR="00CF03FA" w:rsidRDefault="00CF03FA" w:rsidP="00CF03FA">
      <w:pPr>
        <w:pStyle w:val="TextoNormal"/>
      </w:pPr>
      <w:r>
        <w:lastRenderedPageBreak/>
        <w:t>Por otra parte, como también esta subrayado en esa misma doctrina constitucional, la no suspensión de las Sentencias recurridas no hace perder al amparo su finalidad, pues, en el caso de que se estimara el presente recurso, el restablecimiento al sindicato recurrente en la integridad del derecho fundamental del art. 24.1 CE que denuncia vulnerado puede lograrse declarando la nulidad de las resoluciones recurridas a fin de que el órgano judicial a quo dicte una nueva resolución respetuosa con su derecho a la tutela judicial efectiva.</w:t>
      </w:r>
    </w:p>
    <w:p w:rsidR="00CF03FA" w:rsidRDefault="00CF03FA" w:rsidP="00CF03FA">
      <w:pPr>
        <w:pStyle w:val="TextoNormal"/>
      </w:pPr>
    </w:p>
    <w:p w:rsidR="00CF03FA" w:rsidRDefault="00CF03FA" w:rsidP="00CF03FA">
      <w:pPr>
        <w:pStyle w:val="TextoNormal"/>
      </w:pPr>
      <w:r w:rsidRPr="00CF03FA">
        <w:rPr>
          <w:rStyle w:val="NumeroAFNegritaCaracter"/>
        </w:rPr>
        <w:t>3</w:t>
      </w:r>
      <w:r>
        <w:t>. Tampoco, en segundo lugar, procede acordar la suspensión de las órdenes administrativas impugnadas en amparo por la vía del art. 43 LOTC. En este caso asimismo, pero incluso ahora con mayor razón, porque lo contrario equivaldría igualmente a anticipar, sin observar el procedimiento y las garantías exigibles para ello, un eventual fallo estimatorio y admitir por adelantado que las Sentencias impugnadas en amparo, al rechazar la legitimación del sindicato recurrente, efectivamente vulneraron su derecho a la tutela judicial efectiva en la vertiente de derecho de acceso a la jurisdicción (24.1 CE), toda vez que este pronunciamiento constituye el presupuesto mismo del correcto cumplimiento del requisito del agotamiento de la vía judicial procedente a que obliga el art. 43.1 LOTC. Comoquiera, sin embargo, que en el presente trámite no es posible, como antes hemos señalado, adelantar ese pronunciamiento de fondo, no puede tampoco este Tribunal pronunciarse en este incidente sobre la suspensión de las resoluciones administrativas interesada so pena de anticipar que el sindicato recurrente utilizó correctamente la vía judicial previa al amparo constitucional, lo que, como decimos, debe ser rechazado.</w:t>
      </w:r>
    </w:p>
    <w:p w:rsidR="00CF03FA" w:rsidRDefault="00CF03FA" w:rsidP="00CF03FA">
      <w:pPr>
        <w:pStyle w:val="TextoNormal"/>
      </w:pPr>
    </w:p>
    <w:p w:rsidR="00CF03FA" w:rsidRDefault="00CF03FA" w:rsidP="00CF03FA">
      <w:pPr>
        <w:pStyle w:val="TextoNormal"/>
      </w:pPr>
      <w:r>
        <w:t>Por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 por la Federación de Servicios y Administraciones Públicas de Comisiones Obreras en el recurso de amparo núm. 5799-2005.</w:t>
      </w:r>
    </w:p>
    <w:p w:rsidR="00CF03FA" w:rsidRDefault="00CF03FA" w:rsidP="00CF03FA">
      <w:pPr>
        <w:pStyle w:val="TextoNormal"/>
      </w:pPr>
    </w:p>
    <w:p w:rsidR="00CF03FA" w:rsidRDefault="00CF03FA" w:rsidP="00CF03FA">
      <w:pPr>
        <w:pStyle w:val="TextoNormal"/>
      </w:pPr>
      <w:r>
        <w:t>Madrid, a diez de marzo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37" w:name="AUTO_2008_76"/>
      <w:r>
        <w:lastRenderedPageBreak/>
        <w:t>AUTO 76/2008, de 10 de marzo de 2008</w:t>
      </w:r>
    </w:p>
    <w:bookmarkEnd w:id="137"/>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ECLI:ES:TC:2008:76A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Acuerda el desistimiento en el recurso de amparo 128-2007.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38" w:name="AUTO_2008_77"/>
      <w:r>
        <w:lastRenderedPageBreak/>
        <w:t>AUTO 77/2008, de 10 de marzo de 2008</w:t>
      </w:r>
    </w:p>
    <w:bookmarkEnd w:id="138"/>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ECLI:ES:TC:2008:77A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Inadmite a trámite el recurso de amparo 3565-2007, promovido por doña Judy Maribel Reinoso Montalvo en litigio por despido.</w:t>
      </w:r>
    </w:p>
    <w:p w:rsidR="00CF03FA" w:rsidRDefault="00CF03FA" w:rsidP="00CF03FA">
      <w:pPr>
        <w:pStyle w:val="SntesisDescriptiva"/>
      </w:pPr>
    </w:p>
    <w:p w:rsidR="00CF03FA" w:rsidRDefault="00CF03FA" w:rsidP="00CF03FA">
      <w:pPr>
        <w:pStyle w:val="SntesisAnaltica"/>
      </w:pPr>
      <w:r>
        <w:t>Acceso a la justicia: archivo de demanda por despido. Demanda laboral: subsanación de defectos procesales. Despido: requisitos de la demanda. Inadmisión de recurso de amparo: carencia de contenido que justifique una decisión sobre el fondo del asunto; causas de inadmisión. Derecho a la tutela judicial efectiva: acceso al proceso, respetado. Derecho a la tutela judicial sin indefensión: indefensión imputable al recurrente.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presentado en el Registro de este Tribunal Constitucional el día 19 de abril de 2007 la Procuradora de los Tribunales doña María del Mar Prat Rubio, actuando en nombre y representación de doña Judy Maribel Reinoso Montalvo, interpuso recurso de amparo constitucional contra la providencia de 30 de noviembre de 2006 y los Autos de 27 de diciembre de 2006 y 9 de marzo de 2007 dictados por el Juzgado de lo Social núm. 2 de Murcia en autos 920/2006, sobre despido.</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de los que trae causa la demanda de amparo son, en síntesis, los siguientes: </w:t>
      </w:r>
    </w:p>
    <w:p w:rsidR="00CF03FA" w:rsidRDefault="00CF03FA" w:rsidP="00CF03FA">
      <w:pPr>
        <w:pStyle w:val="TextoNormal"/>
      </w:pPr>
      <w:r>
        <w:t xml:space="preserve">a) El 28 de noviembre de 2006 la ahora demandante de amparo presentó demanda por despido, que correspondió por turno al Juzgado de lo Social núm. 2 de Murcia. </w:t>
      </w:r>
    </w:p>
    <w:p w:rsidR="00CF03FA" w:rsidRDefault="00CF03FA" w:rsidP="00CF03FA">
      <w:pPr>
        <w:pStyle w:val="TextoNormal"/>
      </w:pPr>
      <w:r>
        <w:t xml:space="preserve">b) Mediante providencia de 30 de noviembre de 2006, notificada el día 5 de diciembre, el Juzgado admitió provisionalmente a trámite la demanda, requiriendo la subsanación de la misma en el plazo de cuatro días hábiles, a fin de que se aportara a los autos la carta de despido, y advirtiendo expresamente que si la subsanación fuera encabezada por el profesional designado en demanda debía acompañarse del correspondiente poder de representación o ir firmada por la actora. </w:t>
      </w:r>
    </w:p>
    <w:p w:rsidR="00CF03FA" w:rsidRDefault="00CF03FA" w:rsidP="00CF03FA">
      <w:pPr>
        <w:pStyle w:val="TextoNormal"/>
      </w:pPr>
      <w:r>
        <w:t xml:space="preserve">c) En fecha 22 de diciembre de 2006 la demandante presentó escrito en el Juzgado acompañando la carta de despido. </w:t>
      </w:r>
    </w:p>
    <w:p w:rsidR="00CF03FA" w:rsidRDefault="00CF03FA" w:rsidP="00CF03FA">
      <w:pPr>
        <w:pStyle w:val="TextoNormal"/>
      </w:pPr>
      <w:r>
        <w:t xml:space="preserve">d) Mediante Auto de 27 de diciembre de 2006 el Juzgado decretó el archivo de la demanda, al no haber sido subsanada dentro del plazo requerido. </w:t>
      </w:r>
    </w:p>
    <w:p w:rsidR="00CF03FA" w:rsidRDefault="00CF03FA" w:rsidP="00CF03FA">
      <w:pPr>
        <w:pStyle w:val="TextoNormal"/>
      </w:pPr>
      <w:r>
        <w:t xml:space="preserve">e) Contra dicha resolución interpuso la demandante recurso de reposición, que fue desestimado por Auto de 9 de marzo de 2007. En el Auto el Juzgado, además de reiterar la falta de subsanación de la demanda en el plazo requerido, al haberse presentado el escrito de subsanación una vez transcurrido el mismo, se señala que si la demandante no estaba de </w:t>
      </w:r>
      <w:r>
        <w:lastRenderedPageBreak/>
        <w:t>acuerdo con el requerimiento de subsanación debía haberlo impugnado, lo que no hizo, pasando así la providencia de subsanación a formar parte inescindible de los requisitos procesales de la demanda. Se pone de relieve también en el Auto que tanto el escrito de subsanación como el recurso de reposición fueron presentados por Graduado Social, sin que conste en las actuaciones apoderamiento notarial o apud acta a favor del mismo, más allá de la designación genérica de representación o asistencia realizada en la demanda a favor del sindicato USO, razón por la cual, de haberse apreciado esta circunstancia con anterioridad, no debería de haberse admitido ni la aportación de la carta de despido ni el recurso de reposición.</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su demanda de amparo la demandante aduce la vulneración por las resoluciones judiciales recurridas de su derecho a la tutela judicial efectiva (art. 24.1 CE), en su vertiente del derecho de acceso al proceso. </w:t>
      </w:r>
    </w:p>
    <w:p w:rsidR="00CF03FA" w:rsidRDefault="00CF03FA" w:rsidP="00CF03FA">
      <w:pPr>
        <w:pStyle w:val="TextoNormal"/>
      </w:pPr>
      <w:r>
        <w:t xml:space="preserve">Señala, en primer lugar, que la ley no exige en modo alguno que se aporte con la demanda la carta de despido, por lo que la exigencia de subsanación del órgano judicial no se ajusta a la ley y excede de las facultades de éste, imponiendo a la accionante una carga adicional que, en todo caso, habría de soportar en el acto del juicio, pero no al presentar la demanda. Se trata, por tanto, de una decisión rigorista contraria al principio pro actione. </w:t>
      </w:r>
    </w:p>
    <w:p w:rsidR="00CF03FA" w:rsidRDefault="00CF03FA" w:rsidP="00CF03FA">
      <w:pPr>
        <w:pStyle w:val="TextoNormal"/>
      </w:pPr>
      <w:r>
        <w:t xml:space="preserve">Por otra parte, estima que el archivo de la demanda por haberse efectuado la subsanación fuera de plazo concedido constituye una decisión desproporcionada. </w:t>
      </w:r>
    </w:p>
    <w:p w:rsidR="00CF03FA" w:rsidRDefault="00CF03FA" w:rsidP="00CF03FA">
      <w:pPr>
        <w:pStyle w:val="TextoNormal"/>
      </w:pPr>
      <w:r>
        <w:t>Finalmente, rechaza que pueda alegarse la falta de apoderamiento del Graduado Social, dado que tanto en la demanda como en el escrito de subsanación aparecen la firma de la trabajadora demandante, y el Graduado Social actuante es público y notorio en los Juzgados y Tribunales de Murcia que es quien sirve al sindicato USO en la región de Murcia desde hace más de 20 años.</w:t>
      </w:r>
    </w:p>
    <w:p w:rsidR="00CF03FA" w:rsidRDefault="00CF03FA" w:rsidP="00CF03FA">
      <w:pPr>
        <w:pStyle w:val="TextoNormal"/>
      </w:pPr>
    </w:p>
    <w:p w:rsidR="00CF03FA" w:rsidRDefault="00CF03FA" w:rsidP="00CF03FA">
      <w:pPr>
        <w:pStyle w:val="TextoNormal"/>
      </w:pPr>
      <w:r w:rsidRPr="00CF03FA">
        <w:rPr>
          <w:rStyle w:val="NumeroAFNegritaCaracter"/>
        </w:rPr>
        <w:t>4</w:t>
      </w:r>
      <w:r>
        <w:t>. Mediante providencia de 24 de julio de 2007, la Sección Cuarta de este Tribunal acordó, de conformidad con lo dispuesto en el artículo 50.3 de la Ley Orgánica del Tribunal Constitucional, en su redacción anterior a la aprobada por la Ley Orgánica 6/2007, de 24 de mayo, y disposición transitoria tercera de la referida Ley, conceder a la parte demandante y al Ministerio Fiscal el plazo común de diez días para que formulasen alegaciones en relación con lo dispuesto en el art. 50.1 LOTC.</w:t>
      </w:r>
    </w:p>
    <w:p w:rsidR="00CF03FA" w:rsidRDefault="00CF03FA" w:rsidP="00CF03FA">
      <w:pPr>
        <w:pStyle w:val="TextoNormal"/>
      </w:pPr>
    </w:p>
    <w:p w:rsidR="00CF03FA" w:rsidRDefault="00CF03FA" w:rsidP="00CF03FA">
      <w:pPr>
        <w:pStyle w:val="TextoNormal"/>
      </w:pPr>
      <w:r w:rsidRPr="00CF03FA">
        <w:rPr>
          <w:rStyle w:val="NumeroAFNegritaCaracter"/>
        </w:rPr>
        <w:t>5</w:t>
      </w:r>
      <w:r>
        <w:t>. Mediante escrito registrado el 18 de septiembre de 2007 la representación procesal de la demandante de amparo presentó sus alegaciones, reiterando básicamente las efectuadas en la demanda.</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Fiscal ante el Tribunal Constitucional evacuó el trámite conferido formulando sus alegaciones mediante escrito registrado el día 5 de octubre de 2007, interesando la inadmisión a trámite de la demanda por falta de contenido constitucional. </w:t>
      </w:r>
    </w:p>
    <w:p w:rsidR="00CF03FA" w:rsidRDefault="00CF03FA" w:rsidP="00CF03FA">
      <w:pPr>
        <w:pStyle w:val="TextoNormal"/>
      </w:pPr>
      <w:r>
        <w:t xml:space="preserve">Comienza por advertir que la cuestión relevante a analizar no es la relativa al correcto o incorrecto entendimiento por el órgano judicial de la postulación procesal de la demandante, en relación con la intervención en el proceso de un Graduado Social en nombre de la trabajadora, al tratarse de una cuestión que no determina el pronunciamiento del Magistrado a quo, integrando un mero obiter dicta las consideraciones que al respecto se realizan en el Auto que desestima el recurso de reposición presentado contra el Auto de archivo. </w:t>
      </w:r>
    </w:p>
    <w:p w:rsidR="00CF03FA" w:rsidRDefault="00CF03FA" w:rsidP="00CF03FA">
      <w:pPr>
        <w:pStyle w:val="TextoNormal"/>
      </w:pPr>
      <w:r>
        <w:lastRenderedPageBreak/>
        <w:t>Y en lo que se refiere a la decisión de archivo de la demanda por el cumplimiento fuera de plazo del requerimiento de subsanación efectuado, entiende que no ha existido por parte del órgano judicial ninguna decisión obstativa a la prestación de la tutela judicial pues, si la actora entendía que la providencia de 30 de noviembre de 2006 lesionaba su derecho fundamental al exigírsele el cumplimiento de un trámite no obligado legalmente, debió haber interpuesto el correspondiente recurso de reposición, y, al no hacerlo así, es evidente que consintió en su contenido, por lo que hubo de cumplirlo temporáneamente o, al menos, haber manifestado las razones que en su caso hubiere para no realizarlo en tal plazo. En vez de ello, cumplimentó el requerimiento doce días después de expirado el plazo, pretendiendo en su posterior recurso de reposición combatir el contenido de la providencia de subsanación que previamente había consentido.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recurso de amparo objeto de nuestro examen se dirige contra la providencia y los Autos dictados por el Juzgado de lo Social núm. 2 de Murcia en autos 920/2006, sobre despido, en virtud de los cuales se decretó el archivo de la demanda por despido de la actora.</w:t>
      </w:r>
    </w:p>
    <w:p w:rsidR="00CF03FA" w:rsidRDefault="00CF03FA" w:rsidP="00CF03FA">
      <w:pPr>
        <w:pStyle w:val="TextoNormal"/>
      </w:pPr>
      <w:r>
        <w:t>Entiende la demandante que las citadas resoluciones han vulnerado su derecho a la tutela judicial efectiva (art. 24.1 CE) en relación con su derecho de acceso al proceso, pues considera que no resultaba exigible la aportación de la carta de despido para la admisión a trámite de la demanda, que no obstante lo cual aportó efectivamente, resultando desproporcionado el acordar el archivo de la demanda porque dicha aportación no se efectuara en el plazo requerido, y que carece de fundamento la argumentación relativa a la falta de apoderamiento del Graduado Social que intervino en el procedimiento.</w:t>
      </w:r>
    </w:p>
    <w:p w:rsidR="00CF03FA" w:rsidRDefault="00CF03FA" w:rsidP="00CF03FA">
      <w:pPr>
        <w:pStyle w:val="TextoNormal"/>
      </w:pPr>
      <w:r>
        <w:t>Por el contrario, el Fiscal ante el Tribunal Constitucional considera que la demanda de amparo carece de contenido constitucional, pues la demandante no recurrió la providencia por la que se le requería la subsanación de la demanda, ni la cumplimentó en el plazo concedido, por lo que en la decisión de archivo no cabe apreciar ninguna actuación del órgano judicial obstativa a la prestación de la tutela judicial.</w:t>
      </w:r>
    </w:p>
    <w:p w:rsidR="00CF03FA" w:rsidRDefault="00CF03FA" w:rsidP="00CF03FA">
      <w:pPr>
        <w:pStyle w:val="TextoNormal"/>
      </w:pPr>
    </w:p>
    <w:p w:rsidR="00CF03FA" w:rsidRDefault="00CF03FA" w:rsidP="00CF03FA">
      <w:pPr>
        <w:pStyle w:val="TextoNormal"/>
      </w:pPr>
      <w:r w:rsidRPr="00CF03FA">
        <w:rPr>
          <w:rStyle w:val="NumeroAFNegritaCaracter"/>
        </w:rPr>
        <w:t>2</w:t>
      </w:r>
      <w:r>
        <w:t>. Una vez consideradas las alegaciones expuestas tanto por el Ministerio Fiscal como por la parte recurrente, la Sección entiende que concurre en el supuesto examinado la causa de inadmisión prevista en el art. 50.1 c) LOTC, en su redacción anterior a la aprobada por la Ley Orgánica 6/2007, de 24 de mayo, al carecer manifiestamente la demanda de amparo de contenido que justifique una decisión de este Tribunal sobre el fondo del asunto.</w:t>
      </w:r>
    </w:p>
    <w:p w:rsidR="00CF03FA" w:rsidRDefault="00CF03FA" w:rsidP="00CF03FA">
      <w:pPr>
        <w:pStyle w:val="TextoNormal"/>
      </w:pPr>
      <w:r>
        <w:t>Para ello, la única cuestión a considerar será la de determinar si en la decisión de archivo de la demanda de despido por haberse cumplimentado fuera de plazo el requerimiento de aportación a los autos de la carta de despido se ha vulnerado o no por el órgano judicial el derecho de acceso al proceso de la demandante. Como indica el Ministerio Fiscal resulta irrelevante toda la problemática relacionada con la correcta o incorrecta postulación procesal de la demandante, dado que las únicas consideraciones al respecto se realizan por el órgano judicial en el Auto que desestima el recurso de reposición interpuesto contra el Auto de archivo, por lo tanto, después de adoptada dicha decisión de archivo por motivos distintos, y sin repercusión alguna ni a afectos de la admisión a trámite del recurso de reposición ni para su desestimación.</w:t>
      </w:r>
    </w:p>
    <w:p w:rsidR="00CF03FA" w:rsidRDefault="00CF03FA" w:rsidP="00CF03FA">
      <w:pPr>
        <w:pStyle w:val="TextoNormal"/>
      </w:pPr>
      <w:r>
        <w:t xml:space="preserve">En relación con esta cuestión, este Tribunal ha puesto de manifiesto en numerosas ocasiones cómo el trámite de subsanación de la demanda laboral establecido en el art. 81 de la </w:t>
      </w:r>
      <w:r>
        <w:lastRenderedPageBreak/>
        <w:t>Ley de procedimiento laboral constituye la garantía de que las pretensiones de fondo deducidas en una demanda laboral no resulten ineficaces por la apreciación rigurosa y formalista de la falta o defecto de los requisitos procesales que pudiera imputársele a aquélla, lo que determina que, en los casos en que se imputa la lesión del derecho a la tutela judicial efectiva a una decisión de archivo por falta de subsanación de la demanda laboral, el control de este Tribunal deba dirigirse a comprobar la causa aplicada y la proporcionalidad de su aplicación en el supuesto concreto, así como los rasgos caracterizadores de la actuación judicial en el trámite de subsanación. En dicha actuación el órgano judicial debe favorecer la corrección de los defectos que puedan ser reparados, garantizando en lo posible su subsanación (por todas, STC 19/2006, de 30 de enero, FJ 3).</w:t>
      </w:r>
    </w:p>
    <w:p w:rsidR="00CF03FA" w:rsidRDefault="00CF03FA" w:rsidP="00CF03FA">
      <w:pPr>
        <w:pStyle w:val="TextoNormal"/>
      </w:pPr>
      <w:r>
        <w:t>En todo caso, hemos advertido también de que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concluyendo que, en definitiva, la decisión de archivar el procedimiento, si el demandante incumple el mandato judicial, no viola el art. 24.1 CE, porque se basa en la concurrencia de una causa legalmente prevista para la inadmisión de la demanda, aunque la norma haya de ser aplicada con un criterio antiformalista y no rigorista a fin de no impedir injustificadamente la obtención de una resolución de fondo (STC 130/1998, de 16 de junio, FJ 5). Igualmente hemos precisado que es necesario elegir una interpretación conforme con el principio pro actione, siempre que el interesado actúe con diligencia y que no se lesionen bienes o derechos constitucionales, no se grave injustificadamente la posición de la parte contraria, ni se dañe la integridad objetiva del procedimiento (STC 63/1999, de 26 de abril, FJ 2).</w:t>
      </w:r>
    </w:p>
    <w:p w:rsidR="00CF03FA" w:rsidRDefault="00CF03FA" w:rsidP="00CF03FA">
      <w:pPr>
        <w:pStyle w:val="TextoNormal"/>
      </w:pPr>
    </w:p>
    <w:p w:rsidR="00CF03FA" w:rsidRDefault="00CF03FA" w:rsidP="00CF03FA">
      <w:pPr>
        <w:pStyle w:val="TextoNormal"/>
      </w:pPr>
      <w:r w:rsidRPr="00CF03FA">
        <w:rPr>
          <w:rStyle w:val="NumeroAFNegritaCaracter"/>
        </w:rPr>
        <w:t>3</w:t>
      </w:r>
      <w:r>
        <w:t>. Pues bien, la aplicación de la anterior doctrina al asunto considerado conduce necesariamente a apreciar la falta de contenido de la queja. Al requerir la aportación a los autos de la carta de despido contra la que se accionaba el órgano judicial actuó favoreciendo que la demandante corrigiera el defecto observado en la demanda, garantizando de ese modo la posibilidad efectiva de su subsanación. Sin que nos corresponda analizar aquí si la aportación de la carta de despido constituye o no un requisito de las demandas en este tipo de procesos, por tratarse de una cuestión de legalidad en la que no se aprecia que el criterio de la resolución judicial haya sido arbitrario, irrazonable o producto de un error patente, es lo cierto que el órgano judicial efectuó un requerimiento claro y preciso al respecto, advirtiendo expresamente que su falta de cumplimiento en plazo determinaría el archivo de la demanda. La demandante, sin recurrir la providencia de subsanación ni alegar razón o motivo alguno que le impidiera cumplimentarla en plazo, incumplió sin embargo el requerimiento, no aportando la carta de despido sino transcurridos doce días desde la finalización del plazo concedido.</w:t>
      </w:r>
    </w:p>
    <w:p w:rsidR="00CF03FA" w:rsidRDefault="00CF03FA" w:rsidP="00CF03FA">
      <w:pPr>
        <w:pStyle w:val="TextoNormal"/>
      </w:pPr>
      <w:r>
        <w:t>La decisión de archivo se adoptó así en virtud de la concurrencia de una causa prevista legalmente en la normativa procesal laboral, cuya apreciación en este caso no cabe considerar producto de una interpretación o aplicación rigorista o desproporcionada, resultando ocioso recordar que el art. 24.1 CE no deja los plazos legales al arbitrio de las partes, ni somete a la libre disposición de éstas su prórroga ni el tiempo en que han de ser cumplidos, no resultando posible subsanar la extemporaneidad o el incumplimiento de un plazo, que se agota una vez llegado a su término.</w:t>
      </w:r>
    </w:p>
    <w:p w:rsidR="00CF03FA" w:rsidRDefault="00CF03FA" w:rsidP="00CF03FA">
      <w:pPr>
        <w:pStyle w:val="TextoNormal"/>
      </w:pPr>
      <w:r>
        <w:t xml:space="preserve">Debemos concluir, por ello, que el archivo de la demanda, fundamentado en la falta de subsanación en plazo del defecto observado, fue exclusivamente imputable a la propia demandante de amparo y no a una actuación del órgano judicial vulneradora de su derecho a </w:t>
      </w:r>
      <w:r>
        <w:lastRenderedPageBreak/>
        <w:t>la tutela judicial efectiva en su dimensión de derecho de acceso a la jurisdicción (art. 24.1 CE) y que, por tanto, la demanda carece de contenido constitucional.</w:t>
      </w:r>
    </w:p>
    <w:p w:rsidR="00CF03FA" w:rsidRDefault="00CF03FA" w:rsidP="00CF03FA">
      <w:pPr>
        <w:pStyle w:val="TextoNormal"/>
      </w:pPr>
    </w:p>
    <w:p w:rsidR="00CF03FA" w:rsidRDefault="00CF03FA" w:rsidP="00CF03FA">
      <w:pPr>
        <w:pStyle w:val="TextoNormal"/>
      </w:pPr>
      <w:r>
        <w:t>Por todo lo cual,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La inadmisión a trámite de la demanda de amparo por concurrir la causa prevista en el art. 50.1 c) LOTC, en su redacción anterior a la aprobada por la Ley Orgánica 6/2007, de 24 de mayo, y el archivo de las actuaciones.</w:t>
      </w:r>
    </w:p>
    <w:p w:rsidR="00CF03FA" w:rsidRDefault="00CF03FA" w:rsidP="00CF03FA">
      <w:pPr>
        <w:pStyle w:val="TextoNormal"/>
      </w:pPr>
    </w:p>
    <w:p w:rsidR="00CF03FA" w:rsidRDefault="00CF03FA" w:rsidP="00CF03FA">
      <w:pPr>
        <w:pStyle w:val="TextoNormal"/>
      </w:pPr>
      <w:r>
        <w:t>Madrid, a diez de marzo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39" w:name="AUTO_2008_78"/>
      <w:r>
        <w:lastRenderedPageBreak/>
        <w:t>AUTO 78/2008, de 10 de marzo de 2008</w:t>
      </w:r>
    </w:p>
    <w:bookmarkEnd w:id="139"/>
    <w:p w:rsidR="00CF03FA" w:rsidRDefault="00CF03FA" w:rsidP="00CF03FA">
      <w:pPr>
        <w:pStyle w:val="TtuloResolucin"/>
      </w:pPr>
      <w:r>
        <w:t>Sección Tercera</w:t>
      </w:r>
    </w:p>
    <w:p w:rsidR="00CF03FA" w:rsidRDefault="00CF03FA" w:rsidP="00CF03FA">
      <w:pPr>
        <w:pStyle w:val="TtuloResolucin"/>
      </w:pPr>
    </w:p>
    <w:p w:rsidR="00CF03FA" w:rsidRDefault="00CF03FA" w:rsidP="00CF03FA">
      <w:pPr>
        <w:pStyle w:val="SntesisDescriptiva"/>
      </w:pPr>
      <w:r>
        <w:t>ECLI:ES:TC:2008:78A</w:t>
      </w:r>
    </w:p>
    <w:p w:rsidR="00CF03FA" w:rsidRDefault="00CF03FA" w:rsidP="00CF03FA">
      <w:pPr>
        <w:pStyle w:val="SntesisDescriptiva"/>
      </w:pPr>
    </w:p>
    <w:p w:rsidR="00CF03FA" w:rsidRDefault="00CF03FA" w:rsidP="00CF03FA">
      <w:pPr>
        <w:pStyle w:val="SntesisDescriptiva"/>
      </w:pPr>
      <w:r>
        <w:t>Excms. Srs. don Guillermo Jiménez Sánchez, don Eugeni Gay Montalvo y don Pascual Sala Sánchez.</w:t>
      </w:r>
    </w:p>
    <w:p w:rsidR="00CF03FA" w:rsidRDefault="00CF03FA" w:rsidP="00CF03FA">
      <w:pPr>
        <w:pStyle w:val="SntesisDescriptiva"/>
      </w:pPr>
    </w:p>
    <w:p w:rsidR="00CF03FA" w:rsidRDefault="00CF03FA" w:rsidP="00CF03FA">
      <w:pPr>
        <w:pStyle w:val="SntesisDescriptiva"/>
      </w:pPr>
      <w:r>
        <w:t>Acuerda el desistimiento en el recurso de amparo 9147-2007.</w:t>
      </w:r>
    </w:p>
    <w:p w:rsidR="00CF03FA" w:rsidRDefault="00CF03FA" w:rsidP="00CF03FA">
      <w:pPr>
        <w:pStyle w:val="SntesisDescriptiva"/>
      </w:pPr>
    </w:p>
    <w:p w:rsidR="00CF03FA" w:rsidRDefault="00CF03FA" w:rsidP="00CF03FA">
      <w:pPr>
        <w:pStyle w:val="TtuloResolucin"/>
      </w:pPr>
      <w:r>
        <w:t>*Este auto no incorpora doctrina constitucional.</w:t>
      </w:r>
    </w:p>
    <w:p w:rsidR="00CF03FA" w:rsidRDefault="00CF03FA">
      <w:pPr>
        <w:spacing w:after="160" w:line="259" w:lineRule="auto"/>
        <w:rPr>
          <w:rFonts w:ascii="Times New Roman" w:eastAsia="Times New Roman" w:hAnsi="Times New Roman" w:cs="Times New Roman"/>
          <w:b/>
          <w:sz w:val="24"/>
          <w:szCs w:val="24"/>
          <w:lang w:eastAsia="es-ES"/>
        </w:rPr>
      </w:pPr>
      <w:r>
        <w:br w:type="page"/>
      </w:r>
    </w:p>
    <w:p w:rsidR="00CF03FA" w:rsidRDefault="00CF03FA" w:rsidP="00CF03FA">
      <w:pPr>
        <w:pStyle w:val="TtuloResolucin"/>
      </w:pPr>
      <w:bookmarkStart w:id="140" w:name="AUTO_2008_79"/>
      <w:r>
        <w:lastRenderedPageBreak/>
        <w:t>AUTO 79/2008, de 11 de marzo de 2008</w:t>
      </w:r>
    </w:p>
    <w:bookmarkEnd w:id="140"/>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ECLI:ES:TC:2008:79A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F03FA" w:rsidRDefault="00CF03FA" w:rsidP="00CF03FA">
      <w:pPr>
        <w:pStyle w:val="SntesisDescriptiva"/>
      </w:pPr>
    </w:p>
    <w:p w:rsidR="00CF03FA" w:rsidRDefault="00CF03FA" w:rsidP="00CF03FA">
      <w:pPr>
        <w:pStyle w:val="SntesisDescriptiva"/>
      </w:pPr>
      <w:r>
        <w:t>Acuerda el desistimiento en el recurso de inconstitucionalidad 2313-2007, planteado por el Parlamento de Navarra en relación con la Ley 39/2006, de 14 de diciembre, de promoción de la autonomía personal y atención a personas en situación de dependencia.</w:t>
      </w:r>
    </w:p>
    <w:p w:rsidR="00CF03FA" w:rsidRDefault="00CF03FA" w:rsidP="00CF03FA">
      <w:pPr>
        <w:pStyle w:val="SntesisDescriptiva"/>
      </w:pPr>
    </w:p>
    <w:p w:rsidR="00CF03FA" w:rsidRDefault="00CF03FA" w:rsidP="00CF03FA">
      <w:pPr>
        <w:pStyle w:val="SntesisAnaltica"/>
      </w:pPr>
      <w:r>
        <w:t>Desistimiento en procesos constitucionales: recurso de inconstitucionalidad, procede.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presentado en el Registro de este Tribunal el día 14 de marzo de 2007, el Letrado del Parlamento de Navarra, en la representación que legalmente ostenta, promueve recurso de inconstitucionalidad contra los arts. 8.2, letras a), b) y c); 10; 14.5; 17 a 21; 34, apartados 2 y 3; 35.1 y 3; 42.2 y 43 a 47; en conexión con los anteriores, especialmente con el art. 10, contra los arts. 5.4; 7.2; 8.2 d) y e); 11; 14.3, 4 y 7;16.1; 27.1 y 2; 28; 32.3; 33; disposiciones adicionales quinta y séptima y disposiciones finales cuarta y quinta de la Ley 39/2006, de 14 de diciembre, de promoción de la autonomía personal y atención a personas en situación de dependencia. </w:t>
      </w:r>
    </w:p>
    <w:p w:rsidR="00CF03FA" w:rsidRDefault="00CF03FA" w:rsidP="00CF03FA">
      <w:pPr>
        <w:pStyle w:val="TextoNormal"/>
      </w:pPr>
      <w:r>
        <w:t>Admitido a trámite el recurso de inconstitucionalidad por providencia de la Sección Cuarta del Tribunal Constitucional, de fecha 27 de marzo de 2007, el Abogado del Estado presentó sus alegaciones el día 7 de mayo de 2007 solicitando la desestimación del recurso interpuesto.</w:t>
      </w:r>
    </w:p>
    <w:p w:rsidR="00CF03FA" w:rsidRDefault="00CF03FA" w:rsidP="00CF03FA">
      <w:pPr>
        <w:pStyle w:val="TextoNormal"/>
      </w:pPr>
    </w:p>
    <w:p w:rsidR="00CF03FA" w:rsidRDefault="00CF03FA" w:rsidP="00CF03FA">
      <w:pPr>
        <w:pStyle w:val="TextoNormal"/>
      </w:pPr>
      <w:r w:rsidRPr="00CF03FA">
        <w:rPr>
          <w:rStyle w:val="NumeroAFNegritaCaracter"/>
        </w:rPr>
        <w:t>2</w:t>
      </w:r>
      <w:r>
        <w:t>. Con fecha 15 de noviembre de 2007, el Letrado del Parlamento de Navarra presentó en este Tribunal Constitucional un escrito en el que expuso que, en cumplimiento de lo acordado por el Pleno del Parlamento de Navarra en sesión celebrada el 13 de diciembre de 2007, solicita que se tenga por desistido a éste en el presente recurso de inconstitucionalidad.</w:t>
      </w:r>
    </w:p>
    <w:p w:rsidR="00CF03FA" w:rsidRDefault="00CF03FA" w:rsidP="00CF03FA">
      <w:pPr>
        <w:pStyle w:val="TextoNormal"/>
      </w:pPr>
    </w:p>
    <w:p w:rsidR="00CF03FA" w:rsidRDefault="00CF03FA" w:rsidP="00CF03FA">
      <w:pPr>
        <w:pStyle w:val="TextoNormal"/>
      </w:pPr>
      <w:r w:rsidRPr="00CF03FA">
        <w:rPr>
          <w:rStyle w:val="NumeroAFNegritaCaracter"/>
        </w:rPr>
        <w:t>3</w:t>
      </w:r>
      <w:r>
        <w:t>. El Pleno del Tribunal Constitucional, por providencia de 16 de enero de 2008, acordó incorporar a los autos el escrito presentado por la representación procesal del Parlamento de Navarra y oír al Abogado del Estado en relación con la solicitud de desistimiento formulada en dicho escrito, otorgando al efecto un plazo de diez días.</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4</w:t>
      </w:r>
      <w:r>
        <w:t>. El día 22 de enero de 2008 el Abogado del Estado dirigió un escrito al Tribunal Constitucional en el que manifiesta que no se opone a la solicitud de desistimiento formulada por el Parlamento de Navarra.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(LEC) para la regulación</w:t>
      </w:r>
    </w:p>
    <w:p w:rsidR="00CF03FA" w:rsidRDefault="00CF03FA" w:rsidP="00CF03FA">
      <w:pPr>
        <w:pStyle w:val="TextoNormal"/>
      </w:pPr>
      <w:r>
        <w:t>con carácter supletorio de este acto procesal (arts. 19.1 y 3 y 20.2 y 3 LEC), que puede ser parcial, cuando afecta a alguna de las pretensiones en caso de pluralidad del objeto, y total, cuando se refiere a todas o a la única pretensión (SSTC 96/1990,</w:t>
      </w:r>
    </w:p>
    <w:p w:rsidR="00CF03FA" w:rsidRDefault="00CF03FA" w:rsidP="00CF03FA">
      <w:pPr>
        <w:pStyle w:val="TextoNormal"/>
      </w:pPr>
      <w:r>
        <w:t>de 24 de mayo, FJ 1 y 237/1992, de 15 de diciembre; AATC 33/1993, de 26 de enero y 173/1997, de 20 de mayo). Así pues, en virtud de los citados preceptos puede estimarse como forma admitida para poner fin a un recurso de inconstitucionalidad o a un</w:t>
      </w:r>
    </w:p>
    <w:p w:rsidR="00CF03FA" w:rsidRDefault="00CF03FA" w:rsidP="00CF03FA">
      <w:pPr>
        <w:pStyle w:val="TextoNormal"/>
      </w:pPr>
      <w:r>
        <w:t>conflicto positivo de competencia, total o parcialmente, la manifestación de la voluntad de desistir, siempre que, según reiterada doctrina de este Tribunal, no se opongan las demás partes personadas a través de un motivo declarado válido por este</w:t>
      </w:r>
    </w:p>
    <w:p w:rsidR="00CF03FA" w:rsidRDefault="00CF03FA" w:rsidP="00CF03FA">
      <w:pPr>
        <w:pStyle w:val="TextoNormal"/>
      </w:pPr>
      <w:r>
        <w:t>Tribunal y no se advierta interés constitucional que justifique la prosecución del proceso hasta su finalización por Sentencia (AATC, por todos, 233/1993, de 26 de enero; 173/1997, de 20 de mayo, 278/2001, de 30 de octubre; 129/2002, de 16 de julio;</w:t>
      </w:r>
    </w:p>
    <w:p w:rsidR="00CF03FA" w:rsidRDefault="00CF03FA" w:rsidP="00CF03FA">
      <w:pPr>
        <w:pStyle w:val="TextoNormal"/>
      </w:pPr>
      <w:r>
        <w:t>43/2004, de 10 de febrero; 234/2004, de 7 de junio; 364/2005 de 11 de octubre; 379/2006, de 24 de octubre y 198/2007, de 27 de marzo).</w:t>
      </w:r>
    </w:p>
    <w:p w:rsidR="00CF03FA" w:rsidRDefault="00CF03FA" w:rsidP="00CF03FA">
      <w:pPr>
        <w:pStyle w:val="TextoNormal"/>
      </w:pPr>
      <w:r>
        <w:t>Dado que el Letrado del Parlamento de Navarra, pide que se le tenga por desistido del presente recurso de inconstitucionalidad y que el Abogado del Estado no se opone a ello, sin que se advierta interés constitucional que aconseje la prosecución del recurso hasta su finalización por Sentencia, procede acceder a lo solicitado.</w:t>
      </w:r>
    </w:p>
    <w:p w:rsidR="00CF03FA" w:rsidRDefault="00CF03FA" w:rsidP="00CF03FA">
      <w:pPr>
        <w:pStyle w:val="TextoNormal"/>
      </w:pPr>
    </w:p>
    <w:p w:rsidR="00CF03FA" w:rsidRDefault="00CF03FA" w:rsidP="00CF03FA">
      <w:pPr>
        <w:pStyle w:val="TextoNormal"/>
      </w:pPr>
      <w:r>
        <w:t>Por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Tener por desistido al Letrado del Parlamento de Navarra, en la representación que legalmente ostenta, del recurso de inconstitucionalidad núm. 2313-2007 interpuesto contra diversos preceptos de la Ley 39/2006, de 14 de diciembre, de promoción de la</w:t>
      </w:r>
    </w:p>
    <w:p w:rsidR="00CF03FA" w:rsidRDefault="00CF03FA" w:rsidP="00CF03FA">
      <w:pPr>
        <w:pStyle w:val="TextoNormal"/>
      </w:pPr>
      <w:r>
        <w:t>autonomía personal y atención a personas en situación de dependencia, declarando extinguido el proceso y el archivo de las actuaciones.</w:t>
      </w:r>
    </w:p>
    <w:p w:rsidR="00CF03FA" w:rsidRDefault="00CF03FA" w:rsidP="00CF03FA">
      <w:pPr>
        <w:pStyle w:val="TextoNormal"/>
      </w:pPr>
    </w:p>
    <w:p w:rsidR="00CF03FA" w:rsidRDefault="00CF03FA" w:rsidP="00CF03FA">
      <w:pPr>
        <w:pStyle w:val="TextoNormal"/>
      </w:pPr>
      <w:r>
        <w:t>Madrid, a once de marzo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41" w:name="AUTO_2008_80"/>
      <w:r>
        <w:lastRenderedPageBreak/>
        <w:t>AUTO 80/2008, de 11 de marzo de 2008</w:t>
      </w:r>
    </w:p>
    <w:bookmarkEnd w:id="141"/>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ECLI:ES:TC:2008:80A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F03FA" w:rsidRDefault="00CF03FA" w:rsidP="00CF03FA">
      <w:pPr>
        <w:pStyle w:val="SntesisDescriptiva"/>
      </w:pPr>
    </w:p>
    <w:p w:rsidR="00CF03FA" w:rsidRDefault="00CF03FA" w:rsidP="00CF03FA">
      <w:pPr>
        <w:pStyle w:val="SntesisDescriptiva"/>
      </w:pPr>
      <w:r>
        <w:t>Acuerda levantar la suspensión en el recurso de inconstitucionalidad 7696-2007, interpuesto por el Presidente del Gobierno en relación con el artículo 14.1 de la Ley del Parlamento de las Illes Balears 25/2006, de 27 de diciembre, de medidas tributarias y administrativas.</w:t>
      </w:r>
    </w:p>
    <w:p w:rsidR="00CF03FA" w:rsidRDefault="00CF03FA" w:rsidP="00CF03FA">
      <w:pPr>
        <w:pStyle w:val="SntesisDescriptiva"/>
      </w:pPr>
    </w:p>
    <w:p w:rsidR="00CF03FA" w:rsidRDefault="00CF03FA" w:rsidP="00CF03FA">
      <w:pPr>
        <w:pStyle w:val="SntesisAnaltica"/>
      </w:pPr>
      <w:r>
        <w:t>Salud pública: consumo de tabaco; máquinas expendedoras de productos del tabaco. Suspensión de disposiciones de las Comunidades Autónomas: levantamiento de la suspensión; perjuicios genéricos; perjuicios hipotéticos; ponderación de intereses. Votos particulares: formulado uno.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registrado en este Tribunal el día 1 de octubre de 2007, el Abogado del Estado, en nombre del Presidente del Gobierno, promueve recurso de inconstitucionalidad contra el art. 14.1 de la Ley del Parlamento de las Illes Balears 25/2006, de 27 de diciembre, de medidas tributarias y administrativas. </w:t>
      </w:r>
    </w:p>
    <w:p w:rsidR="00CF03FA" w:rsidRDefault="00CF03FA" w:rsidP="00CF03FA">
      <w:pPr>
        <w:pStyle w:val="TextoNormal"/>
      </w:pPr>
      <w:r>
        <w:t>El Abogado del Estado invocó el art. 161.2 C.E., a fin de que se acordara la suspensión del precepto objeto de recurso.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providencia de 6 de noviembre de 2007, el Pleno del Tribunal Constitucional, a propuesta de la Sección Cuarta, acuerda admitir a trámite el recurso de inconstitucionalidad, dar traslado de la demanda y documentos presentados, conforme establece el art. 34 LOTC, al Congreso de los Diputados y al Senado, así como al Gobierno y al Parlamento de las Illes Balears, al objeto de que en el plazo de quince días puedan personarse en el proceso y formular alegaciones. Asimismo acuerda tener por invocado por el Presidente del Gobierno el art. 161.2 de la Constitución, lo que a su tenor y conforme dispone el art. 30 LOTC, produce la suspensión de la vigencia y aplicación del precepto impugnado. Por último, también se ordenó publicar la incoación del recurso en el “Boletín Oficial del Estado” y en el “Butlletí Oficial de la Comunitat Autónoma de les Illes Balears”.</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El 22 de noviembre de 2007 el Presidente del Congreso de los Diputados comunica al Tribunal Constitucional que dicha Cámara no se personará en el procedimiento ni formulará </w:t>
      </w:r>
      <w:r>
        <w:lastRenderedPageBreak/>
        <w:t>alegaciones. El Presidente del Senado, mediante escrito registrado el día 5 de diciembre de 2007, comunica que la Cámara se persona en el proceso, ofreciendo su colaboración.</w:t>
      </w:r>
    </w:p>
    <w:p w:rsidR="00CF03FA" w:rsidRDefault="00CF03FA" w:rsidP="00CF03FA">
      <w:pPr>
        <w:pStyle w:val="TextoNormal"/>
      </w:pPr>
    </w:p>
    <w:p w:rsidR="00CF03FA" w:rsidRDefault="00CF03FA" w:rsidP="00CF03FA">
      <w:pPr>
        <w:pStyle w:val="TextoNormal"/>
      </w:pPr>
      <w:r w:rsidRPr="00CF03FA">
        <w:rPr>
          <w:rStyle w:val="NumeroAFNegritaCaracter"/>
        </w:rPr>
        <w:t>4</w:t>
      </w:r>
      <w:r>
        <w:t>. El Letrado del Parlamento de las Illes Balears, en la representación que ostenta presentó escrito de alegaciones el día 17 de diciembre de 2007 solicitando la desestimación del recurso interpuesto.</w:t>
      </w:r>
    </w:p>
    <w:p w:rsidR="00CF03FA" w:rsidRDefault="00CF03FA" w:rsidP="00CF03FA">
      <w:pPr>
        <w:pStyle w:val="TextoNormal"/>
      </w:pPr>
    </w:p>
    <w:p w:rsidR="00CF03FA" w:rsidRDefault="00CF03FA" w:rsidP="00CF03FA">
      <w:pPr>
        <w:pStyle w:val="TextoNormal"/>
      </w:pPr>
      <w:r w:rsidRPr="00CF03FA">
        <w:rPr>
          <w:rStyle w:val="NumeroAFNegritaCaracter"/>
        </w:rPr>
        <w:t>5</w:t>
      </w:r>
      <w:r>
        <w:t>. El Director de la Abogacía de la Comunidad Autónoma de las Illes Balears hizo lo propio el día 19 de diciembre. En su escrito, mediante otrosí, solicita el levantamiento de la suspensión de los preceptos impugnados antes de que transcurra el plazo de cinco meses previsto en el art. 161.2 CE. En relación con esta petición, y tras recoger la doctrina constitucional relativa a este incidente —en particular en lo referente a la innecesariedad de agotar el plazo de cinco meses, la necesidad de no prejuzgar el fondo de la pretensión ejercitada en el recurso y el desplazamiento de la carga probatoria sobre la parte recurrente—, aduce que la suspensión del precepto impugnado infringe su presunción de constitucionalidad por cuanto de su aplicación no puede suponerse que se deriven perjuicios de imposible o difícil reparación para el interés general. Y ello porque el precepto impugnado ha de interpretarse en el sentido de posibilitar la autorización de instalación de máquinas expendedoras de productos del tabaco en los denominados “comercios turísticos”, como establecimientos análogos a los hoteles y hostales, sin que ello comporte que en los mismos pueda autorizarse el consumo de tabaco. La posibilidad de venta mediante máquinas expendedoras se limita a determinados establecimientos comerciales ubicados en áreas de gran afluencia turística y, en todo caso la posible instalación de máquinas expendedoras queda supeditada a la autorización previa de un órgano estatal, el Comisionado para el Mercado de tabacos. De esta forma se concluye que la aplicación de la norma autonómica no incrementa la autorización para la venta ni para la instalación de máquinas expendedoras, no aumenta los locales en los que se permite el consumo de tabaco ni amplía los puntos de venta admitidos por la Ley estatal 28/2005.</w:t>
      </w:r>
    </w:p>
    <w:p w:rsidR="00CF03FA" w:rsidRDefault="00CF03FA" w:rsidP="00CF03FA">
      <w:pPr>
        <w:pStyle w:val="TextoNormal"/>
      </w:pPr>
    </w:p>
    <w:p w:rsidR="00CF03FA" w:rsidRDefault="00CF03FA" w:rsidP="00CF03FA">
      <w:pPr>
        <w:pStyle w:val="TextoNormal"/>
      </w:pPr>
      <w:r w:rsidRPr="00CF03FA">
        <w:rPr>
          <w:rStyle w:val="NumeroAFNegritaCaracter"/>
        </w:rPr>
        <w:t>6</w:t>
      </w:r>
      <w:r>
        <w:t>. Por proveído de 20 de diciembre de 2007, el Pleno del Tribunal Constitucional acordó incorporar a los autos los escritos de alegaciones formulados por las representaciones procesales del Parlamento y del Gobierno de las Illes Balears, y en cuanto a la solicitud que formula este último sobre el levantamiento de la suspensión del precepto objeto del recurso, acordó oír al Abogado del Estado y a la representación del indicado Parlamento para que, en el plazo de cinco días, expusieran lo que estimaren procedente al respecto.</w:t>
      </w:r>
    </w:p>
    <w:p w:rsidR="00CF03FA" w:rsidRDefault="00CF03FA" w:rsidP="00CF03FA">
      <w:pPr>
        <w:pStyle w:val="TextoNormal"/>
      </w:pPr>
    </w:p>
    <w:p w:rsidR="00CF03FA" w:rsidRDefault="00CF03FA" w:rsidP="00CF03FA">
      <w:pPr>
        <w:pStyle w:val="TextoNormal"/>
      </w:pPr>
      <w:r w:rsidRPr="00CF03FA">
        <w:rPr>
          <w:rStyle w:val="NumeroAFNegritaCaracter"/>
        </w:rPr>
        <w:t>7</w:t>
      </w:r>
      <w:r>
        <w:t xml:space="preserve">. El Abogado del Estado, con fecha 14 de enero de 2008, evacuó el trámite conferido interesando que se acuerde el mantenimiento de la suspensión. </w:t>
      </w:r>
    </w:p>
    <w:p w:rsidR="00CF03FA" w:rsidRDefault="00CF03FA" w:rsidP="00CF03FA">
      <w:pPr>
        <w:pStyle w:val="TextoNormal"/>
      </w:pPr>
      <w:r>
        <w:t xml:space="preserve">Comienza su alegato recordando la doctrina elaborada por este Tribunal en torno a los criterios que deben informar la resolución de este incidente. Tras ello, destaca que el consumo del tabaco es un importante problema de salud pública, no sólo por su magnitud sino también por las importantes consecuencias sanitarias que conlleva, existiendo una responsabilidad de las autoridades respecto del control del tabaco que se traduce en la implantación de políticas de salud pública tendentes a prevenir y reducir su consumo así como en adoptar las medidas legislativas, reglamentarias y administrativas que se requieran. En tal sentido, señala que, atendiendo a la normativa comunitaria se dictó la Ley 28/2005, de 26 de diciembre, de medidas sanitarias frente al tabaquismo y reguladora de la venta, el suministro, el </w:t>
      </w:r>
      <w:r>
        <w:lastRenderedPageBreak/>
        <w:t xml:space="preserve">consumo y la publicidad de los productos del tabaco, adoptando medidas limitativas sobre el consumo y la venta del tabaco. En el presente caso, continúa el Abogado del Estado, la Ley balear 25/2006 desvirtúa la habilitación de la norma estatal básica para establecer zonas para fumadores en espacios concretos, uno de ellos los hoteles, hostales y establecimientos análogos aplicándola de manera arbitraria a otros negocios o establecimientos distintos de aquéllos como los comercios que se ubican en zonas de gran afluencia turística, los cuales podrán obviar la prohibición de fumar y de ubicar máquinas expendedoras en los establecimientos comerciales. Seguidamente, la representación procesal del Estado argumenta que el levantamiento de la suspensión del precepto recurrido afectaría gravemente al régimen único e integrado configurado por el Estado en materia de sanidad y que trata de evitar descoordinaciones, fragmentaciones y contradicciones por posibles divergencias interpretativas de los legisladores autonómicos que alteren los aspectos básicos de la legislación sanitaria en materia de prevención del tabaquismo. En relación con ello señala que, de alzarse la suspensión del precepto impugnado se producirían graves consecuencias en la salud de quienes se hallaran sometidos al tabaquismo involuntario o pasivo, como ocurriría con los trabajadores de los comercios y con segmentos de la población especialmente vulnerables como los niños y adolescentes así como las mujeres embarazadas. </w:t>
      </w:r>
    </w:p>
    <w:p w:rsidR="00CF03FA" w:rsidRDefault="00CF03FA" w:rsidP="00CF03FA">
      <w:pPr>
        <w:pStyle w:val="TextoNormal"/>
      </w:pPr>
      <w:r>
        <w:t xml:space="preserve">En otro orden de cuestiones, el Abogado del Estado señala que, el levantamiento de la suspensión del precepto impugnado, implicaría el mantenimiento de regulaciones diversas en esta materia distorsionadoras de la unidad de mercado alterando el mercado interior en tanto se crea un claro impedimento para lograr su correcto funcionamiento. </w:t>
      </w:r>
    </w:p>
    <w:p w:rsidR="00CF03FA" w:rsidRDefault="00CF03FA" w:rsidP="00CF03FA">
      <w:pPr>
        <w:pStyle w:val="TextoNormal"/>
      </w:pPr>
      <w:r>
        <w:t>A mayor abundamiento, apunta que la suspensión no viene a causar ninguna clase de perjuicio ni general ni específico para la Comunidad Autónoma de Illes Balears, por lo que afirma que procede el mantenimiento de la suspensión para evitar que el interés general consistente en el constitucional desarrollo y aplicación de la competencia estatal básica sobre sanidad se vea negativamente perturbado por la aplicación de la injustificada equiparación analógica que introduce la normativa autonómica, ocasionando un grave perjuicio para la salud pública y menoscabando al efectividad de la limitación legal del número de lugares en los que se permite fumar y vender tabaco.</w:t>
      </w:r>
    </w:p>
    <w:p w:rsidR="00CF03FA" w:rsidRDefault="00CF03FA" w:rsidP="00CF03FA">
      <w:pPr>
        <w:pStyle w:val="TextoNormal"/>
      </w:pPr>
    </w:p>
    <w:p w:rsidR="00CF03FA" w:rsidRDefault="00CF03FA" w:rsidP="00CF03FA">
      <w:pPr>
        <w:pStyle w:val="TextoNormal"/>
      </w:pPr>
      <w:r w:rsidRPr="00CF03FA">
        <w:rPr>
          <w:rStyle w:val="NumeroAFNegritaCaracter"/>
        </w:rPr>
        <w:t>8</w:t>
      </w:r>
      <w:r>
        <w:t>. La Presidenta del Parlamento de las Illes Balears solicitó el levantamiento de la suspensión en su escrito de alegaciones, registrado en este Tribunal Constitucional el 24 de enero de 2008, por razones similares a las expresadas por la representación procesal del Gobierno de las Illes Balears, a las que se remite.</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Es objeto de la presente resolución determinar si, de acuerdo con el art. 161.2 CE, procede levantar o mantener la suspensión de la vigencia que afecta al art. 14.1 de la Ley del Parlamento de las Illes Balears 25/2006, de 27 de diciembre, de medidas tributarias y administrativas, precepto que se encuentra suspendido en su aplicación como consecuencia de la invocación del art. 161.2 CE al promoverse el recurso de inconstitucionalidad contra el mismo por el Presidente del Gobierno.</w:t>
      </w:r>
    </w:p>
    <w:p w:rsidR="00CF03FA" w:rsidRDefault="00CF03FA" w:rsidP="00CF03FA">
      <w:pPr>
        <w:pStyle w:val="TextoNormal"/>
      </w:pPr>
      <w:r>
        <w:t>El precepto recurrido es del siguiente tenor literal:</w:t>
      </w:r>
    </w:p>
    <w:p w:rsidR="00CF03FA" w:rsidRDefault="00CF03FA" w:rsidP="00CF03FA">
      <w:pPr>
        <w:pStyle w:val="TextoNormal"/>
      </w:pPr>
      <w:r>
        <w:t xml:space="preserve">“Tienen la consideración de comercios turísticos los establecimientos comerciales así calificados por la consejería competente en materia de comercio que presten servicios en el ámbito de las actividades turísticas y estén ubicados en una zona de gran afluencia turística. </w:t>
      </w:r>
      <w:r>
        <w:lastRenderedPageBreak/>
        <w:t>Los comercios turísticos se considerarán establecimientos análogos a los de alojamiento turístico a los efectos del artículo 8.1 b), en relación con el artículo 4 b), de la Ley 28/2005, de 26 de diciembre, de medidas sanitarias en relación con el tabaquismo y reguladora de la venta, el suministro, el consumo y la publicidad de los productos del tabaco”.</w:t>
      </w:r>
    </w:p>
    <w:p w:rsidR="00CF03FA" w:rsidRDefault="00CF03FA" w:rsidP="00CF03FA">
      <w:pPr>
        <w:pStyle w:val="TextoNormal"/>
      </w:pPr>
    </w:p>
    <w:p w:rsidR="00CF03FA" w:rsidRDefault="00CF03FA" w:rsidP="00CF03FA">
      <w:pPr>
        <w:pStyle w:val="TextoNormal"/>
      </w:pPr>
      <w:r w:rsidRPr="00CF03FA">
        <w:rPr>
          <w:rStyle w:val="NumeroAFNegritaCaracter"/>
        </w:rPr>
        <w:t>2</w:t>
      </w:r>
      <w:r>
        <w:t>. Respecto de este tipo de incidentes de suspensión es doctrina de este Tribunal Constitucional que para su resolución resulta preciso ponderar, de un lado, los intereses que se encuentren implicados, tanto el general y público como el particular o privado de las personas afectadas, y, de otro, los perjuicios de imposible o difícil reparación que se irrogan del mantenimiento o del levantamiento de la suspensión. Igualmente hemos destacado que esta valoración debe efectuarse mediante el examen de las situaciones de hecho creadas y sin considerar, en principio, la viabilidad de las pretensiones que se formulan en la demanda. Asimismo este Tribunal ha precisado que el mantenimiento de la suspensión requiere que el Gobierno, a quien se debe la iniciativa, no sólo invoque la existencia de aquellos perjuicios, sino que demuestre o, al menos, razone consistentemente su procedencia y la imposible o difícil reparación de los mismos, ya que debe partirse en principio de la existencia de una presunción de constitucionalidad a favor de las normas o actos objeto de conflicto (en tal sentido, AATC 300/2005, de 5 de julio, FJ 3; 336/2005, de 15 de septiembre, FJ 2; 351/2005, de 27 de septiembre, FJ 3, 12/2006, de 17 de enero, FJ 3 y 453/2006, de 12 de diciembre, FJ 1, y 355/2007, de 24 de julio, FJ 2, que sintetizan la doctrina constitucional referida).</w:t>
      </w:r>
    </w:p>
    <w:p w:rsidR="00CF03FA" w:rsidRDefault="00CF03FA" w:rsidP="00CF03FA">
      <w:pPr>
        <w:pStyle w:val="TextoNormal"/>
      </w:pPr>
    </w:p>
    <w:p w:rsidR="00CF03FA" w:rsidRDefault="00CF03FA" w:rsidP="00CF03FA">
      <w:pPr>
        <w:pStyle w:val="TextoNormal"/>
      </w:pPr>
      <w:r w:rsidRPr="00CF03FA">
        <w:rPr>
          <w:rStyle w:val="NumeroAFNegritaCaracter"/>
        </w:rPr>
        <w:t>3</w:t>
      </w:r>
      <w:r>
        <w:t>. En esta ocasión el Abogado del Estado solicita el mantenimiento de la suspensión del precepto recurrido, al cual reprocha la contravención de las limitaciones a la venta, suministro y consumo de los productos del tabaco establecidas por el legislador estatal, por los perjuicios que podría causar tanto a la salud de los ciudadanos como a los principios de unidad de mercado y de libre circulación de bienes. Con respecto a lo primero, tras señalar los nocivos efectos del consumo de tabaco, apunta que la aplicación de la norma impugnada, en cuanto que permitiría fumar y vender tabaco en los comercios turísticos a los que el precepto se refiere, obviaría la aplicación de las medidas restrictivas previstas por el legislador estatal en relación con la venta y consumo de tabaco en establecimientos comerciales con los consiguientes efectos perjudiciales para la salud de las personas que hagan uso de tales establecimientos así como de sus trabajadores. Por lo que hace a lo segundo, sostiene que, de levantarse la suspensión del precepto impugnado, además de crear una enorme inseguridad jurídica, se alteraría el mercado interior en tanto se crea un claro impedimento para lograr su correcto funcionamiento.</w:t>
      </w:r>
    </w:p>
    <w:p w:rsidR="00CF03FA" w:rsidRDefault="00CF03FA" w:rsidP="00CF03FA">
      <w:pPr>
        <w:pStyle w:val="TextoNormal"/>
      </w:pPr>
      <w:r>
        <w:t>Las representaciones procesales del Gobierno y del Parlamento de las Illes Balears han interesado el levantamiento de la suspensión con una argumentación sustancialmente coincidente señalando que la incidencia del precepto impugnado se traduce únicamente en la posibilidad de autorizar la instalación de máquinas expendedoras de productos del tabaco en los denominados “comercios turísticos” de las Illes Balears, sin que ello comporte que en los mismos pueda autorizarse el consumo de tabaco, autorización que ha de estar sometida a las condiciones y requisitos previstos por la legislación estatal así como ser otorgada por un órgano estatal, el Comisionado para el Mercado de tabacos.</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Expuestos, siquiera de forma sucinta, los argumentos relativos a los perjuicios a los intereses particulares y generales que cada una de las partes plantea que han de producirse </w:t>
      </w:r>
      <w:r>
        <w:lastRenderedPageBreak/>
        <w:t>si se mantiene o se alza la suspensión previamente acordada por el Tribunal, procede que realicemos la ponderación que es propia de este incidente cautelar. Para ello deberemos tener en todo momento presente que, de acuerdo con la jurisprudencia reseñada en el fundamento jurídico 1, su resolución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12/2006, de 17 de enero, FJ 5, y las resoluciones allí citadas).</w:t>
      </w:r>
    </w:p>
    <w:p w:rsidR="00CF03FA" w:rsidRDefault="00CF03FA" w:rsidP="00CF03FA">
      <w:pPr>
        <w:pStyle w:val="TextoNormal"/>
      </w:pPr>
      <w:r>
        <w:t>Así pues, según la reiterada doctrina constitucional expuesta, incumbe al Abogado del Estado justificar que el levantamiento de la suspensión del precepto recurrido lesionaría los intereses generales o de terceros, produciendo con ello perjuicios irreparables o de difícil reparación. Dicho esto debemos señalar que, por las razones que a continuación se exponen, no es posible convenir en la producción de los perjuicios a los que ha hecho referencia el Abogado del Estado.</w:t>
      </w:r>
    </w:p>
    <w:p w:rsidR="00CF03FA" w:rsidRDefault="00CF03FA" w:rsidP="00CF03FA">
      <w:pPr>
        <w:pStyle w:val="TextoNormal"/>
      </w:pPr>
    </w:p>
    <w:p w:rsidR="00CF03FA" w:rsidRDefault="00CF03FA" w:rsidP="00CF03FA">
      <w:pPr>
        <w:pStyle w:val="TextoNormal"/>
      </w:pPr>
      <w:r w:rsidRPr="00CF03FA">
        <w:rPr>
          <w:rStyle w:val="NumeroAFNegritaCaracter"/>
        </w:rPr>
        <w:t>5</w:t>
      </w:r>
      <w:r>
        <w:t>. Comenzando por las alegaciones relacionadas con los indiscutidos efectos nocivos del consumo de tabaco en la salud de los ciudadanos y su relación con el precepto cuya suspensión se pretende confirmar, hemos de resaltar, en primer lugar, que la producción de los perjuicios que se alegan para justificar el mantenimiento de la suspensión inicialmente acordada parte de una interpretación de la aplicabilidad del precepto autonómico en relación con la norma básica estatal expresamente rebatida por las representaciones de las instituciones autonómicas personadas en este proceso constitucional. Atendiendo a este hecho procede señalar que del tenor del precepto no se deriva en todo caso, como parece inferir el Abogado del Estado, que el mismo permita el consumo de tabaco en lugares donde el legislador básico estatal lo prohíbe. En efecto, el precepto cuestionado considera a estos efectos este tipo de establecimiento comercial como análogo a los alojamientos turísticos, lugares en los cuales la Ley estatal 28/2005 modula la prohibición genérica de fumar permitiendo habilitar zonas para ello y permite la venta y suministro de tabaco a través de máquinas expendedoras en las condiciones establecidas por el art. 4 b) de la misma. De esta forma, y sin perjuicio de que la valoración que merezca la equiparación llevada a cabo por el legislador autonómico no corresponda realizarla en este momento por tratarse de la cuestión de fondo debatida en el proceso principal, la extensión por analogía con los alojamientos turísticos que se achaca al precepto autonómico se produce únicamente en relación con la venta y suministro de tabaco a través de máquinas expendedoras y no en relación con el consumo del mismo, pues de otra forma carecería de sentido la remisión del precepto autonómico al art 4.b) de la Ley estatal, cuyo objeto es la regulación de la venta de tabaco a través de máquinas expendedoras.</w:t>
      </w:r>
    </w:p>
    <w:p w:rsidR="00CF03FA" w:rsidRDefault="00CF03FA" w:rsidP="00CF03FA">
      <w:pPr>
        <w:pStyle w:val="TextoNormal"/>
      </w:pPr>
      <w:r>
        <w:t xml:space="preserve">Por otra parte, es evidente que, aun cuando pueda existir una relación entre la disponibilidad de lugares autorizados para la venta de tabaco y el consumo del mismo es obvio que las consecuencias nocivas para la salud de los ciudadanos, con independencia de si son fumadores o no, no se derivan directamente de la venta del producto sino de su consumo. En relación con ello, el examen de la norma estatal nos permite alcanzar la conclusión de que en la misma no existe una directa correlación entre lugares en los que se permite la venta de tabaco y lugares en los que se permite su consumo, pues la Ley estatal distingue claramente entre las limitaciones a la venta y suministro de tabaco de las limitaciones impuestas a su consumo, regulando las primeras en los arts. 3, 4 y 5 y las segundas en los arts. 6, 7 y 8, todos ellos de la Ley 28/2005, de tal forma que la autorización para la venta de tabaco, venta </w:t>
      </w:r>
      <w:r>
        <w:lastRenderedPageBreak/>
        <w:t>que únicamente es posible a través de la red de expendedurías de tabaco y timbre o de máquinas expendedoras debidamente autorizadas, no implica necesariamente la posibilidad de su consumo en el lugar en que se adquiere y, a contrario, la posibilidad de consumir tabaco en un determinado lugar no habilita necesariamente su venta en el mismo. De hecho el propio legislador estatal modificó, mediante el Real Decreto-ley 2/2006, de 10 de febrero, la redacción inicial del art. 4 b) de la Ley 28/2005, con el objetivo, de acuerdo con su exposición de motivos, de evitar los perjuicios económicos que podrían producirse en el sector, sin merma de la salud pública de los ciudadanos, para permitir a los quioscos de prensa, de forma limitada, la venta de productos del tabaco a través de máquina expendedora situada en su interior.</w:t>
      </w:r>
    </w:p>
    <w:p w:rsidR="00CF03FA" w:rsidRDefault="00CF03FA" w:rsidP="00CF03FA">
      <w:pPr>
        <w:pStyle w:val="TextoNormal"/>
      </w:pPr>
      <w:r>
        <w:t>Lo anteriormente expuesto permite descartar los posibles perjuicios que, para la salud de los ciudadanos, se derivarían de su hipotético consumo en este tipo de establecimiento comercial, pues resulta posible diferenciar entre la venta y el consumo de tabaco apreciando que esto último no resulta permitido en los establecimientos a los que se refiere el precepto controvertido.</w:t>
      </w:r>
    </w:p>
    <w:p w:rsidR="00CF03FA" w:rsidRDefault="00CF03FA" w:rsidP="00CF03FA">
      <w:pPr>
        <w:pStyle w:val="TextoNormal"/>
      </w:pPr>
      <w:r>
        <w:t>Asimismo, restringidos los efectos del precepto a la posibilidad de autorizar la venta de tabaco mediante máquinas expendedoras, y examinando la cuestión desde el punto de vista de las condiciones necesarias para obtener esa eventual autorización, se aprecia la limitada entidad de la medida cuestionada pues la misma es susceptible de ser aplicada únicamente a un concreto tipo de establecimiento, como resulta ser aquel que preste servicios en el ámbito de las actividades turísticas y se ubique en una zona de gran afluencia turística, tal como la misma se define en el art. 22 de la Ley 11/2001, de 15 de junio, de ordenación de la actividad comercial en las Illes Balears. Igualmente, para que la previsión del cuestionado art. 14.1 pueda ser aplicada, resulta preciso, en primer lugar, que los comercios en los que podrían instalarse las referidas máquinas expendedoras sean expresamente calificados como tales por la consejería competente en materia de comercio. En segundo lugar, debe recordarse que el comercio al por menor de las labores de tabaco está configurado legalmente como un monopolio atribuido al Estado, quien lo ejercita a través del Comisionado para el Mercado de tabacos. De ese carácter de monopolio resulta que, por imperativo de la normativa estatal (arts. 3.1 Ley 28/2005 y 4.5 de la Ley 13/1998, de 4 de mayo, de ordenación del mercado de tabacos y normativa tributaria), la venta realizada a través de máquinas expendedoras exige que el establecimiento en el que se instalen cuente con una autorización administrativa en este sentido que corresponde otorgar al citado organismo estatal teniendo en cuenta las limitaciones y prohibiciones que establece la legislación en materia de venta, suministro, consumo y publicidad de los productos del tabaco, tal y como establece el art. 4 e) de su Estatuto, aprobado por Real Decreto 2668/1998, de 11 de diciembre, y confirma el art. 25 del Real Decreto 1199/1999, de 9 de julio, por el que se desarrolla la Ley 13/1998, de 4 de mayo, de ordenación del mercado de tabacos y normativa tributaria y regula el Estatuto concesional de la red de expendedurías de tabaco y timbre, en la redacción dada al mismo por el art. único 16 del Real Decreto 1/2007, de 12 de enero. Al referido organismo corresponde, además, el control e identificación de las citadas máquinas expendedoras mediante la gestión del registro previsto al efecto en el art. 4 f) de la Ley 28/2005.</w:t>
      </w:r>
    </w:p>
    <w:p w:rsidR="00CF03FA" w:rsidRDefault="00CF03FA" w:rsidP="00CF03FA">
      <w:pPr>
        <w:pStyle w:val="TextoNormal"/>
      </w:pPr>
      <w:r>
        <w:t xml:space="preserve">De lo anteriormente expuesto podemos concluir que la producción de los perjuicios que se han invocado para la salud de los ciudadanos, entendiendo por tales la posibilidad de que se incrementen los puntos de venta de tabaco, precisa, para su efectiva materialización, de medidas que complementen la previsión legal sin las que ésta última carecería de eficacia práctica, alguna de las cuales ha de revestir la forma de autorización administrativa otorgada </w:t>
      </w:r>
      <w:r>
        <w:lastRenderedPageBreak/>
        <w:t>por un órgano estatal. Por consiguiente, con esta segunda perspectiva, la eficacia de la disposición legal impugnada no afecta a los intereses generales en cuanto que su ámbito potencial de aplicación es relativamente reducido y ha de concretarse en medidas de aplicación, por lo que carece de entidad para mantener una suspensión que, conforme a nuestra doctrina, solo cabrá en cuanto suponga la existencia de perjuicios ciertos, efectivos e irreparables y que, en caso contrario, ha de prevalecer la presunción de validez propia de las leyes emanadas de una asamblea legislativa democráticamente elegida.</w:t>
      </w:r>
    </w:p>
    <w:p w:rsidR="00CF03FA" w:rsidRDefault="00CF03FA" w:rsidP="00CF03FA">
      <w:pPr>
        <w:pStyle w:val="TextoNormal"/>
      </w:pPr>
    </w:p>
    <w:p w:rsidR="00CF03FA" w:rsidRDefault="00CF03FA" w:rsidP="00CF03FA">
      <w:pPr>
        <w:pStyle w:val="TextoNormal"/>
      </w:pPr>
      <w:r w:rsidRPr="00CF03FA">
        <w:rPr>
          <w:rStyle w:val="NumeroAFNegritaCaracter"/>
        </w:rPr>
        <w:t>6</w:t>
      </w:r>
      <w:r>
        <w:t>. En cuanto a los perjuicios que, según aduce el Abogado del Estado, originaría la vigencia del precepto impugnado para la seguridad jurídica y la unidad de mercado, los mismos tampoco presentan en este caso la consistencia y gravedad necesarias para mantener en suspenso la aplicación del precepto impugnado.</w:t>
      </w:r>
    </w:p>
    <w:p w:rsidR="00CF03FA" w:rsidRDefault="00CF03FA" w:rsidP="00CF03FA">
      <w:pPr>
        <w:pStyle w:val="TextoNormal"/>
      </w:pPr>
      <w:r>
        <w:t>Respecto a la alegada situación de inseguridad jurídica hemos de recordar que, conforme a nuestra doctrina,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todos ATC 18/2007, de 18 de enero, FJ 5 y doctrina allí citada).</w:t>
      </w:r>
    </w:p>
    <w:p w:rsidR="00CF03FA" w:rsidRDefault="00CF03FA" w:rsidP="00CF03FA">
      <w:pPr>
        <w:pStyle w:val="TextoNormal"/>
      </w:pPr>
      <w:r>
        <w:t>Por otra parte, en cuanto a las eventuales distorsiones que, sobre la unidad de mercado y la libre circulación de bienes, produciría la aplicación del precepto impugnado, debemos señalar que los perjuicios a los que ha hecho referencia el Abogado del Estado tienen un indudable carácter abstracto e hipotético sin que se hayan acreditado concreta y suficientemente los perjuicios genéricamente expuestos. En efecto, se afirma que el establecimiento de regulaciones diversas conduciría a distorsionar la unidad de mercado al crear un claro impedimento para lograr su correcto funcionamiento, sin que esa afirmación haya venido acompañada de una justificación concreta de los perjuicios de imposible o difícil reparación que habrían de producirse por la mera existencia de una diversidad regulatoria que es consustancial con el carácter autonómico de nuestro Estado. Este planteamiento constituye, además, uno de los aspectos ya alegados en la demanda y objeto del debate de fondo en el presente proceso, por lo que el mismo no debe ser tomado en consideración en este incidente. Por todo ello, la misma generalidad de la relación de los perjuicios impide su ponderación y determina que no puedan prevalecer sobre la presunción de legitimidad constitucional de la que goza la Ley autonómica hasta que nos pronunciemos sobre el fondo de la controversia.</w:t>
      </w:r>
    </w:p>
    <w:p w:rsidR="00CF03FA" w:rsidRDefault="00CF03FA" w:rsidP="00CF03FA">
      <w:pPr>
        <w:pStyle w:val="TextoNormal"/>
      </w:pPr>
    </w:p>
    <w:p w:rsidR="00CF03FA" w:rsidRDefault="00CF03FA" w:rsidP="00CF03FA">
      <w:pPr>
        <w:pStyle w:val="TextoNormal"/>
      </w:pPr>
      <w:r>
        <w:t>Por todo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lastRenderedPageBreak/>
        <w:t>Levantar la suspensión del art. 14.1 de la Ley del Parlamento de las Illes Balears 25/2006, de 27 de diciembre, de medidas tributarias y administrativas.</w:t>
      </w:r>
    </w:p>
    <w:p w:rsidR="00CF03FA" w:rsidRDefault="00CF03FA" w:rsidP="00CF03FA">
      <w:pPr>
        <w:pStyle w:val="TextoNormal"/>
      </w:pPr>
    </w:p>
    <w:p w:rsidR="00CF03FA" w:rsidRDefault="00CF03FA" w:rsidP="00CF03FA">
      <w:pPr>
        <w:pStyle w:val="TextoNormal"/>
      </w:pPr>
      <w:r>
        <w:t>Madrid, a once de marzo de dos mil ocho.</w:t>
      </w:r>
    </w:p>
    <w:p w:rsidR="00CF03FA" w:rsidRDefault="00CF03FA" w:rsidP="00CF03FA">
      <w:pPr>
        <w:pStyle w:val="ParrafoNormal"/>
      </w:pPr>
    </w:p>
    <w:p w:rsidR="00CF03FA" w:rsidRDefault="00CF03FA" w:rsidP="00CF03FA">
      <w:pPr>
        <w:pStyle w:val="TextoNormalNegritaCentrado"/>
        <w:keepNext/>
      </w:pPr>
      <w:r>
        <w:t>Voto particular que formula el Magistrado don Jorge Rodríguez-Zapata Pérez al Auto dictado por el Pleno del Tribunal Constitucional el 11 de marzo de 2008, en el recurso de inconstitucionalidad núm. 7696-2007, promovido por el Presidente del Gobierno contra el art. 14.1 de la Ley del Parlamento de las Illes Balears 25/2006, de 27 de diciembre, de medidas tributarias y administrativas</w:t>
      </w:r>
    </w:p>
    <w:p w:rsidR="00CF03FA" w:rsidRDefault="00CF03FA" w:rsidP="00CF03FA">
      <w:pPr>
        <w:pStyle w:val="TextoNormalNegritaCentrado"/>
        <w:keepNext/>
      </w:pPr>
    </w:p>
    <w:p w:rsidR="00CF03FA" w:rsidRDefault="00CF03FA" w:rsidP="00CF03FA">
      <w:pPr>
        <w:pStyle w:val="TextoNormal"/>
      </w:pPr>
      <w:r>
        <w:t>1. Creo, frente a la decisión mayoritaria, que procedía mantener la suspensión del artículo 14.1 de la Ley autonómica recurrida. La dimensión comunitaria y las repercusiones nocivas para la sanidad de todos los españoles que ha razonado el Abogado del Estado eran suficientes para tal determinación.</w:t>
      </w:r>
    </w:p>
    <w:p w:rsidR="00CF03FA" w:rsidRDefault="00CF03FA" w:rsidP="00CF03FA">
      <w:pPr>
        <w:pStyle w:val="TextoNormal"/>
      </w:pPr>
      <w:r>
        <w:t>Me parece obligado insistir además, ya frente a la fundamentación jurídica del Auto mayoritario, en la necesidad de una reflexión constitucional profunda sobre la doctrina que sostiene el Tribunal Constitucional en los últimos años sobre el mantenimiento o levantamiento de la suspensión acordada ex artículo 161.2 CE.</w:t>
      </w:r>
    </w:p>
    <w:p w:rsidR="00CF03FA" w:rsidRDefault="00CF03FA" w:rsidP="00CF03FA">
      <w:pPr>
        <w:pStyle w:val="TextoNormal"/>
      </w:pPr>
      <w:r>
        <w:t>He expuesto en numerosísimos Votos particulares mi posición frente a esa doctrina. A ellos me remito, para evitar repeticiones.  . Este es mi criterio que formulo emitiendo este Voto particular en</w:t>
      </w:r>
    </w:p>
    <w:p w:rsidR="00CF03FA" w:rsidRDefault="00CF03FA" w:rsidP="00CF03FA">
      <w:pPr>
        <w:pStyle w:val="TextoNormal"/>
      </w:pPr>
      <w:r>
        <w:t>Madrid, a once de marzo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42" w:name="AUTO_2008_81"/>
      <w:r>
        <w:lastRenderedPageBreak/>
        <w:t>AUTO 81/2008, de 12 de marzo de 2008</w:t>
      </w:r>
    </w:p>
    <w:bookmarkEnd w:id="142"/>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ECLI:ES:TC:2008:81A</w:t>
      </w:r>
    </w:p>
    <w:p w:rsidR="00CF03FA" w:rsidRDefault="00CF03FA" w:rsidP="00CF03FA">
      <w:pPr>
        <w:pStyle w:val="SntesisDescriptiva"/>
      </w:pPr>
    </w:p>
    <w:p w:rsidR="00CF03FA" w:rsidRDefault="00CF03FA" w:rsidP="00CF03FA">
      <w:pPr>
        <w:pStyle w:val="SntesisDescriptiva"/>
      </w:pPr>
      <w:r>
        <w:t>Excms. Srs. don Vicente Conde Martín de Hijas, don Javier Delgado Barrio, doña Elisa Pérez Vera, don Eugeni Gay Montalvo, don Ramón Rodríguez Arribas, don Pascual Sala Sánchez, don Manuel Aragón Reyes y don Pablo Pérez Tremps.</w:t>
      </w:r>
    </w:p>
    <w:p w:rsidR="00CF03FA" w:rsidRDefault="00CF03FA" w:rsidP="00CF03FA">
      <w:pPr>
        <w:pStyle w:val="SntesisDescriptiva"/>
      </w:pPr>
    </w:p>
    <w:p w:rsidR="00CF03FA" w:rsidRDefault="00CF03FA" w:rsidP="00CF03FA">
      <w:pPr>
        <w:pStyle w:val="SntesisDescriptiva"/>
      </w:pPr>
      <w:r>
        <w:t>Acuerda dos recusaciones en el recurso de inconstitucionalidad 6729-2007, planteado por Diputados del Grupo Parlamentario Popular del Congreso de los Diputados en relación con el artículo 16.1 de la Ley Orgánica 2/1979, de 3 de octubre, del Tribunal Constitucional.</w:t>
      </w:r>
    </w:p>
    <w:p w:rsidR="00CF03FA" w:rsidRDefault="00CF03FA" w:rsidP="00CF03FA">
      <w:pPr>
        <w:pStyle w:val="SntesisDescriptiva"/>
      </w:pPr>
    </w:p>
    <w:p w:rsidR="00CF03FA" w:rsidRDefault="00CF03FA" w:rsidP="00CF03FA">
      <w:pPr>
        <w:pStyle w:val="SntesisAnaltica"/>
      </w:pPr>
      <w:r>
        <w:t>Abstención y recusación de magistrados del Tribunal Constitucional: causas de abstención y recusación; composición del tribunal que ha de resolver la recusación; conocimiento previo del asunto; fundamentación de la recusación; interés en el proceso; numerus clausus de causas; participación en el asunto objeto del proceso; prueba de los motivos de la recusación; recusación de magistrados, acepta. Autos del Tribunal Constitucional: distingue el ATC 443/2007. Votos particulares: formulados dos.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Con fecha 19 de octubre de 2007 tuvo entrada en el Registro General de este Tribunal escrito del Abogado General del Estado mediante el que formula la recusación de los Excmos. Sres. Magistrados don Roberto García-Calvo y Montiel y don Jorge Rodríguez-Zapata Pérez, solicitando que se acuerde apartarlos de la resolución del recurso de inconstitucionalidad instado por más de cincuenta Diputados del Grupo Parlamentario Popular contra el art. único, apartados 6 y 7, de la Ley Orgánica 6/2007, de 24 de mayo, que dan nueva redacción al art. 16.1 y 3 de la Ley Orgánica 2/1979, de 3 de octubre, del Tribunal Constitucional, por entender que dichos Magistrados incurren en las causas de recusación 10, 13 y 16 del art. 219 de la Ley Orgánica del Poder Judicial (LOPJ). Al escrito se acompañan fotocopias de distintas noticias de prensa y de diarios de sesiones del Congreso de los Diputados y del Senado. Por medio de otrosí solicita el recibimiento a prueba del procedimiento, interesando que se incorpore al mismo, como documental, copia certificada de la carta dirigida por los Magistrados Excmos. Sres. don Roberto García-Calvo y Montiel y don Jorge Rodríguez-Zapata Pérez a la Presidenta del Tribunal Constitucional el 22 de junio de 2007, así como la copia certificada del acta de la reunión del plenario del Tribunal Constitucional celebrada el 4 de julio de 2007, en la que se adoptó acuerdo en relación con la carta anterior. </w:t>
      </w:r>
    </w:p>
    <w:p w:rsidR="00CF03FA" w:rsidRDefault="00CF03FA" w:rsidP="00CF03FA">
      <w:pPr>
        <w:pStyle w:val="TextoNormal"/>
      </w:pPr>
      <w:r>
        <w:t xml:space="preserve">El Abogado General del Estado comienza en su escrito recordando el principio de imparcialidad a que están sujetos los Magistrados del Tribunal Constitucional en el ejercicio de sus funciones, de conformidad con el art. 22 LOTC, así como la doctrina general del Tribunal Constitucional y del Tribunal Europeo de Derechos Humanos sobre las causas de recusación, para seguidamente exponer las razones en las que se fundamenta la recusación planteada, que se resumen a continuación: </w:t>
      </w:r>
    </w:p>
    <w:p w:rsidR="00CF03FA" w:rsidRDefault="00CF03FA" w:rsidP="00CF03FA">
      <w:pPr>
        <w:pStyle w:val="TextoNormal"/>
      </w:pPr>
      <w:r>
        <w:lastRenderedPageBreak/>
        <w:t xml:space="preserve">a) De acuerdo con la información periodística que se acompaña al escrito de recusación, los Magistrados recusados habrían remitido una carta a la Presidenta del Tribunal Constitucional en fecha 22 de junio de 2007, en la cual aquellos Magistrados se habrían mostrado claramente contrarios a la constitucionalidad de la reforma que ahora tienen que enjuiciar y que prorroga el mandato de los actuales Presidenta y Vicepresidente, por lo que concurren en ellos las causas de recusación y abstención establecidas en el art. 219.10, 13 y 16 LOPJ, lo que les priva de objetividad e imparcialidad para intervenir en este proceso constitucional. </w:t>
      </w:r>
    </w:p>
    <w:p w:rsidR="00CF03FA" w:rsidRDefault="00CF03FA" w:rsidP="00CF03FA">
      <w:pPr>
        <w:pStyle w:val="TextoNormal"/>
      </w:pPr>
      <w:r>
        <w:t xml:space="preserve">b) Sobre la concurrencia de la causa de recusación del art. 219.10 LOPJ (“tener interés directo o indirecto en el pleito o causa”). </w:t>
      </w:r>
    </w:p>
    <w:p w:rsidR="00CF03FA" w:rsidRDefault="00CF03FA" w:rsidP="00CF03FA">
      <w:pPr>
        <w:pStyle w:val="TextoNormal"/>
      </w:pPr>
      <w:r>
        <w:t xml:space="preserve">Tras referirse a la doctrina de este Tribunal sobre la mencionada causa de recusación (cita la STC 5/2004, de 16 de enero, y los AATC 224/2002, de 20 de noviembre, 61/2003, de 19 de febrero, y 26/2007, de 5 de febrero), el Abogado General del Estado argumenta que, de conformidad con la información periodística que se adjunta como documento núm. 3 (diario “El País”, edición de Madrid, de 24 de septiembre de 2007), los Magistrados recusados habrían remitido la aludida carta a la Presidenta, en la que se contenían, entre otras, las siguientes afirmaciones: “dejamos constancia de nuevo en este escrito de nuestra más profunda discrepancia tanto con la forma como con el contenido de la explicación que se nos ofreció y con el resultado de la reforma en el punto relativo a la prórroga del mandato actual como Presidenta y Vicepresidente del Tribunal, respectivamente”. En el mismo diario y en la edición de igual fecha se publicaba que “los otros diez Magistrados expresaron su opinión de que dicho escrito no debía ser tomado en consideración, a fin de no prejuzgar un posible recurso de inconstitucionalidad que pudiera llegarles contra la reforma de la LOTC”. En términos similares se hicieron eco de la noticia otros diarios, conforme a los recortes de prensa que se adjuntan al escrito de recusación. </w:t>
      </w:r>
    </w:p>
    <w:p w:rsidR="00CF03FA" w:rsidRDefault="00CF03FA" w:rsidP="00CF03FA">
      <w:pPr>
        <w:pStyle w:val="TextoNormal"/>
      </w:pPr>
      <w:r>
        <w:t xml:space="preserve">De ser cierta esta información, a juicio del Abogado General del Estado, concurriría la invocada causa de recusación, de acuerdo con las circunstancias que el Tribunal ha considerado hasta ahora relevantes en diferentes resoluciones para concluir que “la opinión manifestada constituye una auténtica toma de partido sobre el objeto del proceso” que justifica “la sospecha de un interés directo o indirecto en el mismo” (ATC 61/2003, de 19 de febrero). Tales circunstancias son las siguientes: la opinión la habrían manifestado en su condición de Magistrados del Tribunal Constitucional; se llevó a cabo cuando ya era conocido que el Grupo Parlamentario Popular iba a recurrir la Ley Orgánica 6/2007, de 24 de mayo, es decir, aunque la carta precedió de manera muy próxima (22 de junio de 2007) a la interposición del recurso de inconstitucionalidad (27 de julio de 2007), era manifiesto que éste se iba a interponer (pues ya durante la tramitación parlamentaria el Grupo Parlamentario Popular hizo constar públicamente su decisión de impugnar la reforma en lo relativo a la prórroga del mandato de la Presidenta y Vicepresidente del Tribunal) y que es presumible que los dos Magistrados recusados conocían no sólo esa circunstancia, sino incluso que el recurso se extendería a los extremos sobre los que se pronunciaron en la referida carta (dada la repercusión mediática del asunto y la afectación directa de la noticia al propio Tribunal); no cabe dudar de la seriedad y la firmeza de la opinión manifestada cuando se ha expresado por los Magistrados recusados por carta dirigida a la Presidenta del Tribunal Constitucional y en su condición de Magistrados de éste, lo que revela que se trataba de afirmaciones meditadas y reveladoras de una firme convicción, como por otra parte lo entendieron de forma prácticamente unánime todos los medios de comunicación que se hicieron eco de la carta; existe una conexión directa, inmediata e incontrovertible entre la opinión vertida por los Magistrados recusados y el objeto del recurso; y, en fin, de la información publicada se concluye que los Magistrados recusados manifestaron con la mayor contundencia y firmeza </w:t>
      </w:r>
      <w:r>
        <w:lastRenderedPageBreak/>
        <w:t xml:space="preserve">su opinión contraria a la reforma legal, como lo evidencia la expresión “dejamos constancia de nuevo en este escrito de nuestra más profunda discrepancia … con el resultado de la reforma”. </w:t>
      </w:r>
    </w:p>
    <w:p w:rsidR="00CF03FA" w:rsidRDefault="00CF03FA" w:rsidP="00CF03FA">
      <w:pPr>
        <w:pStyle w:val="TextoNormal"/>
      </w:pPr>
      <w:r>
        <w:t xml:space="preserve">Así pues, parece claro, a juicio del Abogado General del Estado, que las dudas sobre la imparcialidad de los Magistrados recusados están objetivamente justificadas. En efecto, se trata de opiniones contundentes sobre la reforma legal a enjuiciar por el Tribunal Constitucional, manifestadas por escrito —lo que excluye que puedan considerarse irreflexivas— y dirigidas por cauce formal a la Presidenta del Tribunal, en su condición de Magistrados de éste. Debe concluirse, por tanto, que los Magistrados recusados tomaron postura de forma inequívoca, radical y decidida sobre uno de los puntos sobre los que versa la pretensión de este recurso de inconstitucionalidad y que al hacerlo prejuzgaron el objeto del actual litigio. Así lo percibieron no sólo los medios de comunicación que se hicieron eco de la misiva en cuestión, sino el propio Tribunal Constitucional, pues, de ser cierta la información periodística que se adjunta, en su reunión del plenario celebrada el 4 de julio de 2007, acordó no tomar en consideración la carta, para no “prejuzgar” la constitucionalidad de la reforma de la LOTC y no “contaminarse”, es decir, que se entendió que el contenido de la carta anticipaba un juicio discrepante sobre la constitucionalidad de la reforma de la LOTC. </w:t>
      </w:r>
    </w:p>
    <w:p w:rsidR="00CF03FA" w:rsidRDefault="00CF03FA" w:rsidP="00CF03FA">
      <w:pPr>
        <w:pStyle w:val="TextoNormal"/>
      </w:pPr>
      <w:r>
        <w:t xml:space="preserve">c) Sobre la concurrencia de la causa de recusación del art. 219.13 LOPJ (“haber ocupado cargo público, desempeñado empleo o ejercido profesión con ocasión de los cuales haya participado directa o indirectamente en el asunto objeto del pleito o causa o en otro relacionado con el mismo”). </w:t>
      </w:r>
    </w:p>
    <w:p w:rsidR="00CF03FA" w:rsidRDefault="00CF03FA" w:rsidP="00CF03FA">
      <w:pPr>
        <w:pStyle w:val="TextoNormal"/>
      </w:pPr>
      <w:r>
        <w:t xml:space="preserve">El Abogado General del Estado reproduce la doctrina constitucional sobre esta causa de recusación del ATC 26/2007, de 5 de febrero, para afirmar a continuación que las manifestaciones de los dos Magistrados recusados se produjeron en unas circunstancias que conducen a subsumirlas en aquella previsión legal. En efecto, se tenía conocimiento de la decisión del Grupo Parlamentario Popular de recurrir la Ley Orgánica 6/2007, de 24 de mayo, por lo que aquellas manifestaciones vertidas en la misiva dirigida a la Presidenta versaron sobre un objeto —Ley Orgánica 6/2007— y se realizaron con un objetivo —la decidida discrepancia con la reforma de la LOTC— que resulta contrario a lo razonable negar la existencia de una participación indirecta en el asunto objeto del pleito. Sus declaraciones vienen a suponer una toma de postura acerca de los límites constitucionales sobre la reforma de la LOTC —como lo evidencia la decisión adoptada por los otros diez Magistrados de no tomar en consideración dicho escrito para no prejuzgar un posible recurso de inconstitucionalidad que pudiera interponerse contra la reforma de la LOTC—, lo que constituye un elemento objetivo que razonablemente conduce a entender que dichos Magistrados han perdido la imparcialidad necesaria para abordar el enjuiciamiento de la norma impugnada. </w:t>
      </w:r>
    </w:p>
    <w:p w:rsidR="00CF03FA" w:rsidRDefault="00CF03FA" w:rsidP="00CF03FA">
      <w:pPr>
        <w:pStyle w:val="TextoNormal"/>
      </w:pPr>
      <w:r>
        <w:t xml:space="preserve">d) Sobre la concurrencia de la causa de recusación del art. 219.16 LOPJ (“haber ocupado el Juez o Magistrado cargo público o administrativo con ocasión del cual haya podido tener conocimiento del objeto del litigio y formar criterio en detrimento de la debida imparcialidad”). </w:t>
      </w:r>
    </w:p>
    <w:p w:rsidR="00CF03FA" w:rsidRDefault="00CF03FA" w:rsidP="00CF03FA">
      <w:pPr>
        <w:pStyle w:val="TextoNormal"/>
      </w:pPr>
      <w:r>
        <w:t xml:space="preserve">Con reproducción de la doctrina constitucional del ATC 80/2005, de 17 de febrero, el Abogado General del Estado argumenta respecto a la concurrencia de esta causa que los Magistrados recusados no se encontraban en el ejercicio de su función o competencia jurisdiccional cuando manifestaron sus opiniones en la carta dirigida a la Presidenta del Tribunal, sino en el ejercicio de una competencia estrictamente gubernativa ajena a dicha función jurisdiccional, aunque no a su condición de Magistrados del Tribunal Constitucional. Así pues, aquellas opiniones revelan que han tenido conocimiento del objeto ulteriormente litigioso y que han formado un criterio rotundo sobre el mismo. Gozan del tenor y la decisión </w:t>
      </w:r>
      <w:r>
        <w:lastRenderedPageBreak/>
        <w:t>necesarios para poder fundamentar la alegación de parcialidad, esto es, para poder afirmar que han venido a tomar partido en la causa. Entrañan un juicio definitivo de discrepancia con la reforma de la LOTC que permite conferir razonabilidad a la reflexión de que su imparcialidad ha desaparecido, pues viene a reflejar criterio y, en consecuencia, predisposición en un sentido concreto antes de que el litigio se sustancie.</w:t>
      </w:r>
    </w:p>
    <w:p w:rsidR="00CF03FA" w:rsidRDefault="00CF03FA" w:rsidP="00CF03FA">
      <w:pPr>
        <w:pStyle w:val="TextoNormal"/>
      </w:pPr>
    </w:p>
    <w:p w:rsidR="00CF03FA" w:rsidRDefault="00CF03FA" w:rsidP="00CF03FA">
      <w:pPr>
        <w:pStyle w:val="TextoNormal"/>
      </w:pPr>
      <w:r w:rsidRPr="00CF03FA">
        <w:rPr>
          <w:rStyle w:val="NumeroAFNegritaCaracter"/>
        </w:rPr>
        <w:t>2</w:t>
      </w:r>
      <w:r>
        <w:t>. El 28 de noviembre de 2007 el Magistrado Excmo. Sr. don Jorge Rodríguez-Zapata Pérez entregó en la Secretaría de Justicia del Pleno de este Tribunal un escrito dirigido al Presidente en funciones para el enjuiciamiento del presente recurso de inconstitucionalidad, declarando no haber tenido ni tener en la actualidad formado criterio acerca de la constitucionalidad o inconstitucionalidad del art. 16.3 LOTC, en la redacción dada al mismo por la Ley Orgánica 6/2007, de 24 de mayo. A dicho escrito se acompaña el Voto particular al Acuerdo del Pleno gubernativo de 4 de julio de 2007, formulado por él mismo y por el Magistrado Excmo. Sr. don Roberto García-Calvo y Montiel, y solicita que se de traslado de esta declaración y de dicho Voto particular al Abogado General del Estado.</w:t>
      </w:r>
    </w:p>
    <w:p w:rsidR="00CF03FA" w:rsidRDefault="00CF03FA" w:rsidP="00CF03FA">
      <w:pPr>
        <w:pStyle w:val="TextoNormal"/>
      </w:pPr>
    </w:p>
    <w:p w:rsidR="00CF03FA" w:rsidRDefault="00CF03FA" w:rsidP="00CF03FA">
      <w:pPr>
        <w:pStyle w:val="TextoNormal"/>
      </w:pPr>
      <w:r w:rsidRPr="00CF03FA">
        <w:rPr>
          <w:rStyle w:val="NumeroAFNegritaCaracter"/>
        </w:rPr>
        <w:t>3</w:t>
      </w:r>
      <w:r>
        <w:t>. Por providencia de 3 de diciembre de 2007, el Pleno del Tribunal acuerda unir a las actuaciones el escrito de recusación presentado por el Abogado del Estado; formar pieza separada de recusación, nombrando Instructora del incidente a la Magistrada Excma. Sra. doña Elisa Pérez Vera y Ponente al Excmo. Sr. Magistrado don Manuel Aragón Reyes. Asimismo, de conformidad con lo dispuesto en el art. 225.4 LOPJ, se acordó suspender el curso del procedimiento hasta la resolución del incidente y, en cuanto al escrito y documentos presentados por el Excmo. Sr. Magistrado don Jorge Rodríguez-Zapata Pérez el 28 de noviembre de 2007, se resolvió unirlos a la pieza de recusación y proveer en su momento. A dicha providencia formularon Voto particular los Excmos. Sres. Magistrados don Ramón Rodríguez Arribas y don Eugeni Gay Montalvo, respecto a la composición del Pleno que adoptó la resolución.</w:t>
      </w:r>
    </w:p>
    <w:p w:rsidR="00CF03FA" w:rsidRDefault="00CF03FA" w:rsidP="00CF03FA">
      <w:pPr>
        <w:pStyle w:val="TextoNormal"/>
      </w:pPr>
    </w:p>
    <w:p w:rsidR="00CF03FA" w:rsidRDefault="00CF03FA" w:rsidP="00CF03FA">
      <w:pPr>
        <w:pStyle w:val="TextoNormal"/>
      </w:pPr>
      <w:r w:rsidRPr="00CF03FA">
        <w:rPr>
          <w:rStyle w:val="NumeroAFNegritaCaracter"/>
        </w:rPr>
        <w:t>4</w:t>
      </w:r>
      <w:r>
        <w:t>. En providencia de 4 de diciembre de 2007, la Instructora del incidente acordó unir a la pieza separada de recusación copia certificada de los expedientes gubernativos tramitados con motivo del escrito dirigido por los Excmos. Sres. don Roberto García-Calvo y Montiel y don Jorge Rodríguez-Zapata Pérez a la Excma. Sra. Presidenta del Tribunal el 22 de junio de 2007 y dar traslado de los mismos, mediante copia, a todas las partes personadas. Conforme a lo dispuesto en el art. 223.3 LOPJ, en relación con el art. 80 LOTC, se resolvió, igualmente, dar traslado del escrito de recusación a las partes personadas en el proceso, excepto al promotor de las recusaciones, para que en el plazo común de tres días manifestaran si se adherían o se oponían a la causa de recusación propuesta o si, en ese momento, conocían alguna otra causa de recusación. Asimismo, se dio traslado a las partes personadas del escrito y documentos presentados por el Excmo. Sr. don Jorge Rodríguez-Zapata Pérez el 28 de noviembre de 2007.</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El 7 de diciembre de 2007 el Magistrado Excmo. Sr. don Roberto García-Calvo y Montiel entregó en la Secretaría de Justicia del Pleno de este Tribunal un escrito dirigido al Presidente en funciones para el enjuiciamiento del presente recurso de inconstitucionalidad en el que declara no haber tenido ni tener en la actualidad formado criterio acerca de la constitucionalidad o inconstitucionalidad del art. 16.3 LOTC, en la redacción dada al mismo por la Ley Orgánica 6/2007, de 24 de mayo, y solicita que se de traslado al Abogado General </w:t>
      </w:r>
      <w:r>
        <w:lastRenderedPageBreak/>
        <w:t>del Estado de este escrito y del Voto particular al Acuerdo del Pleno gubernativo de 4 de julio de 2007, formulado por él mismo y por el Magistrado Excmo. Sr. don Jorge Rodríguez-Zapata Pérez. Por providencia de 10 de diciembre de 2007, la Instructora acordó unir dicho escrito a la pieza separada de recusación y dar traslado del mismo a todas las partes personadas.</w:t>
      </w:r>
    </w:p>
    <w:p w:rsidR="00CF03FA" w:rsidRDefault="00CF03FA" w:rsidP="00CF03FA">
      <w:pPr>
        <w:pStyle w:val="TextoNormal"/>
      </w:pPr>
    </w:p>
    <w:p w:rsidR="00CF03FA" w:rsidRDefault="00CF03FA" w:rsidP="00CF03FA">
      <w:pPr>
        <w:pStyle w:val="TextoNormal"/>
      </w:pPr>
      <w:r w:rsidRPr="00CF03FA">
        <w:rPr>
          <w:rStyle w:val="NumeroAFNegritaCaracter"/>
        </w:rPr>
        <w:t>6</w:t>
      </w:r>
      <w:r>
        <w:t>. El 11 de diciembre de 2007 tuvo entrada en el Registro General de este Tribunal escrito del Comisionado por más de cincuenta Diputados del Grupo Parlamentario Popular en el presente recurso de inconstitucionalidad, don Ignacio Astarloa Huarte-Mendicoa, por el que solicitaba que se ampliara el plazo de tres días concedido para alegaciones, a la vista del contenido del Voto particular al Acuerdo del Pleno gubernativo de 4 de julio de 2007, formulado por los Magistrados Excmos. Sres. García-Calvo y Rodríguez-Zapata, del que se le había dado traslado.</w:t>
      </w:r>
    </w:p>
    <w:p w:rsidR="00CF03FA" w:rsidRDefault="00CF03FA" w:rsidP="00CF03FA">
      <w:pPr>
        <w:pStyle w:val="TextoNormal"/>
      </w:pPr>
    </w:p>
    <w:p w:rsidR="00CF03FA" w:rsidRDefault="00CF03FA" w:rsidP="00CF03FA">
      <w:pPr>
        <w:pStyle w:val="TextoNormal"/>
      </w:pPr>
      <w:r w:rsidRPr="00CF03FA">
        <w:rPr>
          <w:rStyle w:val="NumeroAFNegritaCaracter"/>
        </w:rPr>
        <w:t>7</w:t>
      </w:r>
      <w:r>
        <w:t>. Mediante providencia de 11 de diciembre de 2007, la Instructora acordó unir a la pieza de recusación el anterior escrito y conceder al Comisionado don Ignacio Astarloa Huarte-Mendicoa un nuevo plazo de un día, desde la notificación de dicha resolución, a fin de que efectuara las alegaciones que estimara convenientes, a la vista de que el Voto conjunto a que aquél se refería ya figuraba en los expedientes gubernativos y como anexo del escrito del Excmo. Sr. don Jorge Rodríguez-Zapata Pérez, de los que se le había dado traslado a través de la providencia de 4 de diciembre de 2007, notificada el siguiente día 5.</w:t>
      </w:r>
    </w:p>
    <w:p w:rsidR="00CF03FA" w:rsidRDefault="00CF03FA" w:rsidP="00CF03FA">
      <w:pPr>
        <w:pStyle w:val="TextoNormal"/>
      </w:pPr>
    </w:p>
    <w:p w:rsidR="00CF03FA" w:rsidRDefault="00CF03FA" w:rsidP="00CF03FA">
      <w:pPr>
        <w:pStyle w:val="TextoNormal"/>
      </w:pPr>
      <w:r w:rsidRPr="00CF03FA">
        <w:rPr>
          <w:rStyle w:val="NumeroAFNegritaCaracter"/>
        </w:rPr>
        <w:t>8</w:t>
      </w:r>
      <w:r>
        <w:t xml:space="preserve">. Por escrito presentado el 13 de diciembre de 2007, el Comisionado don Ignacio Astarloa Huarte-Mendicoa formuló alegaciones oponiéndose a la recusación planteada por el Abogado General del Estado y aportó diversas noticias de prensa digital, solicitando que se tuviera por presentada dicha documentación y que se admitiera en el trámite de recibimiento del incidente a prueba. La oposición a la recusación se fundamenta en las consideraciones que seguidamente se resumen: </w:t>
      </w:r>
    </w:p>
    <w:p w:rsidR="00CF03FA" w:rsidRDefault="00CF03FA" w:rsidP="00CF03FA">
      <w:pPr>
        <w:pStyle w:val="TextoNormal"/>
      </w:pPr>
      <w:r>
        <w:t xml:space="preserve">a) Con carácter preliminar, el Comisionado interesa que el Pleno para resolver este incidente de recusación esté formado por los diez Magistrados restantes tras la abstención de la Presidenta y Vicepresidente (ATC 387/2007, de 16 de octubre), incluidos, por tanto, los recusados, al igual que ha sucedido en el incidente de recusación de los Excmos. Sres. Magistrados don Pascual Sala Sánchez, don Pablo Pérez Tremps y don Manuel Aragón Reyes, formulada en este mismo recurso de inconstitucionalidad por dicho Comisionado. </w:t>
      </w:r>
    </w:p>
    <w:p w:rsidR="00CF03FA" w:rsidRDefault="00CF03FA" w:rsidP="00CF03FA">
      <w:pPr>
        <w:pStyle w:val="TextoNormal"/>
      </w:pPr>
      <w:r>
        <w:t xml:space="preserve">b) Seguidamente el Comisionado rechaza que concurra en los Magistrados recusados la causa de recusación del art. 219.10 LOPJ (“tener interés directo o indirecto en el pleito o causa”). A su juicio, la Abogacía del Estado no justifica que los recusados tengan interés alguno en el litigio distinto del que pudieran tener los otros ocho Magistrados. La pretendida toma de partido sobre el objeto del proceso por parte de los Magistrados recusados se hace descansar por la Abogacía del Estado en una frase contenida en la carta dirigida por aquéllos a la Presidenta, en la que dejan constancia de su “más profunda discrepancia tanto con la forma … como con el contenido de la explicación que se nos ofreció y con el resultado de la reforma en el punto relativo a la prórroga del mandato actual como Presidenta y Vicepresidente del Tribunal, respectivamente”, opinión expresada sobre un hecho de su competencia como Magistrados del Tribunal Constitucional, porque afecta al gobierno del mismo, y de la que, a juicio del Comisionado, no cabe en modo alguno concluir que los recusados hayan formado criterio en detrimento de la debida imparcialidad que les resulta exigible. </w:t>
      </w:r>
    </w:p>
    <w:p w:rsidR="00CF03FA" w:rsidRDefault="00CF03FA" w:rsidP="00CF03FA">
      <w:pPr>
        <w:pStyle w:val="TextoNormal"/>
      </w:pPr>
      <w:r>
        <w:lastRenderedPageBreak/>
        <w:t xml:space="preserve">Así, frente a lo alegado por el Abogado del Estado, no concurren, según el Comisionado, las circunstancias que el Tribunal Constitucional viene considerado relevantes para concluir que la opinión manifestada constituye una “auténtica toma de partido sobre el objeto del proceso” que justifica “la sospecha de un interés directo o indirecto en el mismo” (ATC 61/2003); en efecto, la opinión la han manifestado en su condición de Magistrados del Tribunal Constitucional, pero ello lo que evidencia es justamente que los recusados no tienen interés en el asunto distinto del que pudieran tener cualquiera de los otros Magistrados; por otra parte, aunque la carta precedió en forma muy próxima a la interposición del recurso de inconstitucionalidad, es falso que en la tramitación parlamentaria se manifestara por el Grupo Parlamentario Popular que iba a interponer recurso de inconstitucionalidad contra la reforma en el punto controvertido (prórroga del mandato de la Presidenta y Vicepresidente del Tribunal); en cuanto a la repercusión mediática de la carta, en la que los Magistrados recusados manifestaban una opinión interna en el ejercicio de sus cargos, lo relevante sería conocer quien filtró interesadamente a los medios de comunicación, en perjuicio de los recusados, el contenido de esa carta; no existe toma de postura de los recusados sobre el thema decidendi (constitucionalidad de la fórmula elegida por la reforma legal para prorrogar el mandato de Presidenta y Vicepresidente), pues los Magistrados no se encontraban en el ejercicio de su función jurisdiccional al expresar su opinión por carta a la Presidenta, sino ante el ejercicio de una función estrictamente gubernativa, ajena a dicha función jurisdiccional, aunque no a su condición de Magistrados del Tribunal Constitucional. </w:t>
      </w:r>
    </w:p>
    <w:p w:rsidR="00CF03FA" w:rsidRDefault="00CF03FA" w:rsidP="00CF03FA">
      <w:pPr>
        <w:pStyle w:val="TextoNormal"/>
      </w:pPr>
      <w:r>
        <w:t xml:space="preserve">c) Tampoco concurre, a juicio del Comisionado, la causa de recusación del art. 219.13 LOPJ (“haber ocupado cargo público, desempeñado empleo o ejercido profesión con ocasión de los cuales haya participado directa o indirectamente en el asunto objeto del pleito o causa o en otro relacionado con el mismo”). Es claro que el precepto se refiere a una actuación profesional distinta a la que compete al Magistrado en el ejercicio de sus funciones como tal, lo que no acontece en el presente caso, en el que las opiniones expresadas por los Magistrados recusados lo han sido en su condición de Magistrados del Tribunal Constitucional, bien que no en su función jurisdiccional, sino en su función gubernativa. </w:t>
      </w:r>
    </w:p>
    <w:p w:rsidR="00CF03FA" w:rsidRDefault="00CF03FA" w:rsidP="00CF03FA">
      <w:pPr>
        <w:pStyle w:val="TextoNormal"/>
      </w:pPr>
      <w:r>
        <w:t xml:space="preserve">d) De igual modo ha de excluirse, según el Comisionado, la concurrencia de la causa de recusación del art. 219.16 LOPJ (“haber ocupado el Juez o Magistrado cargo público o administrativo con ocasión del cual haya podido tener conocimiento del objeto del litigio y formar criterio en detrimento de la debida imparcialidad”). A su juicio, los recusados no han ejercido previamente a su nombramiento como Magistrados del Tribunal Constitucional un cargo público en el que hayan podido tener conocimiento del asunto que ahora se somete a su enjuiciamiento en su condición de tales Magistrados, siendo inadmisible la tesis del Abogado del Estado del desdoblamiento de funciones (gubernativas y jurisdiccionales) de los Magistrados constitucionales para invocar esta causa de recusación. </w:t>
      </w:r>
    </w:p>
    <w:p w:rsidR="00CF03FA" w:rsidRDefault="00CF03FA" w:rsidP="00CF03FA">
      <w:pPr>
        <w:pStyle w:val="TextoNormal"/>
      </w:pPr>
      <w:r>
        <w:t xml:space="preserve">e) En fin, sostiene el Comisionado que la opinión vertida por los Magistrados recusados en su carta a la Presidenta del Tribunal no supone reproche alguno a la constitucionalidad de la reforma impugnada en el presente proceso, pues se limitan a discrepar de su estricta aplicación al caso concreto, esto es, la prórroga del mandato de los actuales Presidenta y Vicepresidente. Es decir, no se cuestiona la validez de la norma, sino su eficacia y aplicación al mandato iniciado en el momento de entrada en vigor de la reforma. La lectura íntegra de la carta, así como del Voto particular de los Magistrados recusados al Acuerdo del Pleno gubernativo del Tribunal celebrado el 4 de julio de 2007, evidencia que los recusados no vierten ningún reproche concreto sobre la constitucionalidad de la reforma legal, sino que se limitan a expresar su discrepancia respecto del resultado de la misma en cuanto a su aplicación a la concreta situación del mandato actual de la Presidenta y del Vicepresidente, </w:t>
      </w:r>
      <w:r>
        <w:lastRenderedPageBreak/>
        <w:t>debiendo recordarse que la propia Presidenta fue la primera en manifestar públicamente sus dudas sobre el alcance de la reforma y de la aplicación de la misma a su situación.</w:t>
      </w:r>
    </w:p>
    <w:p w:rsidR="00CF03FA" w:rsidRDefault="00CF03FA" w:rsidP="00CF03FA">
      <w:pPr>
        <w:pStyle w:val="TextoNormal"/>
      </w:pPr>
    </w:p>
    <w:p w:rsidR="00CF03FA" w:rsidRDefault="00CF03FA" w:rsidP="00CF03FA">
      <w:pPr>
        <w:pStyle w:val="TextoNormal"/>
      </w:pPr>
      <w:r w:rsidRPr="00CF03FA">
        <w:rPr>
          <w:rStyle w:val="NumeroAFNegritaCaracter"/>
        </w:rPr>
        <w:t>9</w:t>
      </w:r>
      <w:r>
        <w:t>. Por providencia de 14 de diciembre de 2007, y conforme a lo dispuesto en el art. 223.3, párrafo segundo, LOPJ, en relación con el art. 80 LOTC, la Instructora del incidente acordó dar traslado a los Magistrados Excmos. Sres. don Roberto García-Calvo y Montiel y don Jorge Rodríguez-Zapata Pérez, mediante copias, del escrito de recusación y documentos presentados por el Abogado del Estado, así como de todos los documentos incorporados a la pieza de recusación, a fin de que se pronunciaran sobre si admitían o no las causas de recusación formuladas.</w:t>
      </w:r>
    </w:p>
    <w:p w:rsidR="00CF03FA" w:rsidRDefault="00CF03FA" w:rsidP="00CF03FA">
      <w:pPr>
        <w:pStyle w:val="TextoNormal"/>
      </w:pPr>
    </w:p>
    <w:p w:rsidR="00CF03FA" w:rsidRDefault="00CF03FA" w:rsidP="00CF03FA">
      <w:pPr>
        <w:pStyle w:val="TextoNormal"/>
      </w:pPr>
      <w:r w:rsidRPr="00CF03FA">
        <w:rPr>
          <w:rStyle w:val="NumeroAFNegritaCaracter"/>
        </w:rPr>
        <w:t>10</w:t>
      </w:r>
      <w:r>
        <w:t>. El 14 de diciembre de 2007 tuvo entrada en el Registro General de este Tribunal escrito del Abogado General del Estado, en el que señala que, con la incorporación a la pieza separada de recusación de los expedientes gubernativos tramitados con motivo de la carta dirigida por los Excmos. Sres. don Roberto García-Calvo y Montiel y don Jorge Rodríguez-Zapata Pérez a la Excma. Sra. Presidenta del Tribunal el 22 de junio de 2007, entiende y da por satisfecha su petición probatoria. Asimismo, alega que, de la documentación recibida, a su juicio, resultan plenamente acreditados los hechos en que fundaba la recusación.</w:t>
      </w:r>
    </w:p>
    <w:p w:rsidR="00CF03FA" w:rsidRDefault="00CF03FA" w:rsidP="00CF03FA">
      <w:pPr>
        <w:pStyle w:val="TextoNormal"/>
      </w:pPr>
    </w:p>
    <w:p w:rsidR="00CF03FA" w:rsidRDefault="00CF03FA" w:rsidP="00CF03FA">
      <w:pPr>
        <w:pStyle w:val="TextoNormal"/>
      </w:pPr>
      <w:r w:rsidRPr="00CF03FA">
        <w:rPr>
          <w:rStyle w:val="NumeroAFNegritaCaracter"/>
        </w:rPr>
        <w:t>11</w:t>
      </w:r>
      <w:r>
        <w:t>. Por providencia de la Instructora del incidente de 14 de diciembre de 2007 se acordó tener por efectuadas las manifestaciones realizadas por el Abogado General del Estado en el anterior escrito y entregar copia del mismo a las partes personadas.</w:t>
      </w:r>
    </w:p>
    <w:p w:rsidR="00CF03FA" w:rsidRDefault="00CF03FA" w:rsidP="00CF03FA">
      <w:pPr>
        <w:pStyle w:val="TextoNormal"/>
      </w:pPr>
    </w:p>
    <w:p w:rsidR="00CF03FA" w:rsidRDefault="00CF03FA" w:rsidP="00CF03FA">
      <w:pPr>
        <w:pStyle w:val="TextoNormal"/>
      </w:pPr>
      <w:r w:rsidRPr="00CF03FA">
        <w:rPr>
          <w:rStyle w:val="NumeroAFNegritaCaracter"/>
        </w:rPr>
        <w:t>12</w:t>
      </w:r>
      <w:r>
        <w:t xml:space="preserve">. El 18 de diciembre de 2007 el Magistrado Excmo. Sr. don Jorge Rodríguez-Zapata Pérez presentó el escrito de alegaciones previsto en el art. 225.2 LOPJ, señalando que el escrito de recusación del Abogado General del Estado debería haber sido inadmitido de plano por no aportar un válido principio de prueba, y negando la concurrencia de las causas de recusación alegadas, por las razones que seguidamente se resumen: </w:t>
      </w:r>
    </w:p>
    <w:p w:rsidR="00CF03FA" w:rsidRDefault="00CF03FA" w:rsidP="00CF03FA">
      <w:pPr>
        <w:pStyle w:val="TextoNormal"/>
      </w:pPr>
      <w:r>
        <w:t xml:space="preserve">a) De conformidad con lo dispuesto en el art. 22 LOTC, los Magistrados del Tribunal Constitucional no pueden ser recusados a causa de opiniones emitidas en el ejercicio de sus funciones. La opinión expresada en la carta dirigida el 22 de junio de 2007 a la Presidenta, así como en el Voto particular al Acuerdo del Pleno gubernativo del Tribunal celebrado el 4 de julio de 2007, constituye una actuación realizada por los Magistrados recusados en el ejercicio de una de sus funciones, en concreto la de elegir al Presidente del Tribunal (arts. 160 CE y 9.1 LOTC). Del mismo modo que no cabe admitir una recusación por el hecho de que el criterio del Magistrado constitucional haya quedado reflejado en las Sentencias, Autos, providencias o Votos particulares que anteriormente haya suscrito (ATC 454/2006, de 12 de diciembre, FJ 6), tampoco las actuaciones gubernativas de los Magistrados pueden dar lugar a su recusación, máxime cuando esa actividad puede llegar a tener una relevante incidencia en la actividad jurisdiccional, como sucede en este caso, en el que la presidencia del Pleno y de las Salas conlleva el denominado voto de calidad para dirimir los empates producidos en la votación de toda clase de procesos. </w:t>
      </w:r>
    </w:p>
    <w:p w:rsidR="00CF03FA" w:rsidRDefault="00CF03FA" w:rsidP="00CF03FA">
      <w:pPr>
        <w:pStyle w:val="TextoNormal"/>
      </w:pPr>
      <w:r>
        <w:t xml:space="preserve">b) Sin perjuicio de lo anterior, las manifestaciones internas de los Magistrados del Tribunal Constitucional en el ejercicio de sus funciones son reservadas, y su indebida publicación no puede ser utilizada para su recusación. Ni las manifestaciones realizadas por los Magistrados recusados en las reuniones a las que fueron convocados por la Presidenta, ni </w:t>
      </w:r>
      <w:r>
        <w:lastRenderedPageBreak/>
        <w:t xml:space="preserve">los escritos dirigidos a la misma ni las deliberaciones del Pleno pueden ser objeto de conocimiento público. Y cuando ello se produzca, su contenido no puede ser utilizado por las partes de un proceso para construir la recusación de un Magistrado. En todas y cada una de las actuaciones inherentes al ejercicio de su cargo cualquier Magistrado ha de tener la tranquilidad de poder expresar con libertad su criterio jurídico, sin el temor a que su transmisión interesada a un medio de comunicación le inhabilite o limite en el ejercicio de su función jurisdiccional. Sentar el precedente contrario tendrá consecuencias devastadoras para el normal funcionamiento interno de este Tribunal. Si se permite que una recusación pueda construirse en atención a las manifestaciones emitidas en estos actos preparatorios o preliminares de carácter reservado (ninguno de los cuales es apto para reflejar la posición jurídica de los Magistrados), lo cierto es que la libertad y riqueza del intercambio de ideas en el seno del Tribunal desaparecerá y se instalará en él la cultura de la sospecha. </w:t>
      </w:r>
    </w:p>
    <w:p w:rsidR="00CF03FA" w:rsidRDefault="00CF03FA" w:rsidP="00CF03FA">
      <w:pPr>
        <w:pStyle w:val="TextoNormal"/>
      </w:pPr>
      <w:r>
        <w:t xml:space="preserve">c) El escrito de recusación debería haber sido inadmitido de plano por ausencia de un principio de prueba. El Abogado del Estado se limita a aportar unos recortes de prensa, que carecen de validez como principio de prueba para una pretensión recusatoria (ATC 226/1988, de 16 de febrero, FJ 3). </w:t>
      </w:r>
    </w:p>
    <w:p w:rsidR="00CF03FA" w:rsidRDefault="00CF03FA" w:rsidP="00CF03FA">
      <w:pPr>
        <w:pStyle w:val="TextoNormal"/>
      </w:pPr>
      <w:r>
        <w:t xml:space="preserve">d) La recusación presentada por el Abogado del Estado tiene carácter reactivo, pues responde, según resulta de la información publicada en diversos medios de comunicación, al propósito de obtener una determinada composición del Tribunal, lo que constituye un uso desviado del instituto de la recusación que ha de ser rechazado, como este Tribunal ha declarado en el Auto de rechazo de las recusaciones presentadas por los Diputados del Grupo Parlamentario Popular (ATC 443/2007, de 27 de noviembre). </w:t>
      </w:r>
    </w:p>
    <w:p w:rsidR="00CF03FA" w:rsidRDefault="00CF03FA" w:rsidP="00CF03FA">
      <w:pPr>
        <w:pStyle w:val="TextoNormal"/>
      </w:pPr>
      <w:r>
        <w:t xml:space="preserve">e) Subsidiariamente, se alega que no es cierto que en la carta dirigida a la Exma. Sra. Presidenta del Tribunal el 22 de junio de 2007 se haya emitido opinión relativa a la supuesta inconstitucionalidad del art. 16.3 LOTC, en la redacción dada por la Ley Orgánica 6/2007, que es objeto del presente recurso de inconstitucionalidad, sino que simplemente se trata de la expresión de una crítica legítima a la actuación de la Sra. Presidenta, con petición de dimisión, una crítica al resultado a que ha conducido su interpretación sobre la eficacia retroactiva del precepto impugnado y la petición de que sea el Pleno del Tribunal el que se pronuncie sobre la cuestión. La lectura del párrafo completo de la carta al que alude el Abogado del Estado como fundamento de su recusación evidencia que no se dirige ningún reproche al precepto legal impugnado, sino a la interpretación del mismo por la Presidenta del Tribunal, que ha dado como resultado que su actual mandato haya quedado prorrogado sin que el Pleno se pronuncie al respecto. Postura que se reitera en el Voto particular formulado por los Magistrados recusados al acuerdo del Pleno gubernativo del Tribunal celebrado el 4 de julio de 2007. </w:t>
      </w:r>
    </w:p>
    <w:p w:rsidR="00CF03FA" w:rsidRDefault="00CF03FA" w:rsidP="00CF03FA">
      <w:pPr>
        <w:pStyle w:val="TextoNormal"/>
      </w:pPr>
      <w:r>
        <w:t xml:space="preserve">f) Finalmente, se exponen una serie de consideraciones finales sobre el modo en que se han tramitado las recusaciones del Gobierno y de los Diputados del Grupo Parlamentario Popular. A juicio del Magistrado Excmo. Sr. Rodríguez-Zapata, ninguno de los cinco Magistrados recusados debió intervenir en el examen de sus propias recusaciones (nemo iudex in causa sua), pero el resultado final de la irregular tramitación, alterando indebidamente el orden de resolución de las recusaciones, ha sido que mientras en el enjuiciamiento de las recusaciones formuladas por los Diputados del Grupo Parlamentario Popular han intervenido los propios recusados, por el contrario en las recusaciones formuladas por el Gobierno no intervendrán los recusados por el mismo. Por otra parte, en el enjuiciamiento de las recusaciones formuladas por los Diputados del Grupo Parlamentario Popular se admitió, antes de que se hubiera abierto la pieza de recusación, que los propios recusados presentasen un escrito negando la veracidad de los hechos en que se basaba la recusación, lo que permitió </w:t>
      </w:r>
      <w:r>
        <w:lastRenderedPageBreak/>
        <w:t xml:space="preserve">que el Pleno inadmitiese de plano la recusación (ATC 443/2007, de 27 de noviembre); un trato equivalente en el presente caso al escrito presentado el 28 de noviembre de 2007 por el Magistrado Excmo. Sr. Rodríguez-Zapata en el que declara no haber tenido ni tener en la actualidad formado criterio acerca de la constitucionalidad o inconstitucionalidad del art. 16.3 LOTC, en la redacción dada al mismo por la Ley Orgánica 6/2007, de 24 de mayo, hubiera obligado al Pleno a acordar también la inadmisión de plano de la recusación formulada por el Abogado del Estado. En fin, el Magistrado Excmo. Sr. Rodríguez-Zapata considera que la Instructora del incidente de recusación se ha apartado flagrantemente del procedimiento establecido, al haber anticipado irregularmente el periodo probatorio, incorporando de oficio a la pieza de recusación documentación interna del Tribunal, salvando así la deficiencia probatoria de que adolecía el escrito de recusación del Abogado del Estado, si bien es cierto que nada se contiene en dicha documentación que avale la pretensión recusatoria. </w:t>
      </w:r>
    </w:p>
    <w:p w:rsidR="00CF03FA" w:rsidRDefault="00CF03FA" w:rsidP="00CF03FA">
      <w:pPr>
        <w:pStyle w:val="TextoNormal"/>
      </w:pPr>
      <w:r>
        <w:t>Por medio de otrosí el Magistrado Excmo. Sr. Rodríguez-Zapata solicita el recibimiento a prueba, de carácter documental, para el caso de que no se tenga por cierto lo manifestado en el apartado D) de su escrito de alegaciones acerca de que varios medios de comunicación han expuesto que su recusación y la del Magistrado Excmo. Sr. García-Calvo responde al propósito de obtener una determinada composición del Tribunal tras las abstenciones de la Presidenta y del Vicepresidente.</w:t>
      </w:r>
    </w:p>
    <w:p w:rsidR="00CF03FA" w:rsidRDefault="00CF03FA" w:rsidP="00CF03FA">
      <w:pPr>
        <w:pStyle w:val="TextoNormal"/>
      </w:pPr>
    </w:p>
    <w:p w:rsidR="00CF03FA" w:rsidRDefault="00CF03FA" w:rsidP="00CF03FA">
      <w:pPr>
        <w:pStyle w:val="TextoNormal"/>
      </w:pPr>
      <w:r w:rsidRPr="00CF03FA">
        <w:rPr>
          <w:rStyle w:val="NumeroAFNegritaCaracter"/>
        </w:rPr>
        <w:t>13</w:t>
      </w:r>
      <w:r>
        <w:t xml:space="preserve">. El 18 de diciembre de 2007 el Magistrado Excmo. Sr. don Roberto García-Calvo y Montiel presentó el escrito de alegaciones previsto en el art. 225.2 LOPJ, afirmando en primer lugar que existe un obstáculo procesal que debería haber determinado la inadmisión inicial de la recusación, al no haberse aportado los documentos precisos para constituir un principio de prueba. El Abogado General del Estado no designó formalmente los archivos del Tribunal Constitucional de los que pretendía obtener certificaciones de la carta dirigida por los Magistrados recusados a la Presidenta del Tribunal el 22 de junio de 2007, así como del acta de la reunión del Pleno gubernativo del Tribunal celebrada el 4 de julio de 2007, ni intentó obtener copia fehaciente de tales documentos para incorporarlos a su escrito (art. 265.2.2 LEC, en relación con el art. 234.2 LOPJ, aplicables ex art. 80 LOTC), sino que se limitó a aportar recortes de prensa y a solicitar que se incorporaran en su momento a la pieza de recusación las copias de los documentos mencionados, lo que determina que el Abogado General del Estado incumpliese los requisitos formales en materia de recusación por falta de diligencia sólo a él imputable, procediendo en consecuencia el rechazo liminar de la recusación, sin que el hecho de no haberse acordado así en el trámite de admisión impida al Pleno acogerlo al dictar la resolución definitiva del incidente de recusación. </w:t>
      </w:r>
    </w:p>
    <w:p w:rsidR="00CF03FA" w:rsidRDefault="00CF03FA" w:rsidP="00CF03FA">
      <w:pPr>
        <w:pStyle w:val="TextoNormal"/>
      </w:pPr>
      <w:r>
        <w:t xml:space="preserve">Sin perjuicio de lo anterior, sostiene el Magistrado Excmo. Sr. García-Calvo que debe acordarse el rechazo de la recusación por no concurrir las causas alegadas por el Abogado General del Estado, conforme a los razonamientos que seguidamente se resumen: </w:t>
      </w:r>
    </w:p>
    <w:p w:rsidR="00CF03FA" w:rsidRDefault="00CF03FA" w:rsidP="00CF03FA">
      <w:pPr>
        <w:pStyle w:val="TextoNormal"/>
      </w:pPr>
      <w:r>
        <w:t xml:space="preserve">a) La doctrina del Tribunal Constitucional y del Tribunal Europeo de Derechos Humanos sobre la imparcialidad de los Magistrados exige como requisito inexcusable para poder apreciar una recusación que la utilización de expresiones que puedan influir en la imparcialidad (o incluso en su apariencia) de los miembros de un Tribunal haya sido realizada públicamente. No sucede así en el presente caso, pues la recusación se funda en una carta dirigida a la Presidenta de este Tribunal por los dos Magistrados recusados con carácter interno y comunicada de igual forma, para su exclusivo conocimiento, al resto de los miembros del Tribunal, cuyo objetivo era recoger las observaciones que ambos Magistrados formularon en una conversación privada mantenida en una reunión celebrada el 13 de junio de 2007 en </w:t>
      </w:r>
      <w:r>
        <w:lastRenderedPageBreak/>
        <w:t xml:space="preserve">el despacho de la Excma. Sra. Presidenta con ésta y el Excmo. Sr. Vicepresidente, a la que fueron convocados por aquélla. En dicha conversación los recusados manifestaron su discrepancia con la forma de la convocatoria, con la justificación ofrecida al respecto y con la interpretación que la Excma. Sra. Presidenta daba, cambiando su criterio inicial, sobre la reforma legislativa en relación con la prórroga de su mandato. No es admisible que unas conversaciones de los Magistrados del Tribunal mantenidas en el seno de la institución, e interesadamente filtradas a los medios de comunicación, puedan fundamentar una recusación (ATC 443/2007, de 27 de noviembre, FJ 6). </w:t>
      </w:r>
    </w:p>
    <w:p w:rsidR="00CF03FA" w:rsidRDefault="00CF03FA" w:rsidP="00CF03FA">
      <w:pPr>
        <w:pStyle w:val="TextoNormal"/>
      </w:pPr>
      <w:r>
        <w:t xml:space="preserve">b) Sin perjuicio de lo anterior, la mera lectura de la carta reservada y del Voto particular formulado al acuerdo del Pleno gubernativo del Tribunal celebrado el 4 de julio de 2007 en relación con dicha carta, permite comprobar que no se hace valoración jurisdiccional alguna sobre la reforma de la LOTC por la Ley Orgánica 6/2007, de 24 de mayo. </w:t>
      </w:r>
    </w:p>
    <w:p w:rsidR="00CF03FA" w:rsidRDefault="00CF03FA" w:rsidP="00CF03FA">
      <w:pPr>
        <w:pStyle w:val="TextoNormal"/>
      </w:pPr>
      <w:r>
        <w:t xml:space="preserve">c) Se rechaza que concurra la causa de recusación del art. 219.10 LOPJ. Es inadmisible que el Abogado General del Estado sustente su recusación en una carta que documenta conversaciones reservadas mantenidas entre Magistrados, y que ha sido indebidamente filtrada a los medios de comunicación, silenciando, por otra parte, la existencia del Voto particular al Acuerdo del Pleno gubernativo de 4 de julio de 2007 en relación con dicha carta (pese a que también los medios de comunicación se habían hecho eco de dicho Voto). Del mismo resulta inaceptable que la pretendida pérdida de imparcialidad se haga descansar en una filtración mediática y que se sugiera en el escrito de recusación una presunta connivencia de los recusados con el Grupo Parlamentario Popular que recurre la reforma legal. </w:t>
      </w:r>
    </w:p>
    <w:p w:rsidR="00CF03FA" w:rsidRDefault="00CF03FA" w:rsidP="00CF03FA">
      <w:pPr>
        <w:pStyle w:val="TextoNormal"/>
      </w:pPr>
      <w:r>
        <w:t xml:space="preserve">d) Se rechaza asimismo que concurra la causa de recusación del art. 219.13 LOPJ. La argumentación del Abogado General del Estado en este punto, además de insidiosa, por afirmar una supuesta connivencia de los recusados con el Grupo Parlamentario Popular, resulta por completo inconsistente. </w:t>
      </w:r>
    </w:p>
    <w:p w:rsidR="00CF03FA" w:rsidRDefault="00CF03FA" w:rsidP="00CF03FA">
      <w:pPr>
        <w:pStyle w:val="TextoNormal"/>
      </w:pPr>
      <w:r>
        <w:t>e) Se rechaza, en fin, que concurra la causa de recusación del art. 219.16 LOPJ, pues el mero planteamiento de esta causa de recusación, basándose en actuaciones desarrolladas por los Magistrados recusados en el ejercicio de sus funciones, supone desconocer la doctrina constitucional sobre la aplicación de esta causa de recusación.</w:t>
      </w:r>
    </w:p>
    <w:p w:rsidR="00CF03FA" w:rsidRDefault="00CF03FA" w:rsidP="00CF03FA">
      <w:pPr>
        <w:pStyle w:val="TextoNormal"/>
      </w:pPr>
    </w:p>
    <w:p w:rsidR="00CF03FA" w:rsidRDefault="00CF03FA" w:rsidP="00CF03FA">
      <w:pPr>
        <w:pStyle w:val="TextoNormal"/>
      </w:pPr>
      <w:r w:rsidRPr="00CF03FA">
        <w:rPr>
          <w:rStyle w:val="NumeroAFNegritaCaracter"/>
        </w:rPr>
        <w:t>14</w:t>
      </w:r>
      <w:r>
        <w:t>. Por Auto de 21 de diciembre de 2007 la Instructora del incidente acordó admitir a trámite la recusación propuesta por el Abogado General del Estado contra los Magistrados Excmos. Sres. García-Calvo y Montiel y Rodríguez-Zapata Pérez, y no estimando necesario el recibimiento a prueba del incidente, declarar concluida la instrucción de la recusación, elevando las actuaciones al Pleno de este Tribunal para la resolución del incidente (art. 225.3 LOPJ, en relación con el art. 80 LOTC).</w:t>
      </w:r>
    </w:p>
    <w:p w:rsidR="00CF03FA" w:rsidRDefault="00CF03FA" w:rsidP="00CF03FA">
      <w:pPr>
        <w:pStyle w:val="TextoNormal"/>
      </w:pPr>
    </w:p>
    <w:p w:rsidR="00CF03FA" w:rsidRDefault="00CF03FA" w:rsidP="00CF03FA">
      <w:pPr>
        <w:pStyle w:val="TextoNormal"/>
      </w:pPr>
      <w:r w:rsidRPr="00CF03FA">
        <w:rPr>
          <w:rStyle w:val="NumeroAFNegritaCaracter"/>
        </w:rPr>
        <w:t>15</w:t>
      </w:r>
      <w:r>
        <w:t>. Por providencia del Pleno de 10 de enero de 2008 se acordó tener por recibida la pieza de recusación y, de conformidad con lo dispuesto en los arts. 10 k) y 80 LOTC, en relación con los arts. 109.3, párrafo 2, LEC, y 225.3, párrafo 3, LOPJ, dar traslado de las actuaciones al Ministerio Fiscal por plazo de tres días, a fin de que emita informe sobre el presente incidente de recusación.</w:t>
      </w:r>
    </w:p>
    <w:p w:rsidR="00CF03FA" w:rsidRDefault="00CF03FA" w:rsidP="00CF03FA">
      <w:pPr>
        <w:pStyle w:val="TextoNormal"/>
      </w:pPr>
    </w:p>
    <w:p w:rsidR="00CF03FA" w:rsidRDefault="00CF03FA" w:rsidP="00CF03FA">
      <w:pPr>
        <w:pStyle w:val="TextoNormal"/>
      </w:pPr>
      <w:r w:rsidRPr="00CF03FA">
        <w:rPr>
          <w:rStyle w:val="NumeroAFNegritaCaracter"/>
        </w:rPr>
        <w:t>16</w:t>
      </w:r>
      <w:r>
        <w:t xml:space="preserve">. El Ministerio Fiscal presentó su escrito de alegaciones el 29 de enero de 2008 en el Registro General de este Tribunal. </w:t>
      </w:r>
    </w:p>
    <w:p w:rsidR="00CF03FA" w:rsidRDefault="00CF03FA" w:rsidP="00CF03FA">
      <w:pPr>
        <w:pStyle w:val="TextoNormal"/>
      </w:pPr>
      <w:r>
        <w:t xml:space="preserve">Sostiene el Ministerio Fiscal que la causa de recusación del art. 219.13 LOPJ ha de ser desestimada, porque no concurre el presupuesto exigido por la misma, esto es, que quien es </w:t>
      </w:r>
      <w:r>
        <w:lastRenderedPageBreak/>
        <w:t xml:space="preserve">recusado como Magistrado del Tribunal Constitucional haya antes ocupado otro cargo, profesión o empleo distinto en el que en el que haya tenido ocasión de participar en el asunto que ahora debe enjuiciar como Magistrado del Tribunal Constitucional (ATC 26/2007, de 5 de febrero). </w:t>
      </w:r>
    </w:p>
    <w:p w:rsidR="00CF03FA" w:rsidRDefault="00CF03FA" w:rsidP="00CF03FA">
      <w:pPr>
        <w:pStyle w:val="TextoNormal"/>
      </w:pPr>
      <w:r>
        <w:t xml:space="preserve">Igual suerte desestimatoria ha de correr, a juicio del Fiscal, la causa de recusación del art. 219.16 LOPJ, toda vez que la distinción entre funciones gubernativas y jurisdiccionales de los Magistrados del Tribunal Constitucional resulta inoperante a estos efectos, pues para que pueda apreciarse dicha causa de recusación es necesario (ATC 80/2005, de 17 de febrero) que quien ahora es recusado como Magistrado del Tribunal Constitucional haya tomado conocimiento del objeto de litigio con anterioridad a su nombramiento como tal, es decir, mientras desempeñaba un cargo público o administrativo con anterioridad a su nombramiento como Magistrado del Tribunal Constitucional, lo que no acontece en el presente caso. </w:t>
      </w:r>
    </w:p>
    <w:p w:rsidR="00CF03FA" w:rsidRDefault="00CF03FA" w:rsidP="00CF03FA">
      <w:pPr>
        <w:pStyle w:val="TextoNormal"/>
      </w:pPr>
      <w:r>
        <w:t xml:space="preserve">Por el contrario, considera el Ministerio Fiscal que ha de estimarse que concurre en los Magistrados Excmos. Sres. don Roberto García-Calvo y Montiel y don Jorge Rodríguez-Zapata Pérez la causa de recusación del art. 219.10 LOPJ (“tener interés directo o indirecto en el pleito o causa”). Tras referirse a la doctrina de este Tribunal y del Tribunal Europeo de Derechos Humanos sobre el derecho a la imparcialidad del Juzgador y la recusación como medio legal para garantizarla, procede el Fiscal a examinar el escrito dirigido por los dos Magistrados recusados a la Presidenta del Tribunal Constitucional el 22 de junio de 2007, en el que se fundamenta por el Abogado General del Estado la causa de recusación, llegando a las conclusiones que seguidamente se resumen. </w:t>
      </w:r>
    </w:p>
    <w:p w:rsidR="00CF03FA" w:rsidRDefault="00CF03FA" w:rsidP="00CF03FA">
      <w:pPr>
        <w:pStyle w:val="TextoNormal"/>
      </w:pPr>
      <w:r>
        <w:t xml:space="preserve">Por lo que se refiere al contenido del escrito, advierte el Fiscal que si bien la frase que señala como prioritaria la Abogacía del Estado para fundamentar su recusación (“dejamos constancia de nuevo en este escrito de nuestra más profunda discrepancia tanto con la forma … como con el contenido de la explicación que se nos ofreció y con el resultado de la reforma en el punto relativo a la prórroga del mandato actual como Presidenta y Vicepresidente del Tribunal, respectivamente”) pudiera parecer que no indica por sí sola la anticipación de una opinión de los Magistrados recusados sobre la posible inconstitucionalidad del precepto controvertido (art. 16.3 LOTC reformado), en cuanto cabría interpretarla como referida únicamente a la aplicación, en legalidad ordinaria, de dicho precepto a la prórroga del mandato de los actuales Presidenta y Vicepresidente del Tribunal, sin embargo una lectura completa y detenida del escrito conduce a distinta conclusión. </w:t>
      </w:r>
    </w:p>
    <w:p w:rsidR="00CF03FA" w:rsidRDefault="00CF03FA" w:rsidP="00CF03FA">
      <w:pPr>
        <w:pStyle w:val="TextoNormal"/>
      </w:pPr>
      <w:r>
        <w:t xml:space="preserve">En efecto, dicen los recusados en el tercer párrafo de su escrito que la irregularidad de la permanencia en sus cargos de la Presidenta y el Vicepresidente del Tribunal tras expirar su mandato el 16 de junio de 2007 “se acrecienta al no haber tomado el Pleno de este Tribunal en tiempo adecuado decisión alguna al respecto como único órgano competente para proceder sobre tal extremo según el ya citado precepto del Texto Constitucional” (art. 160 CE); y también afirman (párrafo cuarto) que la Ley Orgánica 6/2007, de reforma de la LOTC, “no ofrece cobertura para ello. Además de entrar en vigor inmediatamente sin periodo de vacatio legis tampoco se refiere en su Exposición de motivos ni expresa ni tácitamente … a la reforma introducida en el párrafo 3º del art. 16”. Asimismo aseveran (párrafo quinto, punto 2, del escrito) “que el artículo 160 de la Carta Magna atribuye con absoluta exclusividad al Pleno del Tribunal la elección de su Presidente por un concreto mandato de tres años” y que cuando ha existido en el pasado prórroga del mandato de algunos de los Presidentes del Tribunal “fue el Pleno quien lo acordó, como no podía ser de otra manera y a virtud de los preceptuado en el referido art. 160 en relación con el art. 9.3 LOTC, incluso en su versión reformada por la Ley Orgánica 6/2007, de 24 de mayo”. </w:t>
      </w:r>
    </w:p>
    <w:p w:rsidR="00CF03FA" w:rsidRDefault="00CF03FA" w:rsidP="00CF03FA">
      <w:pPr>
        <w:pStyle w:val="TextoNormal"/>
      </w:pPr>
      <w:r>
        <w:lastRenderedPageBreak/>
        <w:t xml:space="preserve">En opinión del Fiscal, lo que los Magistrados recusados vienen a afirmar en su escrito es que sólo al Pleno del Tribunal Constitucional corresponde, de conformidad con los arts. 160 CE y 9.3 LOTC, antes y después de la reforma de 2007, tanto la elección del Presidente y Vicepresidente del Tribunal, como la prórroga de sus mandatos, y por ello piden al Pleno que se pronuncie confrontando o interpretando el reformado art. 16.3 LOTC con el art. 160 CE, lo que constituye justamente el objeto del recurso de inconstitucionalidad planteado contra el nuevo art. 16.3 LOTC. Que en su Voto particular al Acuerdo del Pleno del Tribunal Constitucional de 4 de julio de 2007, en relación con dicho escrito, los Magistrados recusados aclarasen que no pretendían en ningún momento suscitar un problema de constitucionalidad, sino que se limitaron a manifestar su opinión contraria a que el reformado art. 16.3 LOTC fuese de aplicación a la prórroga del mandato de los actuales Presidenta y Vicepresidente, porque entendían que ello significa dar vigencia retroactiva a la Ley Orgánica 6/2007, lo que constituye un problema de estricta aplicación de la LOTC, es irrelevante a los efectos que nos ocupan, a juicio del Fiscal, porque lo determinante es que el escrito inicial, dirigido por los recusados a la Presidenta del Tribunal el 22 de junio de 2007, ha creado legítimamente en el recusante una apariencia de toma de postura de los Magistrados recusados, suficiente para justificar la invocación de la causa de recusación del art. 219.10 LOPJ, en relación con los arts. 22 y 80 LOTC. </w:t>
      </w:r>
    </w:p>
    <w:p w:rsidR="00CF03FA" w:rsidRDefault="00CF03FA" w:rsidP="00CF03FA">
      <w:pPr>
        <w:pStyle w:val="TextoNormal"/>
      </w:pPr>
      <w:r>
        <w:t xml:space="preserve">Por lo que se refiere a la relación próxima de la opinión manifestada por los recusados en su escrito de 22 de junio de 2007 y el objeto del proceso, entiende el Fiscal que resulta inobjetable, pues entre los motivos del recurso de inconstitucionalidad en el que se ha planteado esta recusación se encuentra el relativo a la supuesta vulneración del art. 160 CE por la nueva redacción del art. 16.3 LOTC dada por la Ley Orgánica 6/2007, de 24 de mayo, concretamente en lo referente a la prórroga del mandato del Presidente del Tribunal, que es cabalmente el punto de controversia mantenido por los Magistrados recusados en su escrito. Por otra parte, en la fecha en que se emite dicho escrito era previsible que el Grupo Parlamentario Popular presentaría recurso de inconstitucionalidad contra el art. 16.3 LOTC reformado por la Ley Orgánica 6/2007 (como así lo hizo, en efecto, el 27 de julio siguiente), puesto que ya se había publicado la disconformidad de dicho Grupo con la reforma en cuestión. </w:t>
      </w:r>
    </w:p>
    <w:p w:rsidR="00CF03FA" w:rsidRDefault="00CF03FA" w:rsidP="00CF03FA">
      <w:pPr>
        <w:pStyle w:val="TextoNormal"/>
      </w:pPr>
      <w:r>
        <w:t xml:space="preserve">Ha de tenerse en cuenta además —continúa el Fiscal— que, a diferencia del supuesto contemplado en el ATC 443/2007, de 27 de noviembre, en el que se trataba de conversaciones entre los Magistrados (después no acreditadas en el contenido que se indicaba por los recusantes), insuficientes para fundamentar una recusación, en el presente caso estamos ante un auténtico acto formal e institucional, presentado documentalmente por escrito el 22 de junio de 2007 ante la Secretaria de Justicia de Pleno para su entrega a la Presidenta del Tribunal, solicitando la convocatoria de un Pleno para adoptar una resolución que afecta a la composición misma del Tribunal y que exige al menos la interpretación del reformado art. 16.3 LOTC a la luz de lo dispuesto en el art. 160 CE. Es pues, un acto con consecuencias oficiales previsibles, pues el escrito de los recusados, en el que expresan de forma firme y contundente su postura sobre el precepto reformado, provoca la celebración del Pleno de 4 de julio de 2007, a cuya acta quedó aquel escrito unido, resolviéndose no tomar el mismo en consideración. En tal sentido, concluye el Fiscal, carece de relevancia que el escrito haya sido filtrado a los medios de comunicación, pues lo determinante a los efectos que aquí interesan no es la publicidad del escrito ni lo insólito de la filtración, sino el carácter oficial del documento, su formalización y la finalidad del mismo. </w:t>
      </w:r>
    </w:p>
    <w:p w:rsidR="00CF03FA" w:rsidRDefault="00CF03FA" w:rsidP="00CF03FA">
      <w:pPr>
        <w:pStyle w:val="TextoNormal"/>
      </w:pPr>
      <w:r>
        <w:lastRenderedPageBreak/>
        <w:t>Por todo ello, el Fiscal considera que debe estimarse la recusación presentada respecto de los Magistrados Excmos. Sres. don Roberto García-Calvo y Montiel y don Jorge Rodríguez-Zapata Pérez.</w:t>
      </w:r>
    </w:p>
    <w:p w:rsidR="00CF03FA" w:rsidRDefault="00CF03FA" w:rsidP="00CF03FA">
      <w:pPr>
        <w:pStyle w:val="TextoNormal"/>
      </w:pPr>
    </w:p>
    <w:p w:rsidR="00CF03FA" w:rsidRDefault="00CF03FA" w:rsidP="00CF03FA">
      <w:pPr>
        <w:pStyle w:val="TextoNormal"/>
      </w:pPr>
      <w:r w:rsidRPr="00CF03FA">
        <w:rPr>
          <w:rStyle w:val="NumeroAFNegritaCaracter"/>
        </w:rPr>
        <w:t>17</w:t>
      </w:r>
      <w:r>
        <w:t>. Con fecha 10 de marzo de 2008 el Excmo. Sr. Magistrado don Jorge Rodríguez-Zapata Pérez presenta en la Secretaría de Justicia del Pleno del Tribunal un escrito dirigido al Pleno que ha de resolver su recusación solicitando la abstención de todos los Magistrados que lo componen. Por diligencia de dicha Secretaría de Justicia de la misma fecha se da fe de esa entrega y se da cuenta del escrito mediante entrega de copia del mismo a los Magistrados.</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Respecto del escrito presentado por el Excmo. Sr. Magistrado don Jorge Rodríguez-Zapata Pérez, citado en el último antecedente de este Auto, dado que no es competencia del Pleno promover la presentación de abstenciones, pues ello pertenece a la libre decisión personal de los Magistrados, sino sólo aceptar o rechazar las abstenciones que se formulasen, cosa que en este momento no ha sucedido, nada hay que resolver sobre lo que en dicho escrito se interesa.</w:t>
      </w:r>
    </w:p>
    <w:p w:rsidR="00CF03FA" w:rsidRDefault="00CF03FA" w:rsidP="00CF03FA">
      <w:pPr>
        <w:pStyle w:val="TextoNormal"/>
      </w:pPr>
    </w:p>
    <w:p w:rsidR="00CF03FA" w:rsidRDefault="00CF03FA" w:rsidP="00CF03FA">
      <w:pPr>
        <w:pStyle w:val="TextoNormal"/>
      </w:pPr>
      <w:r w:rsidRPr="00CF03FA">
        <w:rPr>
          <w:rStyle w:val="NumeroAFNegritaCaracter"/>
        </w:rPr>
        <w:t>2</w:t>
      </w:r>
      <w:r>
        <w:t>. Una vez dilucidado lo anterior, debemos recordar que el art. 165 CE remite a la Ley Orgánica del Tribunal Constitucional (LOTC) la regulación, entre otros extremos, del funcionamiento de este Tribunal y del estatuto de sus miembros. Por su parte, el art. 22 LOTC dispone que sus Magistrados ejercerán su función de acuerdo, entre otros principios, con el de imparcialidad, a cuyo aseguramiento obedecen precisamente las causas de recusación y abstención.</w:t>
      </w:r>
    </w:p>
    <w:p w:rsidR="00CF03FA" w:rsidRDefault="00CF03FA" w:rsidP="00CF03FA">
      <w:pPr>
        <w:pStyle w:val="TextoNormal"/>
      </w:pPr>
      <w:r>
        <w:t>A diferencia de lo que acontece en otros ordenamientos, nuestra Ley Orgánica no regula por sí misma las causas de recusación de los Magistrados del Tribunal, sino que se remite a las que son aplicables a los Jueces y Magistrados de la jurisdicción ordinaria. Se diferencia en este extremo de lo que acontece en otros sistemas, en los que su propia Ley reguladora establece previsiones específicas para la abstención o recusación de los Magistrados del Tribunal Constitucional, adaptadas a la naturaleza singular de esta institución de garantía constitucional, como, por todos, ocurre con los arts. 18 y 19 de la Ley reguladora del Tribunal Constitucional federal alemán.</w:t>
      </w:r>
    </w:p>
    <w:p w:rsidR="00CF03FA" w:rsidRDefault="00CF03FA" w:rsidP="00CF03FA">
      <w:pPr>
        <w:pStyle w:val="TextoNormal"/>
      </w:pPr>
      <w:r>
        <w:t>En efecto, el art. 80 LOTC se remite, a falta de una regulación expresa, a la Ley Orgánica del Poder Judicial (LOPJ) y a la Ley de enjuiciamiento civil (LEC). Así pues, y en virtud, a su vez, de la remisión del art. 99.2 LEC a la LOPJ, las causas de abstención y de recusación de los Magistrados del Tribunal Constitucional son, en la actualidad, las enumeradas en el art. 219 LOPJ, en la redacción establecida por la Ley Orgánica 19/2003, de 23 de diciembre.</w:t>
      </w:r>
    </w:p>
    <w:p w:rsidR="00CF03FA" w:rsidRDefault="00CF03FA" w:rsidP="00CF03FA">
      <w:pPr>
        <w:pStyle w:val="TextoNormal"/>
      </w:pPr>
      <w:r>
        <w:t xml:space="preserve">Ahora bien, la naturaleza singular de este Tribunal y de los procesos constitucionales a él sometidos nos ha llevado a una jurisprudencia muy rigurosa en la apreciación de las causas de recusación y abstención de que se trata. Hemos afirmado, así, que la enumeración establecida actualmente en el art. 219 LOPJ es taxativa y de carácter cerrado, de suerte que “los motivos de recusación han de subsumirse necesariamente en algunos de aquellos supuestos que la ley define como tales” (SSTC 69/2001, de 17 de marzo, FJ 21, y 157/1993, de 6 de mayo, FJ 1, citadas en ATC 61/2003, de 19 de febrero, FJ 1). Por otra parte en el escrito en el que se proponga una recusación se debe expresar “concreta y claramente la </w:t>
      </w:r>
      <w:r>
        <w:lastRenderedPageBreak/>
        <w:t>causa de recusación” prevista por la ley, sin que “baste afirmar un motivo de recusación; es preciso expresar los hechos concretos en que la parte funde tal afirmación y que estos hechos constituyan —en principio— los que configuran la causa invocada” (ATC 109/1981, de 30 de octubre, FJ 2; en el mismo sentido, AATC 115/2002, de 10 de julio, F J 1; 80/2005, de 17 de febrero, FJ 3, 454/2006, de 12 de diciembre, FJ 3, y 26/2007, de 5 de febrero, FJ 2).</w:t>
      </w:r>
    </w:p>
    <w:p w:rsidR="00CF03FA" w:rsidRDefault="00CF03FA" w:rsidP="00CF03FA">
      <w:pPr>
        <w:pStyle w:val="TextoNormal"/>
      </w:pPr>
      <w:r>
        <w:t>Nuestra jurisprudencia también ha destacado que la composición específica de este Tribunal Constitucional, cuyos Magistrados no son susceptibles de sustitución, conduce a una interpretación estricta o no extensiva de las causas de recusación o abstención previstas en la LOPJ (STC 162/1999, de 27 de septiembre, FJ 8). En efecto, “en la medida en que las causas de recusación permiten apartar del caso al juez predeterminado por la ley, la interpretación de su ámbito ha de ser restrictiva y vinculada al contenido del derecho a un juez imparcial”, “interpretación restrictiva que se impone mas aún respecto de un órgano, como es el Tribunal Constitucional cuyos miembros no pueden ser objeto de sustitución” (AATC 394/2006, de 7 de noviembre, FJ 2, 383/2006, de 2 de noviembre, FJ 3, 26/2007, de 5 de febrero, FJ 2, y 387/2007, de 16 de octubre, FJ 4). En suma, “existe un interés constitucional prevalente en mantener, salvo que resulte imposible, la composición del Pleno de este Tribunal en los términos establecidos directa y categóricamente por la propia Constitución, en su art. 159” (AATC 456/2006, de 14 de diciembre, FJ 2, 289/2007, de 19 de junio, FJ 2, y 387/2007, de 16 de octubre, FJ 2). De ahí que también hayamos destacado, vinculada con la imposibilidad de sustitución de los Magistrados del Tribunal Constitucional, la necesidad de que la aplicación del régimen de recusación y abstención no conduzca a resultados absurdos y gravemente perturbadores al alzarse como un obstáculo insalvable para que el Tribunal Constitucional cumpla las funciones que constitucionalmente tiene asignadas por imposibilidad de quedar legalmente conformado (AATC 80/2005, de 17 de febrero, FJ 4, 26/2007, de 5 de febrero, FJ 2, y 387/2007, de 16 de octubre, FJ 2)</w:t>
      </w:r>
    </w:p>
    <w:p w:rsidR="00CF03FA" w:rsidRDefault="00CF03FA" w:rsidP="00CF03FA">
      <w:pPr>
        <w:pStyle w:val="TextoNormal"/>
      </w:pPr>
    </w:p>
    <w:p w:rsidR="00CF03FA" w:rsidRDefault="00CF03FA" w:rsidP="00CF03FA">
      <w:pPr>
        <w:pStyle w:val="TextoNormal"/>
      </w:pPr>
      <w:r w:rsidRPr="00CF03FA">
        <w:rPr>
          <w:rStyle w:val="NumeroAFNegritaCaracter"/>
        </w:rPr>
        <w:t>3</w:t>
      </w:r>
      <w:r>
        <w:t>. Antes de entrar a examinar las concretas causas de recusación invocadas por el Abogado General del Estado debemos resolver la cuestión preliminar planteada en su escrito de alegaciones por el Comisionado, quien interesa que, para resolver este incidente de recusación, el Pleno esté formado por los diez Magistrados restantes tras estimar este Tribunal justificadas las abstenciones de la Presidenta y del Vicepresidente (ATC 387/2007, de 16 de octubre), incluidos, por tanto, los Magistrados recusados por el Gobierno, al igual que ha sucedido en las recusaciones de los Magistrados Excmos. Sres. Aragón Reyes, Sala Sánchez, y Pérez Tremps, formuladas en este mismo recurso de inconstitucionalidad por dicho Comisionado, e inadmitidas por ATC 443/2007, de 27 de noviembre.</w:t>
      </w:r>
    </w:p>
    <w:p w:rsidR="00CF03FA" w:rsidRDefault="00CF03FA" w:rsidP="00CF03FA">
      <w:pPr>
        <w:pStyle w:val="TextoNormal"/>
      </w:pPr>
      <w:r>
        <w:t>En relación con lo anterior, el Magistrado recusado Excmo. Sr. Rodríguez-Zapata manifiesta en sus alegaciones que se ha producido una irregular tramitación de las recusaciones formuladas en este recurso de inconstitucionalidad, alterando incluso el orden cronológico de tramitación, lo que ha propiciado finalmente el resultado de que mientras en la resolución de las recusaciones formuladas por los Diputados del Grupo Parlamentario Popular hayan intervenido los propios Magistrados recusados, por el contrario en resolución de las recusaciones formuladas por el Gobierno no intervengan los Magistrados recusados por éste, cuando lo correcto habría sido que ninguno de los cinco Magistrados recusados hubiese intervenido en el examen de sus propias recusaciones (nemo iudex in causa sua).</w:t>
      </w:r>
    </w:p>
    <w:p w:rsidR="00CF03FA" w:rsidRDefault="00CF03FA" w:rsidP="00CF03FA">
      <w:pPr>
        <w:pStyle w:val="TextoNormal"/>
      </w:pPr>
      <w:r>
        <w:t xml:space="preserve">Pues bien, en cuanto a la composición del Pleno para resolver las recusaciones de los Magistrados Excmos. Sres. García-Calvo y Rodríguez-Zapata, así como sobre la decisión de tramitar estas recusaciones después de las formuladas respecto de otros tres Magistrados, hemos de estar a lo resuelto por nuestro ATC 443/2007, de 27 de noviembre, FFJJ 1 a 4, al </w:t>
      </w:r>
      <w:r>
        <w:lastRenderedPageBreak/>
        <w:t>que procede remitirse, y en el que se reconoció la plena validez tanto de la composición del Pleno como del orden de la tramitación de las recusaciones.</w:t>
      </w:r>
    </w:p>
    <w:p w:rsidR="00CF03FA" w:rsidRDefault="00CF03FA" w:rsidP="00CF03FA">
      <w:pPr>
        <w:pStyle w:val="TextoNormal"/>
      </w:pPr>
    </w:p>
    <w:p w:rsidR="00CF03FA" w:rsidRDefault="00CF03FA" w:rsidP="00CF03FA">
      <w:pPr>
        <w:pStyle w:val="TextoNormal"/>
      </w:pPr>
      <w:r w:rsidRPr="00CF03FA">
        <w:rPr>
          <w:rStyle w:val="NumeroAFNegritaCaracter"/>
        </w:rPr>
        <w:t>4</w:t>
      </w:r>
      <w:r>
        <w:t>. Coinciden los Magistrados recusados en afirmar en su escrito de alegaciones que el escrito de recusación debe ser rechazado de plano por ausencia de un principio de prueba, toda vez que el Abogado General del Estado se limita a aportar unos recortes de prensa, que carecen de validez como principio de prueba para una pretensión recusatoria, sin que sea admisible a estos efectos, en opinión del Magistrado Excmo. Sr. García-Calvo, que el Abogado General del Estado solicitase que se incorporaran en su momento a la pieza de recusación las copias de los documentos mencionados en su escrito (carta dirigida por los Magistrados recusados a la Presidenta del Tribunal el 22 de junio de 2007, y acta de la reunión del Pleno gubernativo del Tribunal celebrada el 4 de julio de 2007), pues, a juicio del recusado, era obligado que hubiese intentado obtener copia fehaciente de dichos documentos para incorporarlos al escrito de recusación, de conformidad con los arts. 265.2.2 LEC y 234.2 LOPJ, aplicables ex art.  80 LOTC. En el mismo sentido, el Magistrado Excmo. Sr. Rodríguez-Zapata considera que la Instructora del incidente de recusación se ha apartado del procedimiento establecido, al haber incorporado de oficio a la pieza de recusación documentación interna del Tribunal, salvando así la deficiencia probatoria de que adolecía el escrito de recusación del Abogado General del Estado.</w:t>
      </w:r>
    </w:p>
    <w:p w:rsidR="00CF03FA" w:rsidRDefault="00CF03FA" w:rsidP="00CF03FA">
      <w:pPr>
        <w:pStyle w:val="TextoNormal"/>
      </w:pPr>
      <w:r>
        <w:t>Es doctrina constitucional que para que la recusación de Magistrados de este Tribunal “pueda dar lugar a la apertura del correspondiente incidente y no se vea rechazada a limine, la petición de la parte, además de proponerse tan pronto como se tenga conocimiento de la causa en que se funde (art. 223.1 LOPJ) y ajustarse a los requisitos formales previstos, entre otros, en el art. 223.2 LOPJ, debe concretar de forma clara una causa de recusación de las previstas legalmente, con expresión de los motivos en que se funda y acompañando un principio de prueba sobre los mismos” (AATC 195/2003, de 12 de junio, FJ único, y 443/2007, FJ 6).</w:t>
      </w:r>
    </w:p>
    <w:p w:rsidR="00CF03FA" w:rsidRDefault="00CF03FA" w:rsidP="00CF03FA">
      <w:pPr>
        <w:pStyle w:val="TextoNormal"/>
      </w:pPr>
      <w:r>
        <w:t>Las informaciones periodísticas pueden constituir un principio de prueba sobre las causas de recusación que se invoquen, a efectos de la admisión a trámite de la recusación formulada, sin perjuicio de que para que la recusación sea finalmente estimada, en su caso, no es suficiente con la aportación de dichas informaciones, sino que es necesario que durante la tramitación del incidente resulte acreditada la causa de recusación que se deduce de esa información (ATC 226/1988, de 16 de febrero, FJ 3). De ahí que en el citado ATC 443/2007, FJ 6, este Tribunal haya inadmitido la recusación por no aportación de un principio de prueba en que se sustente la recusación formulada, pero no porque el escrito de recusación se fundase exclusivamente en la información periodística publicada en un diario de tirada nacional, sino porque dicha información, que habría tenido por objeto una conversación interna entre Magistrados del Tribunal durante una reunión celebrada en su sede (siendo así que, con carácter general, las conversaciones mantenidas por los Magistrados en el seno de este Tribunal no son datos de hecho suficientes para basar una recusación), resultó rotundamente desmentida, ya que quedó plenamente acreditado que tal información periodística no se correspondía con la realidad, dejando así a la recusación privada por completo de la necesaria e imprescindible fundamentación fáctica a limine.</w:t>
      </w:r>
    </w:p>
    <w:p w:rsidR="00CF03FA" w:rsidRDefault="00CF03FA" w:rsidP="00CF03FA">
      <w:pPr>
        <w:pStyle w:val="TextoNormal"/>
      </w:pPr>
      <w:r>
        <w:t xml:space="preserve">A diferencia de lo anterior, en el presente caso la información periodística que acompaña el Abogado General del Estado a su escrito de recusación se refiere al escrito dirigido por los Magistrados recusados a la Presidenta del Tribunal Constitucional el 22 de junio de 2007, así como al Acuerdo adoptado por el Pleno gubernativo en su reunión de 4 de julio de 2007 en relación con el referido escrito, documentos efectivamente existentes, por lo que </w:t>
      </w:r>
      <w:r>
        <w:lastRenderedPageBreak/>
        <w:t>no puede negarse que el escrito de recusación haya cumplido el requisito de aportar un principio de prueba sobre los motivos en que se fundamenta la recusación (art. 223.2 LOPJ).</w:t>
      </w:r>
    </w:p>
    <w:p w:rsidR="00CF03FA" w:rsidRDefault="00CF03FA" w:rsidP="00CF03FA">
      <w:pPr>
        <w:pStyle w:val="TextoNormal"/>
      </w:pPr>
      <w:r>
        <w:t>Por otra parte, nada hay que objetar a la decisión de la Instructora del incidente de recusación de incorporar al mismo copia certificada de los expedientes gubernativos tramitados con motivo del escrito dirigido por los Magistrados recusados a la Presidenta de este Tribunal, dando traslado de los mismos, mediante copia, a todas las partes personadas. Tal decisión entra dentro de las competencias de la Instructora del incidente de recusación (art. 225.3, párrafo segundo, LOPJ) y resulta idónea para la finalidad perseguida con la tramitación de la pieza separada de recusación, que no es otra que la de poner a disposición del Pleno los elementos de juicio necesario para la resolución de las recusaciones formuladas.</w:t>
      </w:r>
    </w:p>
    <w:p w:rsidR="00CF03FA" w:rsidRDefault="00CF03FA" w:rsidP="00CF03FA">
      <w:pPr>
        <w:pStyle w:val="TextoNormal"/>
      </w:pPr>
    </w:p>
    <w:p w:rsidR="00CF03FA" w:rsidRDefault="00CF03FA" w:rsidP="00CF03FA">
      <w:pPr>
        <w:pStyle w:val="TextoNormal"/>
      </w:pPr>
      <w:r w:rsidRPr="00CF03FA">
        <w:rPr>
          <w:rStyle w:val="NumeroAFNegritaCaracter"/>
        </w:rPr>
        <w:t>5</w:t>
      </w:r>
      <w:r>
        <w:t>. Entrando ya en el examen de las causas de recusación formuladas, hemos de comenzar por descartar, como señala el Ministerio Fiscal, que concurra en los Magistrados la causa prevista en el art. 219.13 LOPJ (“haber ocupado cargo público, desempeñado empleo o ejercido profesión con ocasión de los cuales haya participado directa o indirectamente en el asunto objeto del pleito o causa o en otro relacionado con el mismo”). El Abogado General del Estado efectúa una interpretación forzada de dicho precepto, que no se compadece con nuestra reiterada doctrina, en cuanto demanda una interpretación estricta o no extensiva de las causas de recusación o abstención previstas en la Ley Orgánica del Poder Judicial, como ha quedado señalado.</w:t>
      </w:r>
    </w:p>
    <w:p w:rsidR="00CF03FA" w:rsidRDefault="00CF03FA" w:rsidP="00CF03FA">
      <w:pPr>
        <w:pStyle w:val="TextoNormal"/>
      </w:pPr>
      <w:r>
        <w:t>En efecto, la causa prevista en el art. 219.13 LOPJ, creada por la Ley Orgánica 19/2003, de 23 de diciembre, se refiere a supuestos en los que el Juez o Magistrado, antes de su nombramiento como tal, haya ocupado cargo público, desempeñado empleo o ejercido profesión con ocasión de los cuales haya participado directa o indirectamente en el propio asunto objeto del proceso o en otro que esté relacionado con el mismo, aun de manera ocasional (AATC 80/2005, de 17 de febrero, FJ 4, y 26/2007, de 5 de febrero, FJ 8, por todos). No es ésta, sin embargo, la situación que aquí se contempla, en la que las opiniones expresadas por los Magistrados recusados en la carta dirigida a la Presidenta del Tribunal el 22 de junio de 2007, no han sido efectuadas antes de su nombramiento como Magistrados del Tribunal Constitucional, sino que lo han sido en su condición de tales, sin que quepa admitir a estos efectos la disociación entre funciones jurisdiccionales y gubernativas que sustenta el Abogado del Estado para formular esta causa de recusación, pues el art. 219.13 LOPJ, que no consiente una interpretación extensiva, alude a cargos, empleos o profesiones ejercidos previamente al acceso a la condición de Magistrados de este Tribunal.</w:t>
      </w:r>
    </w:p>
    <w:p w:rsidR="00CF03FA" w:rsidRDefault="00CF03FA" w:rsidP="00CF03FA">
      <w:pPr>
        <w:pStyle w:val="TextoNormal"/>
      </w:pPr>
    </w:p>
    <w:p w:rsidR="00CF03FA" w:rsidRDefault="00CF03FA" w:rsidP="00CF03FA">
      <w:pPr>
        <w:pStyle w:val="TextoNormal"/>
      </w:pPr>
      <w:r w:rsidRPr="00CF03FA">
        <w:rPr>
          <w:rStyle w:val="NumeroAFNegritaCaracter"/>
        </w:rPr>
        <w:t>6</w:t>
      </w:r>
      <w:r>
        <w:t>. Del mismo modo debemos descartar, como igualmente razona el Ministerio Fiscal, que concurra la causa prevista en el art. 219.16 LOPJ (“haber ocupado el Juez o Magistrado cargo público o administrativo con ocasión del cual haya podido tener conocimiento del objeto del litigio y formar criterio en detrimento de la debida imparcialidad”), debiendo recordar, como señalamos en el ATC 18/2006, de 24 de enero, FJ 3, que si la causa 13 del art. 219 LOPJ permite apartar al Juez o Magistrado que ha tomado parte en los hechos enjuiciados “antes y fuera del proceso”, la prevista en el art. 219.16 LOPJ hace posible apartar del conocimiento del caso al Juez o Magistrado “que, con ocasión del anterior ejercicio de un cargo público o administrativo, haya tenido relación con el objeto del litigio y haya podido formar criterio contra el recusante y, por tanto, en detrimento de la debida imparcialidad”.</w:t>
      </w:r>
    </w:p>
    <w:p w:rsidR="00CF03FA" w:rsidRDefault="00CF03FA" w:rsidP="00CF03FA">
      <w:pPr>
        <w:pStyle w:val="TextoNormal"/>
      </w:pPr>
      <w:r>
        <w:lastRenderedPageBreak/>
        <w:t>Pues bien, es claro que la Abogacía del Estado no sostiene que los Magistrados recusados hayan ejercido previamente a su nombramiento como Magistrados del Tribunal Constitucional un cargo público en el que hayan podido tener conocimiento del asunto que ahora se somete a su enjuiciamiento en su condición de tales Magistrados constitucionales, sino que fundamenta esta causa de recusación —como las restantes— en las opiniones vertidas por los recusados en la carta dirigida a la Presidenta del Tribunal el 22 de junio de 2007, acudiendo de nuevo al argumento de la disociación de funciones (gubernativas y jurisdiccionales) de los Magistrados del Tribunal Constitucional para invocar esta causa de recusación, lo que constituye una interpretación forzada y extensiva, que ha de ser por ello rechazada, conforme a la doctrina expuesta.</w:t>
      </w:r>
    </w:p>
    <w:p w:rsidR="00CF03FA" w:rsidRDefault="00CF03FA" w:rsidP="00CF03FA">
      <w:pPr>
        <w:pStyle w:val="TextoNormal"/>
      </w:pPr>
    </w:p>
    <w:p w:rsidR="00CF03FA" w:rsidRDefault="00CF03FA" w:rsidP="00CF03FA">
      <w:pPr>
        <w:pStyle w:val="TextoNormal"/>
      </w:pPr>
      <w:r w:rsidRPr="00CF03FA">
        <w:rPr>
          <w:rStyle w:val="NumeroAFNegritaCaracter"/>
        </w:rPr>
        <w:t>7</w:t>
      </w:r>
      <w:r>
        <w:t>. Resta por examinar la causa de recusación del 219.10 LOPJ (“tener interés directo o indirecto en el pleito o causa”). Como ha quedado expuesto, el Abogado General del Estado fundamenta la existencia de esta causa de recusación en las opiniones vertidas por los Magistrados recusados en el escrito dirigido a la Presidenta del Tribunal el 22 de junio de 2007, conocido a través de su difusión en periódicos de tirada nacional.</w:t>
      </w:r>
    </w:p>
    <w:p w:rsidR="00CF03FA" w:rsidRDefault="00CF03FA" w:rsidP="00CF03FA">
      <w:pPr>
        <w:pStyle w:val="TextoNormal"/>
      </w:pPr>
      <w:r>
        <w:t>El Ministerio Fiscal apoya la estimación de esta causa de recusación, mientras que el Comisionado de los Diputados recurrentes considera que los Magistrados recusados por el Gobierno no han incurrido en la causa de recusación del 219.10 LOPJ ni en ninguna de las restantes causas de recusación invocadas.</w:t>
      </w:r>
    </w:p>
    <w:p w:rsidR="00CF03FA" w:rsidRDefault="00CF03FA" w:rsidP="00CF03FA">
      <w:pPr>
        <w:pStyle w:val="TextoNormal"/>
      </w:pPr>
      <w:r>
        <w:t>Por su parte, los Magistrados recusados niegan haber incurrido en esta o cualquier otra causa de recusación. Consideran que las opiniones expresadas en su escrito dirigido el 22 de junio de 2007 a la Presidenta del Tribunal son opiniones internas y por ello reservadas, realizadas en el ejercicio de sus funciones como Magistrados del Tribunal Constitucional, que no pueden dar lugar a su recusación como consecuencia de una filtración interesada a los medios de comunicación. Sin perjuicio de lo anterior los recusados niegan haber emitido en dicho escrito opinión relativa a la supuesta inconstitucionalidad del art. 16.3 LOTC reformado por la Ley Orgánica 6/2007, habiéndose limitado a manifestar su discrepancia con la interpretación dada a dicho precepto por la Presidenta del Tribunal en cuanto a la aplicación del mismo a su actual mandato, como lo corrobora la lectura del Voto particular conjunto al Acuerdo del Pleno gubernativo del Tribunal celebrado el 4 de julio de 2007 en relación con dicho escrito.</w:t>
      </w:r>
    </w:p>
    <w:p w:rsidR="00CF03FA" w:rsidRDefault="00CF03FA" w:rsidP="00CF03FA">
      <w:pPr>
        <w:pStyle w:val="TextoNormal"/>
      </w:pPr>
      <w:r>
        <w:t>Como queda dicho, el Abogado General del Estado aduce como causa de recusación de los Magistrados de este Tribunal Excmos. Sres. don Roberto García-Calvo y Montiel y don Jorge Rodríguez-Zapata Pérez la prevista en el 219.10 LOPJ, determinante de “contaminación por interés” (ATC 224/2001, de 18 de julio, FJ 1), y que se configura como una causa de recusación de naturaleza objetiva, es decir, referida al objeto del proceso, por la que se pretende asegurar que los Jueces y Magistrados se acercan al thema decidendi del proceso sin haber tomado previamente postura en relación con el mismo (AATC 226/2002, de 20 de noviembre, FJ 2, y 26/2007, de 5 de febrero, FJ 3).</w:t>
      </w:r>
    </w:p>
    <w:p w:rsidR="00CF03FA" w:rsidRDefault="00CF03FA" w:rsidP="00CF03FA">
      <w:pPr>
        <w:pStyle w:val="TextoNormal"/>
      </w:pPr>
      <w:r>
        <w:t xml:space="preserve">En efecto, el recusante entiende, con apoyo del Ministerio Fiscal que, como consecuencia de las opiniones manifestadas en el escrito dirigido a la Presidenta del Tribunal el 22 de junio de 2007, cuyo contenido fue conocido inicialmente a través de su publicación en diversos periódicos de tirada nacional —desconociéndose el origen de la filtración a los medios de comunicación—, los Magistrados recusados han comprometido su opinión sobre el objeto del presente proceso constitucional, acreditando así la existencia de una sospecha fundada de tener un interés directo en su estimación, esto es, en que se declare la inconstitucionalidad del art. 16.3 LOTC, en la redacción dada por el apartado 7 de la Ley Orgánica </w:t>
      </w:r>
      <w:r>
        <w:lastRenderedPageBreak/>
        <w:t>6/2007, de 24 de mayo, referido a la prórroga del mandato del Presidente y del Vicepresidente del Tribunal Constitucional. Más concretamente, esta toma de postura quedaría evidenciada por las siguientes afirmaciones contenidas en dicho escrito: “dejamos constancia de nuevo en este escrito de nuestra más profunda discrepancia tanto con la forma como … con el contenido de la explicación que se nos ofreció y con el resultado de la reforma en el punto relativo a la prórroga del mandato actual como Presidenta y Vicepresidente del Tribunal, respectivamente”.</w:t>
      </w:r>
    </w:p>
    <w:p w:rsidR="00CF03FA" w:rsidRDefault="00CF03FA" w:rsidP="00CF03FA">
      <w:pPr>
        <w:pStyle w:val="TextoNormal"/>
      </w:pPr>
      <w:r>
        <w:t>Desde la óptica constitucional, para que en garantía de la imparcialidad un Juez o Magistrado pueda ser apartado del conocimiento de un asunto concreto es siempre preciso que existan dudas objetivamente justificadas; es decir, exteriorizadas y apoyadas en datos objetivos que hagan posible afirmar fundadamente que el Juez o Magistrado no es ajeno a la causa o permitan temer que, por cualquier relación con el caso concreto, no va a utilizar como criterio de juicio el previsto en la Ley, sino otras consideraciones ajenas al ordenamiento jurídico. Ha de recordarse que, aun cuando en este ámbito las apariencias son muy importantes, porque lo que está en juego es la confianza que los Tribunales deben inspirar a los ciudadanos en una sociedad democrática, no basta con que tales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14.a y 16; 5/2004, de 16 de enero, FJ 2; y ATC 26/2007, de 5 de febrero, FJ 3; SSTEDH de 1 de octubre de 1982, caso Piersack, § 30; de 26 de octubre de 1984, caso De Cubber, § 26; de 24 de mayo de 1989, caso Hauschildt, § 47; de 29 de agosto de 1997, caso Worm, § 40; de 28 de octubre de 1998, caso Castillo Algar, § 45; de 17 de junio de 2003, caso Valero, § 23).</w:t>
      </w:r>
    </w:p>
    <w:p w:rsidR="00CF03FA" w:rsidRDefault="00CF03FA" w:rsidP="00CF03FA">
      <w:pPr>
        <w:pStyle w:val="TextoNormal"/>
      </w:pPr>
    </w:p>
    <w:p w:rsidR="00CF03FA" w:rsidRDefault="00CF03FA" w:rsidP="00CF03FA">
      <w:pPr>
        <w:pStyle w:val="TextoNormal"/>
      </w:pPr>
      <w:r w:rsidRPr="00CF03FA">
        <w:rPr>
          <w:rStyle w:val="NumeroAFNegritaCaracter"/>
        </w:rPr>
        <w:t>8</w:t>
      </w:r>
      <w:r>
        <w:t>. Ciertamente, no cabe dar por sentado que las manifestaciones de opiniones más o menos relacionadas con el objeto del proceso constitucional justifiquen sin más la existencia de un interés directo en su resolución, salvo que mediante tales opiniones se desvirtúe la garantía constitucional de imparcialidad, ínsita en la causa de recusación actualmente prevista en el 219.10 LOPJ. Para que ello suceda habrá que atender en cada caso a las circunstancias concurrentes y que éstas permitan constatar objetivamente dicha manifestación de opinión como una toma de postura sobre el fondo del concreto proceso en el que la recusación se plantea (ATC 226/2002, de 20 de noviembre, FJ 4).</w:t>
      </w:r>
    </w:p>
    <w:p w:rsidR="00CF03FA" w:rsidRDefault="00CF03FA" w:rsidP="00CF03FA">
      <w:pPr>
        <w:pStyle w:val="TextoNormal"/>
      </w:pPr>
      <w:r>
        <w:t>En tal sentido hemos considerado relevantes (STC 5/2004, de 16 de enero, FJ 5; y AATC 226/2002, de 20 de noviembre, FJ 4, 61/2003, de 19 de febrero, FJ 3, y 26/2007, de 5 de febrero, FJ 7), entre otras posibles circunstancias, si la opinión ha sido manifestada en la condición de Magistrado de este Tribunal o antes de haberse adquirido la misma; una vez que el proceso se haya iniciado o resulte probable su inicio o en momentos anteriores al mismo, es decir, la lejanía entre el objeto de la opinión y el objeto del proceso constitucional; el medio o ámbito en el que las opiniones se vierten o dejan traslucir; así como el grado de precisión, la amplitud, o “el tenor, la contundencia y radicalidad” de la opinión manifestada (STC 162/1999, de 27 de septiembre, FJ 9).</w:t>
      </w:r>
    </w:p>
    <w:p w:rsidR="00CF03FA" w:rsidRDefault="00CF03FA" w:rsidP="00CF03FA">
      <w:pPr>
        <w:pStyle w:val="TextoNormal"/>
      </w:pPr>
      <w:r>
        <w:t>De este conjunto de circunstancias, y de otras que puedan concurrir en el supuesto concreto enjuiciado, habrá que deducir si la opinión manifestada por el Magistrado recusado constituye una auténtica toma de partido sobre el objeto del proceso que justifique la sospecha de un interés directo o indirecto en el mismo, determinando su apartamiento del asunto.</w:t>
      </w:r>
    </w:p>
    <w:p w:rsidR="00CF03FA" w:rsidRDefault="00CF03FA" w:rsidP="00CF03FA">
      <w:pPr>
        <w:pStyle w:val="TextoNormal"/>
      </w:pPr>
      <w:r>
        <w:t xml:space="preserve">No debe olvidarse, en este sentido, que el ya aludido principio general de interpretación estricta de las causas de recusación en un órgano como el Tribunal Constitucional, cuyos </w:t>
      </w:r>
      <w:r>
        <w:lastRenderedPageBreak/>
        <w:t>miembros no pueden ser sustituidos, no comporta, sin embargo, la exclusión de la posibilidad de que se aprecien abstenciones o causas de recusación que afectan a Magistrados del Tribunal Constitucional. La participación de todos los miembros que integran este Tribunal en los procesos constitucionales no es, en efecto, un elemento decisivo para entenderlo así, como lo evidencia la previsión misma de la posibilidad de constitución del Pleno, de las Salas y de las Secciones de este Tribunal sin la totalidad de sus componentes, sino con el quorum de presencia que resulta del art. 14 LOTC. Por otra parte, como hemos tenido ocasión de señalar, “el mandato citado del art. 22 LOTC, que exige que los Magistrados ejerzan su función de acuerdo con el principio de imparcialidad, no contiene salvedad respecto de los procesos objetivos de control de constitucionalidad ni de ninguno de los procesos de que conoce este Tribunal (ATC 226/2002, de 20 de noviembre, FJ 3)” (AATC 26/2007, de 5 de febrero, FJ 2, y 387/2007, de 16 de octubre, FJ 5).</w:t>
      </w:r>
    </w:p>
    <w:p w:rsidR="00CF03FA" w:rsidRDefault="00CF03FA" w:rsidP="00CF03FA">
      <w:pPr>
        <w:pStyle w:val="TextoNormal"/>
      </w:pPr>
    </w:p>
    <w:p w:rsidR="00CF03FA" w:rsidRDefault="00CF03FA" w:rsidP="00CF03FA">
      <w:pPr>
        <w:pStyle w:val="TextoNormal"/>
      </w:pPr>
      <w:r w:rsidRPr="00CF03FA">
        <w:rPr>
          <w:rStyle w:val="NumeroAFNegritaCaracter"/>
        </w:rPr>
        <w:t>9</w:t>
      </w:r>
      <w:r>
        <w:t>. De acuerdo con la doctrina expuesta, son varios los elementos que hemos de considerar para contrastar las manifestaciones de los Magistrados recusados con el canon de enjuiciamiento señalado, a fin de dilucidar si concurre la causa de recusación invocada.</w:t>
      </w:r>
    </w:p>
    <w:p w:rsidR="00CF03FA" w:rsidRDefault="00CF03FA" w:rsidP="00CF03FA">
      <w:pPr>
        <w:pStyle w:val="TextoNormal"/>
      </w:pPr>
      <w:r>
        <w:t>a) En primer lugar resulta indiscutible que la opinión controvertida ha sido manifestada por los recusados siendo Magistrados de este Tribunal. Conviene precisar al respecto que las opiniones vertidas por los Magistrados recusados en su escrito lo fueron en su condición de Magistrados de este Tribunal, pero no en el ejercicio de la función jurisdiccional, por lo que no resulta de aplicación al caso el criterio sentado en el ATC 454/2006, de 12 de diciembre, FJ 6, donde rechazamos que pueda atribuirse a un Magistrado “interés directo o indirecto” en el asunto que pudiera determinar una sospecha de parcialidad por el mero hecho de haber formulado, en ejercicio de su “función constitucional”, un Voto particular en un proceso distinto.</w:t>
      </w:r>
    </w:p>
    <w:p w:rsidR="00CF03FA" w:rsidRDefault="00CF03FA" w:rsidP="00CF03FA">
      <w:pPr>
        <w:pStyle w:val="TextoNormal"/>
      </w:pPr>
      <w:r>
        <w:t>b) En cuanto al medio o ámbito en el que las opiniones se vierten, resulta que en el presente caso las opiniones fueron emitidas por escrito firmado el 22 de junio de 2007, presentado en la misma fecha ante la Secretaria de Justicia del Pleno para su entrega a la Presidenta del Tribunal, escrito que alcanzó difusión pública al hacerse eco del mismo diversos medios de comunicación y que dio lugar, conforme a lo solicitado por los firmantes, a la celebración del Pleno gubernativo del Tribunal de 4 de julio de 2007, a cuya acta quedó unido aquel escrito, resolviéndose por el Pleno no tomarlo en consideración, para no prejuzgar un posible recurso de inconstitucionalidad contra la reforma de la Ley Orgánica del Tribunal Constitucional.</w:t>
      </w:r>
    </w:p>
    <w:p w:rsidR="00CF03FA" w:rsidRDefault="00CF03FA" w:rsidP="00CF03FA">
      <w:pPr>
        <w:pStyle w:val="TextoNormal"/>
      </w:pPr>
      <w:r>
        <w:t>No estamos, por tanto, como acertadamente señala el Ministerio Fiscal, ante conversaciones entre Magistrados del Tribunal en el seno de la institución (respecto de las que en el ATC 443/2007, FJ 6, afirmamos que “con carácter general, las conversaciones mantenidas por los Magistrados en el seno de este Tribunal no son datos de hecho suficientes para basar una recusación”), sino ante la emisión de una opinión a través de un cauce formal, lo que revela el propósito de dar un contenido oficial a la discrepancia expresada en el escrito.</w:t>
      </w:r>
    </w:p>
    <w:p w:rsidR="00CF03FA" w:rsidRDefault="00CF03FA" w:rsidP="00CF03FA">
      <w:pPr>
        <w:pStyle w:val="TextoNormal"/>
      </w:pPr>
      <w:r>
        <w:t>Por otra parte, siendo ciertamente reprobable la filtración del escrito a los medios de comunicación (para los cuales es notorio que su contenido revestía un evidente interés informativo), resulta obvio que tal filtración no es imputable a quien formula la recusación al tener conocimiento, por las noticias publicadas en los periódicos, de la opinión manifestada por los Magistrados recusados en relación con uno de los extremos objeto del recurso de inconstitucionalidad interpuesto por más de cincuenta Diputados del Grupo Parlamentario Popular contra la reforma de la LOTC operada por la Ley Orgánica 6/2007, de 24 de mayo.</w:t>
      </w:r>
    </w:p>
    <w:p w:rsidR="00CF03FA" w:rsidRDefault="00CF03FA" w:rsidP="00CF03FA">
      <w:pPr>
        <w:pStyle w:val="TextoNormal"/>
      </w:pPr>
      <w:r>
        <w:lastRenderedPageBreak/>
        <w:t>c) Respecto de la circunstancia relativa a la lejanía lógica y temporal entre el objeto de la opinión manifestada y el objeto del proceso constitucional, debe subrayarse que, a diferencia de lo acontecido en otros supuestos en los que este Tribunal ha venido rechazando la causa de recusación relativa al “interés por contaminación” por referirse a manifestaciones de opinión expresadas en un estadio prematuro de elaboración de la norma, como ocurre con las manifestadas en relación con un anteproyecto de ley, pues “no es lo mismo la opinión emitida respecto de un anteproyecto, destinado a una compleja tramitación ulterior, que la emitida respecto de lo que ya sea una ley vigente, susceptible de un recurso de inconstitucionalidad” (ATC 226/2002, de 20 de noviembre, FJ 7, cuya doctrina se reitera en ATC 26/2007, de 5 de febrero, FJ 6), en el presente caso las opiniones controvertidas se expresan respecto de una reforma legal ya vigente, la operada en el art. 16.3 LOTC por la Ley Orgánica 6/2007, de 24 de mayo, publicada en el “Boletín Oficial del Estado” de 25 de mayo de 2007, y que entró en vigor al día siguiente (disposición final segunda).</w:t>
      </w:r>
    </w:p>
    <w:p w:rsidR="00CF03FA" w:rsidRDefault="00CF03FA" w:rsidP="00CF03FA">
      <w:pPr>
        <w:pStyle w:val="TextoNormal"/>
      </w:pPr>
      <w:r>
        <w:t>Además, como señalan el Abogado General del Estado y el Ministerio Fiscal, los Magistrados recusados no desconocían a la fecha en que expresaron formalmente por escrito su opinión discrepante con la reforma introducida por la Ley Orgánica 6/2007, de 24 de mayo, en el art. 16.3 LOTC, en relación con la prórroga del mandato de Presidente y Vicepresidente del Tribunal, que era previsible que se presentara contra dicha reforma por el Grupo Parlamentario Popular un recurso de inconstitucionalidad —como efectivamente se presentó—, a tenor de las manifestaciones (de las que se hicieron eco ampliamente los medios de comunicación) efectuadas por miembros de dicho grupo, y que alcanzaron una general y notoria publicidad.</w:t>
      </w:r>
    </w:p>
    <w:p w:rsidR="00CF03FA" w:rsidRDefault="00CF03FA" w:rsidP="00CF03FA">
      <w:pPr>
        <w:pStyle w:val="TextoNormal"/>
      </w:pPr>
      <w:r>
        <w:t>d) Existe, asimismo, una conexión directa e inmediata entre la opinión vertida por los Magistrados recusados en su escrito de 22 de junio de 2007 y el objeto del recurso de inconstitucionalidad promovido por más de cincuenta Diputados del Grupo Parlamentario Popular contra el artículo único, apartados 6 y 7, de la Ley Orgánica 6/2007, de 24 de mayo, que dan nueva redacción al art. 16.1 y 3 LOTC. Dicha opinión se refiere, en efecto, a la nueva redacción del art. 16.3 LOTC, en relación con la prórroga del mandato de Presidente y Vicepresidente del Tribunal, siendo así que entre los motivos del recurso de inconstitucionalidad en el que se ha planteado esta recusación se encuentra precisamente el relativo a la supuesta vulneración del art. 160 CE por la nueva redacción del art. 16.3 LOTC dada por la Ley Orgánica 6/2007, de 24 de mayo, concretamente en lo referente a la prórroga del mandato del Presidente y Vicepresidente del Tribunal, en coherencia con lo anticipado al respecto por el grupo político luego recurrente durante la tramitación parlamentaria del proyecto de Ley.</w:t>
      </w:r>
    </w:p>
    <w:p w:rsidR="00CF03FA" w:rsidRDefault="00CF03FA" w:rsidP="00CF03FA">
      <w:pPr>
        <w:pStyle w:val="TextoNormal"/>
      </w:pPr>
      <w:r>
        <w:t>e) En fin, la opinión manifestada en su escrito por los Magistrados recusados reviste el tenor, la contundencia y la radicalidad necesarias para fundamentar una sospecha justificada de pérdida de imparcialidad objetiva. En efecto, debe recordarse que en el escrito se afirma por los recusados lo siguiente: “dejamos constancia de nuevo en este escrito de nuestra más profunda discrepancia tanto con la forma con el contenido de la explicación que se nos ofreció y con el resultado de la reforma en el punto relativo a la prórroga del mandato actual como Presidenta y Vicepresidente del Tribunal, respectivamente”. Es en esta afirmación en la que el Abogado General del Estado hace descansar el fundamento de su recusación, debiendo advertirse que la lectura íntegra del contenido del escrito dirigido por los recusados a la Presidenta el 22 de junio de 2007 no viene sino a corroborar que aquéllos emitieron un juicio anticipado sobre la constitucionalidad de la reforma del art. 16.3 LOTC dada por la Ley Orgánica 6/2007, de 24 de mayo.</w:t>
      </w:r>
    </w:p>
    <w:p w:rsidR="00CF03FA" w:rsidRDefault="00CF03FA" w:rsidP="00CF03FA">
      <w:pPr>
        <w:pStyle w:val="TextoNormal"/>
      </w:pPr>
      <w:r>
        <w:lastRenderedPageBreak/>
        <w:t>En efecto, resulta que en el escrito no sólo se manifiesta por los recusados su “más profunda discrepancia … con el resultado de la reforma en el punto relativo a la prórroga del mandato actual como Presidenta y Vicepresidente del Tribunal” (párrafo segundo), sino que se afirma también (tercer párrafo) que “esta situación deslegitima … la permanencia en los cargos referidos de Presidenta y Vicepresidente a partir del día 16 de junio de 2007, fecha en que correspondía renovarlos dada la terminación del mandato el día precedente, según los términos del art. 160 CE. La irregularidad se acrecienta al no haber tomado el Pleno de este Tribunal en tiempo adecuado decisión alguna al respecto como único órgano competente para proceder sobre tal extremo según el ya citado precepto del Texto Constitucional dado que se continúa en el ejercicio de funciones como Presidenta y Vicepresidente de este Tribunal”. Asimismo aseveran (párrafo cuarto) que “la Ley Orgánica 6/2007, de 24 de mayo (de reforma de la Ley Orgánica 2/1979, del TC), no ofrece cobertura para ello. Además de entrar en vigor inmediatamente sin periodo de vacatio legis tampoco se refiere en su Exposición de motivos ni expresa ni tácitamente —como hace pormenorizadamente con el resto de modificaciones operadas— a la reforma introducida en el párrafo 3 del art. 16”. E igualmente afirman (párrafo quinto, punto 2, del escrito) “que el artículo 160 de la Carta Magna atribuye con absoluta exclusividad al Pleno del Tribunal la elección de su Presidente por un concreto mandato de tres años” y que en “los supuestos que ha habido prórroga del mandato de algunos de los Presidentes del Tribunal … fue el Pleno quien la acordó, como no podía ni puede ser de otra manera y a virtud de los preceptuado en el referido art. 160 en relación con el art. 9.3 LOTC, incluso en su versión reformada por la Ley Orgánica 6/2007, de 24 de mayo”.</w:t>
      </w:r>
    </w:p>
    <w:p w:rsidR="00CF03FA" w:rsidRDefault="00CF03FA" w:rsidP="00CF03FA">
      <w:pPr>
        <w:pStyle w:val="TextoNormal"/>
      </w:pPr>
      <w:r>
        <w:t>Lo expuesto revela, como señala el Ministerio Fiscal en sus alegaciones, que los Magistrados recusados expresan en su escrito de 22 de junio de 2007 una toma de postura sobre el fondo del asunto, pues lo que sostienen es que no puede haber prórroga del mandato de la Presidencia y Vicepresidencia del Tribunal por decisión de la Ley, sino sólo por decisión del Pleno, de conformidad con el art. 160 CE, en relación con el art. 9.3 LOTC (“incluso en su versión reformada por la Ley Orgánica 6/2007, de 24 de mayo”), y por ello solicitan al Pleno que se pronuncie sobre la interpretación y aplicación del reformado art. 16.3 LOTC a la vista de lo dispuesto en el art. 160 CE, lo que constituye uno de los motivos de impugnación del recurso de inconstitucionalidad promovido por más de cincuenta Diputados del Grupo Parlamentario Popular contra el art. único, apartados 6 y 7, de la Ley Orgánica 6/2007, de 24 de mayo, que dan nueva redacción al art. 16.1 y 3 LOTC.</w:t>
      </w:r>
    </w:p>
    <w:p w:rsidR="00CF03FA" w:rsidRDefault="00CF03FA" w:rsidP="00CF03FA">
      <w:pPr>
        <w:pStyle w:val="TextoNormal"/>
      </w:pPr>
      <w:r>
        <w:t xml:space="preserve">Y no es ocioso recordar que en el Pleno gubernativo celebrado el 4 de julio de 2007 sobre dicho escrito, a cuya acta quedó unido el mismo, se resolvió (con el Voto particular de los dos Magistrados recusados) “no tomar en consideración y archivar el escrito”, con fundamento “en la conveniencia de no prejuzgar un posible recurso de inconstitucionalidad contra la Ley Orgánica de reforma de la LOTC”. El Abogado General del Estado estima que, de ese modo, el resto de Magistrados del Tribunal entendieron que el contenido del escrito anticipaba una toma de postura sobre la constitucionalidad de la reforma del art. 16.3 LOTC, por lo que resolvieron no tomar en consideración el escrito para no prejuzgar lo que previsiblemente podía constituir objeto de recurso de inconstitucionalidad. Apreciación que, por cierto, viene a coincidir con la reflejada en los medios de comunicación que se hicieron eco del escrito, pues de forma prácticamente unánime entendieron, como se evidencia con la lectura de los recortes de prensa aportados, que los Magistrados recusados expresaron su postura contraria a la reforma en cuanto a la prórroga del mandato de los cargos de Presidente y Vicepresidente del Tribunal, introducida en el reformado art. 16.3 LOTC, que es justamente una de las cuestiones objeto del recurso de inconstitucionalidad interpuesto por </w:t>
      </w:r>
      <w:r>
        <w:lastRenderedPageBreak/>
        <w:t>más de cincuenta Diputados del Grupo Parlamentario Popular. Al margen de esa apreciación del Abogado General del Estado, es claro que, en todo caso, el resto de los Magistrados sí entendieron, tal como se refleja en el acta y antes se ha reproducido, que no debían debatir sobre tal propuesta, pues de hacerlo se entraría a prejuzgar la constitucionalidad o inconstitucionalidad de la citada Ley Orgánica.</w:t>
      </w:r>
    </w:p>
    <w:p w:rsidR="00CF03FA" w:rsidRDefault="00CF03FA" w:rsidP="00CF03FA">
      <w:pPr>
        <w:pStyle w:val="TextoNormal"/>
      </w:pPr>
      <w:r>
        <w:t>Añádase a lo anterior que, como ya señalamos en ATC 387/2007, de 16 de octubre, FJ 1, donde estimamos justificadas las abstenciones de la Presidenta y del Vicepresidente de este Tribunal en este mismo recurso de inconstitucionalidad, por aplicación de la causa prevista en el 219.10 LOPJ, “[d]ebe resaltarse que la apariencia de imparcialidad ha de ser especialmente exigible cuando lo que el Tribunal juzga es su propia Ley Orgánica, dada la muy singular y relevante posición que ocupa dicha Ley en nuestro Ordenamiento para garantizar la efectividad del orden constitucional”.</w:t>
      </w:r>
    </w:p>
    <w:p w:rsidR="00CF03FA" w:rsidRDefault="00CF03FA" w:rsidP="00CF03FA">
      <w:pPr>
        <w:pStyle w:val="TextoNormal"/>
      </w:pPr>
      <w:r>
        <w:t>Por otra parte, como bien advierte el Ministerio Fiscal, resulta irrelevante a los efectos de apreciar la causa de recusación del art. 219.10 LOPJ atender al contenido del Voto particular conjunto de los Magistrados recusados al Acuerdo del Pleno gubernativo del Tribunal Constitucional de 4 de julio de 2007 en relación con su escrito de 22 de junio de 2007. En efecto, aunque en el Voto particular se afirme por los recusados que no pretendieron en ningún momento suscitar una duda de constitucionalidad sobre la reforma del art. 16.3 por la Ley Orgánica 6/2007, de 24 de mayo (“desde luego, al Tribunal reunido en forma de Pleno gubernativo no le corresponde ejercer la jurisdicción constitucional pronunciándose sobre si el nuevo art.  16.3 LOTC contradice o no al art. 160 de la Constitución”), sino que se limitaron a discrepar de la interpretación dada por la Presidenta al reformado art. 16.3 LOTC, rechazando los recusados que fuese aplicable a la prórroga del mandato de los actuales Presidenta y Vicepresidente del Tribunal, lo determinante es que en su escrito inicial, dirigido por los recusados por conducto formal a la Presidenta del Tribunal el 22 de junio de 2007, han creado una apariencia fundada de toma de postura de los Magistrados recusados sobre la constitucionalidad de la reforma del art. 16.3 LOTC, suficiente para justificar la apreciación de la causa de recusación del art. 219.10 LOPJ.</w:t>
      </w:r>
    </w:p>
    <w:p w:rsidR="00CF03FA" w:rsidRDefault="00CF03FA" w:rsidP="00CF03FA">
      <w:pPr>
        <w:pStyle w:val="TextoNormal"/>
      </w:pPr>
      <w:r>
        <w:t>Estamos, en definitiva, como señalan el Abogado General del Estado y el Ministerio Fiscal, ante la manifestación de una opinión contundente sobre un punto de la reforma legal a enjuiciar por el Tribunal Constitucional, manifestada por escrito y dirigida por cauce formal a la Presidenta del Tribunal, lo que evidencia que se está emitiendo por parte de los Magistrados recusados un juicio de opinión meditado, revelador de una firme toma de postura contraria a la solución de la reforma del art. 16.3 LOTC por la Ley Orgánica 6/2007, de 24 de mayo, en punto a la prórroga del mandato de los cargos de Presidente y Vicepresidente del Tribunal, que es objeto de impugnación en el recurso de inconstitucionalidad promovido por más de cincuenta Diputados del Grupo Parlamentario Popular. Ello determina que resulte objetivamente justificada la sospecha de pérdida de imparcialidad necesaria para abordar el enjuiciamiento de tal proceso constitucional (“contaminación por interés”) en que se fundamenta la recusación, lo que conduce a su estimación.</w:t>
      </w:r>
    </w:p>
    <w:p w:rsidR="00CF03FA" w:rsidRDefault="00CF03FA" w:rsidP="00CF03FA">
      <w:pPr>
        <w:pStyle w:val="TextoNormal"/>
      </w:pPr>
    </w:p>
    <w:p w:rsidR="00CF03FA" w:rsidRDefault="00CF03FA" w:rsidP="00CF03FA">
      <w:pPr>
        <w:pStyle w:val="TextoNormal"/>
      </w:pPr>
      <w:r>
        <w:t>En consecuencia,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1º Estimar la recusación de los Magistrados de este Tribunal Excmos. Sres. don Roberto García-Calvo y Montiel y don Jorge Rodríguez-Zapata Pérez, por la causa núm. 10 del art. 219 LOPJ.</w:t>
      </w:r>
    </w:p>
    <w:p w:rsidR="00CF03FA" w:rsidRDefault="00CF03FA" w:rsidP="00CF03FA">
      <w:pPr>
        <w:pStyle w:val="TextoNormal"/>
      </w:pPr>
      <w:r>
        <w:lastRenderedPageBreak/>
        <w:t>2º Llevar testimonio de esta resolución al recurso de inconstitucionalidad núm. 6729-2007.</w:t>
      </w:r>
    </w:p>
    <w:p w:rsidR="00CF03FA" w:rsidRDefault="00CF03FA" w:rsidP="00CF03FA">
      <w:pPr>
        <w:pStyle w:val="TextoNormal"/>
      </w:pPr>
    </w:p>
    <w:p w:rsidR="00CF03FA" w:rsidRDefault="00CF03FA" w:rsidP="00CF03FA">
      <w:pPr>
        <w:pStyle w:val="TextoNormal"/>
      </w:pPr>
      <w:r>
        <w:t>Madrid, a doce de marzo de dos mil ocho.</w:t>
      </w:r>
    </w:p>
    <w:p w:rsidR="00CF03FA" w:rsidRDefault="00CF03FA" w:rsidP="00CF03FA">
      <w:pPr>
        <w:pStyle w:val="ParrafoNormal"/>
      </w:pPr>
    </w:p>
    <w:p w:rsidR="00CF03FA" w:rsidRDefault="00CF03FA" w:rsidP="00CF03FA">
      <w:pPr>
        <w:pStyle w:val="TextoNormalNegritaCentrado"/>
        <w:keepNext/>
      </w:pPr>
      <w:r>
        <w:t>Voto particular que formula el Magistrado don Javier Delgado Barrio respecto del Auto de fecha 12 de marzo de 2008 dictado en la pieza de recusación del recurso de inconstitucionalidad núm. 6729-2007.</w:t>
      </w:r>
    </w:p>
    <w:p w:rsidR="00CF03FA" w:rsidRDefault="00CF03FA" w:rsidP="00CF03FA">
      <w:pPr>
        <w:pStyle w:val="TextoNormalNegritaCentrado"/>
        <w:keepNext/>
      </w:pPr>
    </w:p>
    <w:p w:rsidR="00CF03FA" w:rsidRDefault="00CF03FA" w:rsidP="00CF03FA">
      <w:pPr>
        <w:pStyle w:val="TextoNormal"/>
      </w:pPr>
      <w:r>
        <w:t>Con el respeto que siempre me merecen mis compañeros, creo procedente formular este Voto particular para manifestar mi discrepancia con el mencionado Auto.</w:t>
      </w:r>
    </w:p>
    <w:p w:rsidR="00CF03FA" w:rsidRDefault="00CF03FA" w:rsidP="00CF03FA">
      <w:pPr>
        <w:pStyle w:val="TextoNormal"/>
      </w:pPr>
      <w:r>
        <w:t>1. El punto de partida para resolver este incidente de recusación ha de ser el Acuerdo del Pleno de este Tribunal de 4 de julio de 2007 que decidió no tomar en consideración el escrito presentado el 22 de junio de 2007 por los Magistrados ahora recusados, escrito este que opera como fundamento de su recusación. Tal decisión —no tomar en consideración el escrito— tenía una expresa motivación: “la conveniencia de no prejuzgar un posible recurso de inconstitucionalidad contra la Ley Orgánica de reforma de la LOTC”.</w:t>
      </w:r>
    </w:p>
    <w:p w:rsidR="00CF03FA" w:rsidRDefault="00CF03FA" w:rsidP="00CF03FA">
      <w:pPr>
        <w:pStyle w:val="TextoNormal"/>
      </w:pPr>
      <w:r>
        <w:t>Ciertamente esa “conveniencia de no prejuzgar” apunta ahora a una estimación de las recusaciones, pero no puede entenderse que tal motivación, de indudable prudencia y adoptada en el ámbito puramente interno del Tribunal, predetermine definitivamente la decisión que ahora y con alegaciones de partes haya de pronunciar el Tribunal.</w:t>
      </w:r>
    </w:p>
    <w:p w:rsidR="00CF03FA" w:rsidRDefault="00CF03FA" w:rsidP="00CF03FA">
      <w:pPr>
        <w:pStyle w:val="TextoNormal"/>
      </w:pPr>
      <w:r>
        <w:t>Sobre esta base, anticipo ya que una nueva consideración de los hechos, tomando en cuenta las alegaciones formuladas en esta pieza y, especialmente, a la luz de nuestra doctrina, hubiera debido conducir a una decisión desestimatoria de las recusaciones.</w:t>
      </w:r>
    </w:p>
    <w:p w:rsidR="00CF03FA" w:rsidRDefault="00CF03FA" w:rsidP="00CF03FA">
      <w:pPr>
        <w:pStyle w:val="TextoNormal"/>
      </w:pPr>
      <w:r>
        <w:t>2. Fundamentalmente son tres los criterios jurisprudenciales que, con una u otra relevancia, han de trazar el cauce de mi reflexión:</w:t>
      </w:r>
    </w:p>
    <w:p w:rsidR="00CF03FA" w:rsidRDefault="00CF03FA" w:rsidP="00CF03FA">
      <w:pPr>
        <w:pStyle w:val="TextoNormal"/>
      </w:pPr>
      <w:r>
        <w:t>a) Como reconoce la propia resolución de la discrepo “las opiniones vertidas por los Magistrados recusados en su escrito lo fueron en su condición de Magistrados de este Tribunal” —FJ 9 a)—; sin embargo, pese a ello, entiende inaplicable la doctrina del ATC 454/2006, de 12 de diciembre, FJ 6, porque esas opiniones no se manifestaron “en el ejercicio de la función jurisdiccional”.</w:t>
      </w:r>
    </w:p>
    <w:p w:rsidR="00CF03FA" w:rsidRDefault="00CF03FA" w:rsidP="00CF03FA">
      <w:pPr>
        <w:pStyle w:val="TextoNormal"/>
      </w:pPr>
      <w:r>
        <w:t>Ciertamente la literalidad de dicho Auto sostiene la exclusión de las recusaciones derivadas de las opiniones vertidas en el ejercicio de las “funciones constitucionales”, pero creo que esta expresión no puede limitarse únicamente a las funciones jurisdiccionales: su ratio impone la extensión de tal exclusión al desarrollo de todos los cometidos propios de un Magistrado del Tribunal Constitucional, en primer lugar, y sobre todo, porque así lo exige la naturaleza de las funciones que tiene encomendadas, que no admite que el ejercicio de alguna de ellas dé lugar, vía recusación, a un apartamiento posterior del ejercicio de otras y, en último término, y también, porque de otra suerte se introduciría un límite a su libertad de expresión que podría coartar su actuación.</w:t>
      </w:r>
    </w:p>
    <w:p w:rsidR="00CF03FA" w:rsidRDefault="00CF03FA" w:rsidP="00CF03FA">
      <w:pPr>
        <w:pStyle w:val="TextoNormal"/>
      </w:pPr>
      <w:r>
        <w:t>En este punto radica esencialmente mi discrepancia con el Auto pues entiendo que ninguna actuación —sea jurisdiccional, sea gubernativa— de un Magistrado del Tribunal Constitucional en su condición de tal puede generar un motivo de recusación.</w:t>
      </w:r>
    </w:p>
    <w:p w:rsidR="00CF03FA" w:rsidRDefault="00CF03FA" w:rsidP="00CF03FA">
      <w:pPr>
        <w:pStyle w:val="TextoNormal"/>
      </w:pPr>
      <w:r>
        <w:t xml:space="preserve">Y entre las posibilidades de actuación de tales Magistrados figura la de solicitar la celebración de un Pleno —art. 10.1 n) LOTC—. Así las cosas, ocurre que en el escrito que da origen a estas recusaciones los firmantes vierten, ante todo, sus opiniones en relación con la prórroga del mandato del Presidente y del Vicepresidente del Tribunal introducida por la </w:t>
      </w:r>
      <w:r>
        <w:lastRenderedPageBreak/>
        <w:t>Ley Orgánica 6/2007, lo que sirve de antecedente y motivación —“a la vista de lo expuesto”— para solicitar la celebración de un Pleno para que se “proceda conforme a Derecho de acuerdo con las previsiones legales que nos son aplicables”, Pleno este cuyo objeto atañía a una materia que en el razonamiento previo va referida a un punto de la competencia de dicho Pleno: la elección de sus Presidente y Vicepresidente —arts. 160 CE y 9.1 y 4 LOTC.</w:t>
      </w:r>
    </w:p>
    <w:p w:rsidR="00CF03FA" w:rsidRDefault="00CF03FA" w:rsidP="00CF03FA">
      <w:pPr>
        <w:pStyle w:val="TextoNormal"/>
      </w:pPr>
      <w:r>
        <w:t>Independientemente de la valoración que pueda hacerse del acierto de tal argumentación y, más concretamente, de las observaciones que se formulan acerca de la reforma de nuestra Ley Orgánica respecto de la ya mencionada prórroga, es lo cierto que los Magistrados recusados actuaron como Magistrados del Tribunal Constitucional y en el ejercicio de una función que, como ya he dicho, les atribuye la Ley Orgánica del Tribunal Constitucional —petición de la celebración de un Pleno.</w:t>
      </w:r>
    </w:p>
    <w:p w:rsidR="00CF03FA" w:rsidRDefault="00CF03FA" w:rsidP="00CF03FA">
      <w:pPr>
        <w:pStyle w:val="TextoNormal"/>
      </w:pPr>
      <w:r>
        <w:t>b) Una reiterada jurisprudencia, a la hora de valorar la relevancia de las manifestaciones hechas por Magistrados de este Tribunal, viene tomando en consideración “el medio o ámbito en que las opiniones se vierten o dejan traslucir” —STC 5/2004, de 16 de enero, FJ 5, y AATC 226/2002, de 20 de noviembre, FJ 4, 61/2003, de 19 de febrero, FJ 3, y 26/2007, de 5 de febrero, FJ 7.</w:t>
      </w:r>
    </w:p>
    <w:p w:rsidR="00CF03FA" w:rsidRDefault="00CF03FA" w:rsidP="00CF03FA">
      <w:pPr>
        <w:pStyle w:val="TextoNormal"/>
      </w:pPr>
      <w:r>
        <w:t>Pues bien, en el caso que ahora se examina, las afirmaciones se vierten en una carta o escrito dirigido por dos Magistrados del Tribunal a su Presidenta, es decir, se producen en un medio claramente interno y que no debería provocar publicidad, aunque, en último término, hayan llegado a propagarse en los medios de comunicación. Pero es de añadir, y esto lo destaco, que, en mi opinión, el hecho de que una actuación de un Magistrado en su condición de tal, en el ejercicio de los cometidos que legalmente le corresponden, alcance publicidad, no puede en modo alguno provocar su conversión en causa de recusación: la publicación de un voto particular no altera su naturaleza de actuación propia de Magistrado y, por tanto, no puede justificar una recusación —ATC 454/2006, de 12 de diciembre, FJ 6.</w:t>
      </w:r>
    </w:p>
    <w:p w:rsidR="00CF03FA" w:rsidRDefault="00CF03FA" w:rsidP="00CF03FA">
      <w:pPr>
        <w:pStyle w:val="TextoNormal"/>
      </w:pPr>
      <w:r>
        <w:t>c) En último término, ha de recodarse que “con carácter general las conversaciones mantenidas por los Magistrados en el seno de este Tribunal no son datos de hecho suficientes para basar una recusación” —ATC 443/2007, de 27 de noviembre, FJ 6.</w:t>
      </w:r>
    </w:p>
    <w:p w:rsidR="00CF03FA" w:rsidRDefault="00CF03FA" w:rsidP="00CF03FA">
      <w:pPr>
        <w:pStyle w:val="TextoNormal"/>
      </w:pPr>
      <w:r>
        <w:t>Y una carta o escrito refleja opiniones, lo mismo que una conversación y, aunque pueda presumirse un mayor grado de firmeza en lo expresado, opera, aplicando el criterio anterior, en un “medio” que es justamente “el seno de este Tribunal”. Pero sobre todo si, como sostengo frente a la mayoría de mis compañeros, el criterio decisivo ha de ser el de que las opiniones se expresen o no por el Magistrado en su condición de tal, es decir, en el ejercicio de sus funciones, no podrá extrañar que aquéllas alcancen un mayor grado de firmeza que la propia de una conversación.</w:t>
      </w:r>
    </w:p>
    <w:p w:rsidR="00CF03FA" w:rsidRDefault="00CF03FA" w:rsidP="00CF03FA">
      <w:pPr>
        <w:pStyle w:val="TextoNormal"/>
      </w:pPr>
      <w:r>
        <w:t>3. Todo ello determina la conclusión de que los recusados emitieron las opiniones aquí examinadas precisamente en su condición de Magistrados del Tribunal Constitucional o, lo que es lo mismo, en el ejercicio de uno de los cometidos que les atribuye nuestra Ley Orgánica —la petición de un Pleno respecto de la cual aquellas opiniones integraban un antecedente y motivación—, de suerte que, independientemente de la publicidad que hayan alcanzado y de la firmeza con que se hayan expresado, ha de entenderse excluida la viabilidad de la recusaciones que se han sustanciado en este incidente.</w:t>
      </w:r>
    </w:p>
    <w:p w:rsidR="00CF03FA" w:rsidRDefault="00CF03FA" w:rsidP="00CF03FA">
      <w:pPr>
        <w:pStyle w:val="TextoNormal"/>
      </w:pPr>
      <w:r>
        <w:t>Y este es mi parecer, del que dejo constancia con el máximo respeto a la opinión de mis compañeros.</w:t>
      </w:r>
    </w:p>
    <w:p w:rsidR="00CF03FA" w:rsidRDefault="00CF03FA" w:rsidP="00CF03FA">
      <w:pPr>
        <w:pStyle w:val="TextoNormal"/>
      </w:pPr>
      <w:r>
        <w:t>Madrid, a doce de marzo de dos mil ocho.</w:t>
      </w:r>
    </w:p>
    <w:p w:rsidR="00CF03FA" w:rsidRDefault="00CF03FA" w:rsidP="00CF03FA">
      <w:pPr>
        <w:pStyle w:val="TextoNormal"/>
      </w:pPr>
    </w:p>
    <w:p w:rsidR="00CF03FA" w:rsidRDefault="00CF03FA" w:rsidP="00CF03FA">
      <w:pPr>
        <w:pStyle w:val="TextoNormalNegritaCentrado"/>
        <w:keepNext/>
      </w:pPr>
      <w:r>
        <w:lastRenderedPageBreak/>
        <w:t>Voto particular que formula el Magistrado don Ramón Rodríguez Arribas respecto del Auto dictado en el incidente de recusación de los Magistrados Excmos. Sres. don Roberto García-Calvo y Montiel y don Jorge Rodríguez-Zapata Pérez, dimanante del recurso de inconstitucionalidad, núm. 6729-2007.</w:t>
      </w:r>
    </w:p>
    <w:p w:rsidR="00CF03FA" w:rsidRDefault="00CF03FA" w:rsidP="00CF03FA">
      <w:pPr>
        <w:pStyle w:val="TextoNormalNegritaCentrado"/>
        <w:keepNext/>
      </w:pPr>
    </w:p>
    <w:p w:rsidR="00CF03FA" w:rsidRDefault="00CF03FA" w:rsidP="00CF03FA">
      <w:pPr>
        <w:pStyle w:val="TextoNormal"/>
      </w:pPr>
      <w:r>
        <w:t>En el ejercicio de la facultad que nos confiere el art. 90.2 LOTC y con pleno respeto a la opinión de la mayoría, expreso mi discrepancia con el Auto, que fundo en las siguientes consideraciones:</w:t>
      </w:r>
    </w:p>
    <w:p w:rsidR="00CF03FA" w:rsidRDefault="00CF03FA" w:rsidP="00CF03FA">
      <w:pPr>
        <w:pStyle w:val="TextoNormal"/>
      </w:pPr>
      <w:r>
        <w:t>1. Mi personal criterio en materia de abstención y recusación, ha venido siendo muy riguroso, aunque no compartido por la mayoría del Tribunal, de manera que cuando objetivamente existen motivos para fundar razonablemente una sospecha de pérdida de la imparcialidad de un miembro del Tribunal, he entendido siempre que debe apartarse del conocimiento del proceso correspondiente; así ha quedado manifestado en mis Votos particulares e incluso en personales abstenciones, después rechazadas tanto por el Pleno como la Sala Segunda, si bien la doctrina del Tribunal se ha inclinado por tomar en consideración otros criterios, como el de su composición, la aplicación estricta de las causas de abstención y recusación y la naturaleza abstracta de ciertas impugnaciones.</w:t>
      </w:r>
    </w:p>
    <w:p w:rsidR="00CF03FA" w:rsidRDefault="00CF03FA" w:rsidP="00CF03FA">
      <w:pPr>
        <w:pStyle w:val="TextoNormal"/>
      </w:pPr>
      <w:r>
        <w:t>2. De acuerdo con dicho principio de rigor en la consideración de las causas de abstención y recusación, estoy conforme con una gran parte de los fundamentos del Auto que estima procedente la recusación en este caso, pero discrepo, también de acuerdo con principios ya sostenidos por mi anteriormente, en cuanto que la adecuada valoración, a mi entender, de la naturaleza de “actividad interna” del escrito de los recusados en que se funda sustancialmente la pretensión de recusación, debería conducir a resolver el incidente rechazándola.</w:t>
      </w:r>
    </w:p>
    <w:p w:rsidR="00CF03FA" w:rsidRDefault="00CF03FA" w:rsidP="00CF03FA">
      <w:pPr>
        <w:pStyle w:val="TextoNormal"/>
      </w:pPr>
      <w:r>
        <w:t>3. En efecto, los Magistrados recusados, en el escrito dirigido a la Excma. Sra. Presidenta de este Tribunal, fechado el 22 de junio de 2007, vienen a solicitar la celebración de un Pleno Gubernativo para que se “proceda conforme a Derecho de acuerdo con las previsiones legales que nos son aplicables y las propias afirmaciones de V.E.” (se refieren a unas declaraciones realizadas a la agencia EFE meses antes por la Excma Sra. Presidenta), petición que, en sí misma, es una “actividad interna” del Tribunal y que no pierde tal carácter, porque es su propia naturaleza, cualquiera que sean las circunstancias que la rodeen, esto es, el contenido del texto con el que pretenda fundarse la conveniencia de la celebración del Pleno, el momento en que se produzca y la repercusión exterior respecto del Tribunal que alcancen dichas “actividades internas”, ya lo sean espontáneamente o por algunas de las llamadas eufemísticamente “filtraciones”, todo ello conforme sostuve en el voto particular concurrente formulado respecto del Auto de 27 de noviembre pasado, dictado en el recurso de inconstitucionalidad 6729-2007, con ocasión del rechazo a limine de recusación formulada sobre otros tres Magistrados del Tribunal.</w:t>
      </w:r>
    </w:p>
    <w:p w:rsidR="00CF03FA" w:rsidRDefault="00CF03FA" w:rsidP="00CF03FA">
      <w:pPr>
        <w:pStyle w:val="TextoNormal"/>
      </w:pPr>
      <w:r>
        <w:t>Aceptar lo contrario, aunque sea en casos que se consideren especiales, como viene a mantenerse en el Auto del que discrepo, puede producir graves efectos en el funcionamiento normal de este Tribunal. Como dije entonces, en el voto recién citado, y reitero ahora, lo mismo que no pueden admitirse recusaciones que claramente no sean incardinables en los tasados supuestos previstos por la Ley, tampoco son posibles cuando se fundan en “actividades internas” del Tribunal, pues ello abriría la puerta a que cualquier documento, nota de servicio, borrador, etc., una vez “filtrado” al exterior pudiese fundar una recusación.</w:t>
      </w:r>
    </w:p>
    <w:p w:rsidR="00CF03FA" w:rsidRDefault="00CF03FA" w:rsidP="00CF03FA">
      <w:pPr>
        <w:pStyle w:val="TextoNormal"/>
      </w:pPr>
      <w:r>
        <w:t>Madrid, a doce de marzo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43" w:name="AUTO_2008_82"/>
      <w:r>
        <w:lastRenderedPageBreak/>
        <w:t>AUTO 82/2008, de 13 de marzo de 2008</w:t>
      </w:r>
    </w:p>
    <w:bookmarkEnd w:id="143"/>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ECLI:ES:TC:2008:82A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Inadmite a trámite el recurso de amparo 4164-2004, promovido por don Juan María Altolaguirre y otros.</w:t>
      </w:r>
    </w:p>
    <w:p w:rsidR="00CF03FA" w:rsidRDefault="00CF03FA" w:rsidP="00CF03FA">
      <w:pPr>
        <w:pStyle w:val="SntesisDescriptiva"/>
      </w:pPr>
    </w:p>
    <w:p w:rsidR="00CF03FA" w:rsidRDefault="00CF03FA" w:rsidP="00CF03FA">
      <w:pPr>
        <w:pStyle w:val="SntesisAnaltica"/>
      </w:pPr>
      <w:r>
        <w:t>Derecho a un proceso sin dilaciones: dilaciones por planteamiento de cuestión de inconstitucionalidad. Inadmisión de recurso de amparo: causas de inadmisión. Proceso contencioso-administrativo: dilaciones indebidas en el procedimiento.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28 de junio de 2004, el Procurador de los Tribunales don Ramiro Reynolds Martínez, en nombre y representación de don Juan María Velarde Altolaguirre, doña María Guadalupe Velarde Altolaguirre, doña Marta Velarde Altolaguirre, doña María Concepción Velarde Altolaguirre y don Rafael Juan Ignacio Velarde Altolaguirre y de don José Ramón Altolaguirre González-Mendoza y doña María Isabel Altolaguirre González-Mendoza, presentó escrito interponiendo recurso de amparo en defensa de su derecho a un proceso sin dilaciones indebidas, en el recurso contencioso administrativo de la Sala de lo Contencioso-Administrativo del Tribunal Superior de Justicia del País Vasco y en la cuestión de inconstitucionalidad núm 2589-2001.</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La demanda se basa, en síntesis, en los siguientes hechos: </w:t>
      </w:r>
    </w:p>
    <w:p w:rsidR="00CF03FA" w:rsidRDefault="00CF03FA" w:rsidP="00CF03FA">
      <w:pPr>
        <w:pStyle w:val="TextoNormal"/>
      </w:pPr>
      <w:r>
        <w:t xml:space="preserve">a) Los demandantes de amparo interpusieron recurso contencioso-administrativo ante el Tribunal Superior de Justicia del País Vasco, en fecha 29 de diciembre de 1994, por no estar conformes con el justiprecio de un inmueble expropiado parcialmente sito en Idiazábal (Guizpúzcoa), fijado por el Jurado territorial de expropiación forzosa, fijado en fecha 25 de octubre de 1994. </w:t>
      </w:r>
    </w:p>
    <w:p w:rsidR="00CF03FA" w:rsidRDefault="00CF03FA" w:rsidP="00CF03FA">
      <w:pPr>
        <w:pStyle w:val="TextoNormal"/>
      </w:pPr>
      <w:r>
        <w:t xml:space="preserve">b) La Sala de lo Contencioso-Administrativo dio traslado a los recurrentes en fecha 13 de diciembre de 1996 para que formalicen la demanda. Los demandantes no lo hicieron por entender que la Administración no había remitido el expediente completo, siendo reclamado por el Tribunal en fecha 9 de enero de 1997 y, de nuevo, el 30 de julio de 1997. Dado nuevo traslado, se formalizó la demanda, teniéndose por tal el 1 de abril de 1998, contestándose por el Ayuntamiento de Idiazábal el día 4 de mayo de 1998. </w:t>
      </w:r>
    </w:p>
    <w:p w:rsidR="00CF03FA" w:rsidRDefault="00CF03FA" w:rsidP="00CF03FA">
      <w:pPr>
        <w:pStyle w:val="TextoNormal"/>
      </w:pPr>
      <w:r>
        <w:t xml:space="preserve">c) El órgano judicial comprobó la coexistencia, junto con este procedimiento, de otro, de número 286-1995, que se había iniciado por demanda del Ayuntamiento de Idiazábal, que también había impugnado el justiprecio al considerarlo contrario a sus intereses, por lo que </w:t>
      </w:r>
      <w:r>
        <w:lastRenderedPageBreak/>
        <w:t xml:space="preserve">en fecha 1 de junio de 1998 dio traslado a las partes por si procedía la acumulación. En sus alegaciones los recurrentes procedieron a denunciar el retraso de la causa. </w:t>
      </w:r>
    </w:p>
    <w:p w:rsidR="00CF03FA" w:rsidRDefault="00CF03FA" w:rsidP="00CF03FA">
      <w:pPr>
        <w:pStyle w:val="TextoNormal"/>
      </w:pPr>
      <w:r>
        <w:t xml:space="preserve">d) La Sala acordó la acumulación por Auto de fecha 22 de junio de 1998. Como quiera que el asunto núm 286-1995 se encontraba visto para Sentencia, los demandantes instaron la nulidad de todo lo actuado y la retroacción de las actuaciones hasta el momento de contestación a la demanda, para que se les tuviera por parte. Así se acordó en Auto de fecha 23 de noviembre de 1998. </w:t>
      </w:r>
    </w:p>
    <w:p w:rsidR="00CF03FA" w:rsidRDefault="00CF03FA" w:rsidP="00CF03FA">
      <w:pPr>
        <w:pStyle w:val="TextoNormal"/>
      </w:pPr>
      <w:r>
        <w:t xml:space="preserve">e) En fecha 1 de marzo de 1999 se declara que ambos procedimientos se encuentran en el mismo trámite y se acuerda nombrar peritos para tasación. El perito arquitecto nombrado aceptó el cargo el día 23 de julio de 1999, y se le concedió plazo hasta el día 2 de noviembre de 1999. Solicitada ampliación el día 29 de octubre, se le concedió hasta el día 31 de enero de 2000, a lo que se opuso la parte interponiendo recurso de súplica en el que denunció el retraso que se estaba produciendo, siendo desestimado el recurso. </w:t>
      </w:r>
    </w:p>
    <w:p w:rsidR="00CF03FA" w:rsidRDefault="00CF03FA" w:rsidP="00CF03FA">
      <w:pPr>
        <w:pStyle w:val="TextoNormal"/>
      </w:pPr>
      <w:r>
        <w:t xml:space="preserve">f) Por providencia de fecha 13 de diciembre de 2000 se acuerda señalar el día siguiente para votación y fallo, pero el día 18 de diciembre de 2000 la Sala acuerda dar traslado a las partes y el Ministerio Fiscal por si procedía plantear cuestión de inconstitucionalidad sobre el art. 19 de la Ley 9/1989, de 17 de noviembre, del Parlamento Vasco, sobre valoración del suelo. A pesar de la oposición de la parte, se acuerda plantearla el día 8 de marzo de 2001 y, por tanto, suspender el procedimiento. </w:t>
      </w:r>
    </w:p>
    <w:p w:rsidR="00CF03FA" w:rsidRDefault="00CF03FA" w:rsidP="00CF03FA">
      <w:pPr>
        <w:pStyle w:val="TextoNormal"/>
      </w:pPr>
      <w:r>
        <w:t>g) El Tribunal Constitucional admitió a trámite la cuestión con el núm 2589-2001. En este procedimiento constitucional, los demandantes presentaron escrito denunciando el considerable retraso que se estaba produciendo en la resolución del expediente. Por ATC 43/2007, de 13 de febrero, se acordó la extinción de la cuestión por haber sido declarado inconstitucional el precepto cuestionado en la STC 14/2007</w:t>
      </w:r>
    </w:p>
    <w:p w:rsidR="00CF03FA" w:rsidRDefault="00CF03FA" w:rsidP="00CF03FA">
      <w:pPr>
        <w:pStyle w:val="TextoNormal"/>
      </w:pPr>
    </w:p>
    <w:p w:rsidR="00CF03FA" w:rsidRDefault="00CF03FA" w:rsidP="00CF03FA">
      <w:pPr>
        <w:pStyle w:val="TextoNormal"/>
      </w:pPr>
      <w:r w:rsidRPr="00CF03FA">
        <w:rPr>
          <w:rStyle w:val="NumeroAFNegritaCaracter"/>
        </w:rPr>
        <w:t>3</w:t>
      </w:r>
      <w:r>
        <w:t>. Los demandantes de amparo alegan en su demanda vulneración del derecho a un proceso sin dilaciones indebidas, reconocido en el art. 24.2 CE, por el retraso producido en resolver una expropiación de un inmueble de su propiedad por el Ayuntamiento de Idiazábal, en la fase previa a la vía judicial, en el recurso contencioso administrativo núm 5344-1994 y en la resolución de la cuestión de inconstitucionalidad pendiente entonces ante el Tribunal Constitucional.</w:t>
      </w:r>
    </w:p>
    <w:p w:rsidR="00CF03FA" w:rsidRDefault="00CF03FA" w:rsidP="00CF03FA">
      <w:pPr>
        <w:pStyle w:val="TextoNormal"/>
      </w:pPr>
    </w:p>
    <w:p w:rsidR="00CF03FA" w:rsidRDefault="00CF03FA" w:rsidP="00CF03FA">
      <w:pPr>
        <w:pStyle w:val="TextoNormal"/>
      </w:pPr>
      <w:r w:rsidRPr="00CF03FA">
        <w:rPr>
          <w:rStyle w:val="NumeroAFNegritaCaracter"/>
        </w:rPr>
        <w:t>4</w:t>
      </w:r>
      <w:r>
        <w:t>. La Sección Segunda de este Tribunal acordó, por providencia de 25 de mayo de 2007, a tenor de lo dispuesto en el art. 50.3 LOTC, conceder un plazo común de diez días al Ministerio Fiscal y a los solicitantes de amparo para que alegaran en dicho término lo que estimaran pertinente en relación con la posible concurrencia de la causa de inadmisión prevista en el art. 50.1 c) LOTC (carecer la demanda de amparo de contenido que justifique una decisión por parte del Tribunal).</w:t>
      </w:r>
    </w:p>
    <w:p w:rsidR="00CF03FA" w:rsidRDefault="00CF03FA" w:rsidP="00CF03FA">
      <w:pPr>
        <w:pStyle w:val="TextoNormal"/>
      </w:pPr>
    </w:p>
    <w:p w:rsidR="00CF03FA" w:rsidRDefault="00CF03FA" w:rsidP="00CF03FA">
      <w:pPr>
        <w:pStyle w:val="TextoNormal"/>
      </w:pPr>
      <w:r w:rsidRPr="00CF03FA">
        <w:rPr>
          <w:rStyle w:val="NumeroAFNegritaCaracter"/>
        </w:rPr>
        <w:t>5</w:t>
      </w:r>
      <w:r>
        <w:t>. Los demandantes de amparo formularon sus alegaciones ante este Tribunal el 20 de junio de 2007 en las que, tras hacer constar que finalmente recayó Sentencia de fecha de 23 de mayo de 2007 en el recurso contencioso-administrativo, insistieron en que debía admitirse a trámite la demanda y reiteraron las vulneraciones constitucionales alegadas en la demanda de amparo.</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Ministerio Fiscal formuló sus alegaciones por escrito registrado en el Tribunal el 11 de noviembre de 2004. </w:t>
      </w:r>
    </w:p>
    <w:p w:rsidR="00CF03FA" w:rsidRDefault="00CF03FA" w:rsidP="00CF03FA">
      <w:pPr>
        <w:pStyle w:val="TextoNormal"/>
      </w:pPr>
      <w:r>
        <w:lastRenderedPageBreak/>
        <w:t xml:space="preserve">El Fiscal alega, con carácter previo, que el derecho a un proceso sin dilaciones indebidas debe circunscribirse a los retrasos producidos en los procesos judiciales, razón por la que deben quedar al margen todo el trámite administrativo así como también las actuaciones ante el Tribunal Constitucional, ya que se limitan a constatar la adecuación de las normas a la Constitución Española y los demandantes no son partes propiamente dichas en ese procedimiento. </w:t>
      </w:r>
    </w:p>
    <w:p w:rsidR="00CF03FA" w:rsidRDefault="00CF03FA" w:rsidP="00CF03FA">
      <w:pPr>
        <w:pStyle w:val="TextoNormal"/>
      </w:pPr>
      <w:r>
        <w:t xml:space="preserve">Seguidamente, y una vez constatado que los demandantes advirtieron reiteradamente a la Sala de lo Contencioso-Administrativo la dilación producida en el proceso, y de exponer la doctrina constitucional en materia de dilaciones indebidas, pasa el Fiscal a analizar si concurren o no las características jurisprudencialmente exigidas. </w:t>
      </w:r>
    </w:p>
    <w:p w:rsidR="00CF03FA" w:rsidRDefault="00CF03FA" w:rsidP="00CF03FA">
      <w:pPr>
        <w:pStyle w:val="TextoNormal"/>
      </w:pPr>
      <w:r>
        <w:t xml:space="preserve">En primer lugar, el Fiscal expresa su discrepancia sobre el período a tener en cuenta, ya que los recurrentes se retrotraen al expediente administrativo y añaden el período de pendencia constitucional, lo que el Fiscal considera inviable. </w:t>
      </w:r>
    </w:p>
    <w:p w:rsidR="00CF03FA" w:rsidRDefault="00CF03FA" w:rsidP="00CF03FA">
      <w:pPr>
        <w:pStyle w:val="TextoNormal"/>
      </w:pPr>
      <w:r>
        <w:t xml:space="preserve">En segundo lugar, alega que la ausencia de complejidad no puede predicarse de un procedimiento por el objeto del mismo. Deben comprobarse los datos del caso concreto, y en este supuesto lo cierto es que se fueron acumulando una sucesión de cuestiones a resolver con carácter previo e ineludible por el Tribunal: la remisión incompleta por dos veces del expediente administrativo, la coexistencia de dos expedientes que se detectó tarde, la petición de nulidad y retroacción de la causa, y hasta la necesidad de dar el trámite previsto en la LOTC, que acabó en el planteamiento de una cuestión de inconstitucionalidad. </w:t>
      </w:r>
    </w:p>
    <w:p w:rsidR="00CF03FA" w:rsidRDefault="00CF03FA" w:rsidP="00CF03FA">
      <w:pPr>
        <w:pStyle w:val="TextoNormal"/>
      </w:pPr>
      <w:r>
        <w:t xml:space="preserve">En tercer lugar, destaca el Fiscal que muchas de las cuestiones que han tenido que ser resueltas por el Tribunal fueron planteadas por la parte recurrente, y que aunque se produjeron en el proceso algunas paralizaciones no justificadas, debe entenderse que no son de tanta trascendencia como para considerar vulnerado el derecho fundamental vulnerado. </w:t>
      </w:r>
    </w:p>
    <w:p w:rsidR="00CF03FA" w:rsidRDefault="00CF03FA" w:rsidP="00CF03FA">
      <w:pPr>
        <w:pStyle w:val="TextoNormal"/>
      </w:pPr>
      <w:r>
        <w:t xml:space="preserve">En cuarto lugar se refiere el Fiscal a la crítica realizada por los recurrentes en relación al planteamiento de la cuestión de inconstitucionalidad, ya que aquí no sólo denuncian el retraso que la misma produjo, sino también la oportunidad de su planteamiento. Desde luego, alega el Fiscal, “si el Tribunal pensó que la decisión del asunto dependía del art. 19 cuestionado, la LOTC solo le permite acordar la suspensión, como hizo”. Por su parte, sobre la procedencia en cuanto al fondo, el Ministerio Fiscal se limita a indicar que “el transcurso del tiempo esta vez tiene un efecto positivo, ya que el citado art. 19 ha sido declarado inconstitucional, por lo que la cuestión no debía ser infundada, como pretendían los recurrentes”. </w:t>
      </w:r>
    </w:p>
    <w:p w:rsidR="00CF03FA" w:rsidRDefault="00CF03FA" w:rsidP="00CF03FA">
      <w:pPr>
        <w:pStyle w:val="TextoNormal"/>
      </w:pPr>
      <w:r>
        <w:t xml:space="preserve">Por último, aduce el Fiscal que algunas veces el Tribunal Constitucional ha exigido que el retraso, para violentar el derecho fundamental, tiene que haber producido al denunciante un perjuicio efectivo que sea derivado de dicho retraso. Y en este supuesto, tratándose de una expropiación inmobiliaria de un terreno propiedad de los demandantes, sin existir acuerdo en el precio, es evidente que las cosas siguen en el mismo estado en que se encontraban cuando se comenzó no solamente el procedimiento judicial, incluso cuando la administración inició la vía expropiatoria, por lo que no parece exista evidente perjuicio para los interesados, que siguen disfrutando de sus bienes como propietarios. </w:t>
      </w:r>
    </w:p>
    <w:p w:rsidR="00CF03FA" w:rsidRDefault="00CF03FA" w:rsidP="00CF03FA">
      <w:pPr>
        <w:pStyle w:val="TextoNormal"/>
      </w:pPr>
      <w:r>
        <w:t>En función de todo lo anterior, el Fiscal interesó se dictara resolución inadmitiendo a trámite la demanda por entender que el alegado motivo de amparo carece de modo manifiesto de fundamento.</w:t>
      </w:r>
    </w:p>
    <w:p w:rsidR="00CF03FA" w:rsidRDefault="00CF03FA" w:rsidP="00CF03FA">
      <w:pPr>
        <w:pStyle w:val="TextoNormal"/>
      </w:pPr>
    </w:p>
    <w:p w:rsidR="00CF03FA" w:rsidRDefault="00CF03FA" w:rsidP="00CF03FA">
      <w:pPr>
        <w:pStyle w:val="TextoNormalNegritaCentrado"/>
        <w:keepNext/>
      </w:pPr>
      <w:r>
        <w:lastRenderedPageBreak/>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La presente demanda de amparo se plantea por los recurrentes en amparo, en defensa de su derecho a un proceso sin dilaciones indebidas (art. 24.2 CE) en relación con el proceso contencioso-administrativo promovido por los propios recurrentes ante la Sala de lo Contencioso-Administrativo del Tribunal Superior de Justicia del País Vasco. El Ministerio Fiscal considera que la demanda incurre en la causa de inadmisión de carencia manifiesta de contenido constitucional, [art. 50.1 c) LOTC] conforme se ha expuesto con detalle en los antecedentes.</w:t>
      </w:r>
    </w:p>
    <w:p w:rsidR="00CF03FA" w:rsidRDefault="00CF03FA" w:rsidP="00CF03FA">
      <w:pPr>
        <w:pStyle w:val="TextoNormal"/>
      </w:pPr>
    </w:p>
    <w:p w:rsidR="00CF03FA" w:rsidRDefault="00CF03FA" w:rsidP="00CF03FA">
      <w:pPr>
        <w:pStyle w:val="TextoNormal"/>
      </w:pPr>
      <w:r w:rsidRPr="00CF03FA">
        <w:rPr>
          <w:rStyle w:val="NumeroAFNegritaCaracter"/>
        </w:rPr>
        <w:t>2</w:t>
      </w:r>
      <w:r>
        <w:t>. Con carácter previo, deben rechazarse los motivos de amparo alegados ex novo en el escrito de alegaciones presentado por los demandantes en el trámite abierto al amparo del art. 50.3 LOTC, referidos a la imposibilidad de recurrir en casación la Sentencia recaída en el Tribunal Superior por razones de cuantía debido a la estimación parcial de la demanda. Debe recordarse, en este sentido, que en la demanda de amparo es donde se fija el objeto procesal, pues aquélla es la rectora del proceso constitucional, acotando, definiendo y delimitando la pretensión, en relación con las vulneraciones que en ella se citan, debiendo allí individualizarse el acto o disposición cuya nulidad se pretenda, con indicación de la razón para pedirla o causa petendi, sin que sean viables las alteraciones introducidas en ulteriores alegaciones, cuya ratio es completar y, en su caso, reforzar la fundamentación del recurso, mas no ampliarlo o variarlo sustancialmente, en cuanto que en los escritos posteriores a la demanda no cabe modificar el petitum o la causa petendi, agregando extemporáneamente nuevos fundamentos o nuevas pretensiones. Así lo hemos declarado también específicamente en relación con los nuevos motivos o fundamentos introducidos a través del escrito de alegaciones formulado en el trámite del art. 50.3 LOTC en su redacción anterior a la Ley Orgánica 6/2007 (por todas, SSTC 73/2003, de 23 de abril, FJ 1; 144/1996, de 16 de octubre, FJ 2, y ATC 207/1997, de 9 de junio FJ 2).</w:t>
      </w:r>
    </w:p>
    <w:p w:rsidR="00CF03FA" w:rsidRDefault="00CF03FA" w:rsidP="00CF03FA">
      <w:pPr>
        <w:pStyle w:val="TextoNormal"/>
      </w:pPr>
    </w:p>
    <w:p w:rsidR="00CF03FA" w:rsidRDefault="00CF03FA" w:rsidP="00CF03FA">
      <w:pPr>
        <w:pStyle w:val="TextoNormal"/>
      </w:pPr>
      <w:r w:rsidRPr="00CF03FA">
        <w:rPr>
          <w:rStyle w:val="NumeroAFNegritaCaracter"/>
        </w:rPr>
        <w:t>3</w:t>
      </w:r>
      <w:r>
        <w:t>. Para abordar la cuestión suscitada resulta oportuno recordar la doctrina de este Tribunal en relación con el derecho a no padecer dilaciones indebidas que se reconoce en el art. 24.2 CE. A tal efecto basta con recordar que esta misma Sala, en STC 4/2007, de 15 de enero, reiterando doctrina anterior, tiene declarado que:</w:t>
      </w:r>
    </w:p>
    <w:p w:rsidR="00CF03FA" w:rsidRDefault="00CF03FA" w:rsidP="00CF03FA">
      <w:pPr>
        <w:pStyle w:val="TextoNormal"/>
      </w:pPr>
      <w:r>
        <w:t xml:space="preserve">“[E]l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w:t>
      </w:r>
      <w:r>
        <w:lastRenderedPageBreak/>
        <w:t>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CF03FA" w:rsidRDefault="00CF03FA" w:rsidP="00CF03FA">
      <w:pPr>
        <w:pStyle w:val="TextoNormal"/>
      </w:pPr>
      <w:r>
        <w:t>También hemos dicho que es necesario denunciar previamente el retraso o dilación, con el fin de que el Juez o Tribunal pueda reparar la vulneración que se denuncia, de forma que, si previamente no se ha agotado tal posibilidad, la demanda ante el Tribunal Constitucional no puede prosperar. Esta exigencia obedece, ante todo, al carácter subsidiario del amparo, que determina que sean los órganos judiciales los encargados de dispensar en primer lugar la tutela de los derechos fundamentales. Pero también responde al deber de colaboración de todos, y, especialmente, de las partes, con los órganos judiciales en el desarrollo del proceso a los que se encomienda, en definitiva, la prestación de la tutela prevista en el art. 24 CE (entre otras, SSTC 140/1998, de 29 de junio, FJ 4; y 32/1999, de 8 de marzo, FJ 4)”.</w:t>
      </w:r>
    </w:p>
    <w:p w:rsidR="00CF03FA" w:rsidRDefault="00CF03FA" w:rsidP="00CF03FA">
      <w:pPr>
        <w:pStyle w:val="TextoNormal"/>
      </w:pPr>
    </w:p>
    <w:p w:rsidR="00CF03FA" w:rsidRDefault="00CF03FA" w:rsidP="00CF03FA">
      <w:pPr>
        <w:pStyle w:val="TextoNormal"/>
      </w:pPr>
      <w:r w:rsidRPr="00CF03FA">
        <w:rPr>
          <w:rStyle w:val="NumeroAFNegritaCaracter"/>
        </w:rPr>
        <w:t>4</w:t>
      </w:r>
      <w:r>
        <w:t>. La aplicación al caso de la anterior doctrina requiere, con carácter previo, hacer algunas precisiones en relación al periodo al que la queja de los demandantes se refiere.</w:t>
      </w:r>
    </w:p>
    <w:p w:rsidR="00CF03FA" w:rsidRDefault="00CF03FA" w:rsidP="00CF03FA">
      <w:pPr>
        <w:pStyle w:val="TextoNormal"/>
      </w:pPr>
      <w:r>
        <w:t>En primer lugar hay que señalar que el ámbito de vigencia del derecho fundamental a un proceso sin dilaciones indebidas (art. 24.2 CE), según ha declarado este Tribunal, se extiende sólo “a los procedimientos judiciales y no a los administrativos...  pues el término ‘proceso’ utilizado por el art. 24.2 CE es equiparable a actuaciones jurisdiccionales, sin que sea extensible al procedimiento administrativo” [por todas SSTC 308/2006, de 23 de octubre, FJ 6; y 26/1994, de 27 de enero, FJ 3 a)]. Por esta razón, debe prescindirse de las referencias que los demandantes realizan al procedimiento administrativo, que se extendió, según indican los recurrentes, desde 1987 a 1994.</w:t>
      </w:r>
    </w:p>
    <w:p w:rsidR="00CF03FA" w:rsidRDefault="00CF03FA" w:rsidP="00CF03FA">
      <w:pPr>
        <w:pStyle w:val="TextoNormal"/>
      </w:pPr>
      <w:r>
        <w:t>En segundo lugar, los demandantes no imputan propiamente al Tribunal Constitucional la infracción el derecho a un proceso sin dilaciones indebidas; esto es, no denuncian que en la tramitación de la cuestión de inconstitucionalidad núm 2589-2001 se esté incurriendo en la vulneración de ese derecho. Más precisamente, denuncian que con el planteamiento de esa cuestión el Tribunal Superior de Justicia ha sumado una nueva dilación a las que han venido padeciendo desde que se inició el proceso. A su juicio, la cuestión era manifiesta y palmaria improcedente y, por ello, su planteamiento denota un ánimo dilatorio contrario al art. 24.2 CE.</w:t>
      </w:r>
    </w:p>
    <w:p w:rsidR="00CF03FA" w:rsidRDefault="00CF03FA" w:rsidP="00CF03FA">
      <w:pPr>
        <w:pStyle w:val="TextoNormal"/>
      </w:pPr>
      <w:r>
        <w:t xml:space="preserve">Sin embargo, lo cierto es que está fuera de lugar que los demandantes argumenten en su demanda contra el planteamiento de la cuestión de su inconstitucionalidad y su posterior admisión a trámite. Ni siquiera para ilustrar el efecto dilatorio añadido que con su planteamiento ha podido provocar el Tribunal Superior de Justicia. Y ello porque plantear una cuestión de inconstitucionalidad por concurrir las condiciones previstas en los arts. 163 CE y 35 LOTC puede ser una circunstancia constitutiva de una dilación, pero no de una dilación indebida. Máxime cuando, una vez planteada la cuestión de inconstitucionalidad, el Tribunal ordinario no puede, por definición, adoptar en el proceso otra medida que no sea, resuelta la cuestión de inconstitucionalidad pendiente, dictar Sentencia de conformidad con lo resuelto por el Tribunal Constitucional. Por esta razón, debe prescindirse, a los efectos que ahora nos ocupa, del período transcurrido a partir del planteamiento de la cuestión de inconstitucionalidad, lo que tuvo lugar el 8 de marzo de 2001. A ello debe añadirse que la cuestión de inconstitucionalidad resultó no ser, desde luego, improcedente. Fue declarada </w:t>
      </w:r>
      <w:r>
        <w:lastRenderedPageBreak/>
        <w:t>extinguida por pérdida sobrevenida de objeto mediante ATC 43/2007, de 13 de febrero, a la vista de que su objeto era idéntico a la promovida por ese mismo órgano judicial con el núm. 1787-2001 y resuelta por el Tribunal en la STC 14/2007, de 18 de enero, en la que declaró la inconstitucionalidad y nulidad del inciso “o subsidiariamente el 0,2 metros cuadrados de superficie construida o de techo de uso residencial por cada metro cuadrado de suelo” del art. 19 a) de la Ley del Parlamento Vasco 9/1989, de 17 de noviembre, de valoración del suelo. Es decir, que la duda de constitucionalidad planteada por el Tribunal resultó en la declaración de inconstitucionalidad del precepto legal cuestionado.</w:t>
      </w:r>
    </w:p>
    <w:p w:rsidR="00CF03FA" w:rsidRDefault="00CF03FA" w:rsidP="00CF03FA">
      <w:pPr>
        <w:pStyle w:val="TextoNormal"/>
      </w:pPr>
      <w:r>
        <w:t>Finalmente, también debe prescindirse ahora de las paralizaciones que el curso procesal padeció entre la presentación de la demanda el 29 de diciembre de 1994 y el día 8 de junio de 1998, pues no consta que frente a la paralización o pretendida demora producida entre las dos fechas apuntadas se cumpliera con el requisito de denunciarlas.</w:t>
      </w:r>
    </w:p>
    <w:p w:rsidR="00CF03FA" w:rsidRDefault="00CF03FA" w:rsidP="00CF03FA">
      <w:pPr>
        <w:pStyle w:val="TextoNormal"/>
      </w:pPr>
      <w:r>
        <w:t>En definitiva la paralización denunciada se extendió desde el indicado 8 de junio de 1998 hasta el 8 de marzo de 2001, fecha en que la Sala a quo dictó Auto planteando la cuestión de inconstitucionalidad. La impugnación de los recurrentes queda, así pues, circunscrita al período de tiempo indicado, de 2 años y medio. Sobre las concretas circunstancias acaecidas durante este lapso temporal es que deben proyectarse los criterios objetivos destacados por la jurisprudencia constitucional, consistentes esencialmente en la complejidad del litigio, la duración normal de procesos similares y el comportamiento de los litigantes y del órgano judicial actuante.</w:t>
      </w:r>
    </w:p>
    <w:p w:rsidR="00CF03FA" w:rsidRDefault="00CF03FA" w:rsidP="00CF03FA">
      <w:pPr>
        <w:pStyle w:val="TextoNormal"/>
      </w:pPr>
    </w:p>
    <w:p w:rsidR="00CF03FA" w:rsidRDefault="00CF03FA" w:rsidP="00CF03FA">
      <w:pPr>
        <w:pStyle w:val="TextoNormal"/>
      </w:pPr>
      <w:r w:rsidRPr="00CF03FA">
        <w:rPr>
          <w:rStyle w:val="NumeroAFNegritaCaracter"/>
        </w:rPr>
        <w:t>5</w:t>
      </w:r>
      <w:r>
        <w:t>. Aplicando la anterior doctrina al supuesto presente se aprecia que las presuntas dilaciones se habrían producido en un procedimiento contencioso administrativo que, en sí mismo considerado, es un proceso de cierta complejidad, que puede verse notablemente incrementada en función de las circunstancias del caso, lo cual permite justificar su mayor duración. Y en este caso, como se encarga de poner de manifiesto el Ministerio Fiscal, concurrieron diversas circunstancias que contribuyeron a esa duración: así, entre otras, la remisión incompleta del expediente administrativo, por dos veces; la coexistencia de dos expedientes y el incidente de acumulación subsiguiente; la petición de nulidad y retroacción de la causa; y las incidencias procesales propias del planteamiento de la cuestión de inconstitucionalidad. Pues bien, atendiendo a las circunstancias concretas del procedimiento, como apunta el Fiscal, no se advierte una paralización significativa del mismo, en la medida en que el órgano judicial ha ido adoptando las distintas decisiones impuestas por las pretensiones de los demandantes, hasta el extremo de que, como se expuso anteriormente, atendiendo a lo solicitado por los demandantes de amparo (sin duda, ejercitando legítimamente sus derechos), la Sala acordó la nulidad de las actuaciones realizadas en el proceso contencioso administrativo instado por el Ayuntamiento de Idiazabal, una vez que ya estaba concluso para sentencia.</w:t>
      </w:r>
    </w:p>
    <w:p w:rsidR="00CF03FA" w:rsidRDefault="00CF03FA" w:rsidP="00CF03FA">
      <w:pPr>
        <w:pStyle w:val="TextoNormal"/>
      </w:pPr>
      <w:r>
        <w:t>En suma, aunque es desde luego excesivo el tiempo total transcurrido sin que las partes hayan llegado a obtener una solución definitiva del litigio, no cabe concluir que se hayan producido dilaciones indebidas en el mismo, dado que el proceso ha seguido un desarrollo que puede considerarse como normal, habida cuenta su complejidad, las actuaciones instadas por las partes, y la paralización estructural que se produjo en la causa como consecuencia del planteamiento de la cuestión de inconstitucionalidad, que no resulta imputable, desde luego, al Tribunal ordinario.</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lastRenderedPageBreak/>
        <w:t>ACUERDA</w:t>
      </w:r>
    </w:p>
    <w:p w:rsidR="00CF03FA" w:rsidRDefault="00CF03FA" w:rsidP="00CF03FA">
      <w:pPr>
        <w:pStyle w:val="TextoNormalCentrado"/>
      </w:pPr>
    </w:p>
    <w:p w:rsidR="00CF03FA" w:rsidRDefault="00CF03FA" w:rsidP="00CF03FA">
      <w:pPr>
        <w:pStyle w:val="TextoNormal"/>
      </w:pPr>
      <w:r>
        <w:t>Inadmitir el presente recurso de amparo.</w:t>
      </w:r>
    </w:p>
    <w:p w:rsidR="00CF03FA" w:rsidRDefault="00CF03FA" w:rsidP="00CF03FA">
      <w:pPr>
        <w:pStyle w:val="TextoNormal"/>
      </w:pPr>
    </w:p>
    <w:p w:rsidR="00CF03FA" w:rsidRDefault="00CF03FA" w:rsidP="00CF03FA">
      <w:pPr>
        <w:pStyle w:val="TextoNormal"/>
      </w:pPr>
      <w:r>
        <w:t>Madrid, a trece de marzo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44" w:name="AUTO_2008_83"/>
      <w:r>
        <w:lastRenderedPageBreak/>
        <w:t>AUTO 83/2008, de 26 de marzo de 2008</w:t>
      </w:r>
    </w:p>
    <w:bookmarkEnd w:id="144"/>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ECLI:ES:TC:2008:83A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y don Manuel Aragón Reyes.</w:t>
      </w:r>
    </w:p>
    <w:p w:rsidR="00CF03FA" w:rsidRDefault="00CF03FA" w:rsidP="00CF03FA">
      <w:pPr>
        <w:pStyle w:val="SntesisDescriptiva"/>
      </w:pPr>
    </w:p>
    <w:p w:rsidR="00CF03FA" w:rsidRDefault="00CF03FA" w:rsidP="00CF03FA">
      <w:pPr>
        <w:pStyle w:val="SntesisDescriptiva"/>
      </w:pPr>
      <w:r>
        <w:t>Inadmite a trámite el recurso de amparo 10057-2006, promovido por don Evaristo Camacho Cuevas en litigio por despido.</w:t>
      </w:r>
    </w:p>
    <w:p w:rsidR="00CF03FA" w:rsidRDefault="00CF03FA" w:rsidP="00CF03FA">
      <w:pPr>
        <w:pStyle w:val="SntesisDescriptiva"/>
      </w:pPr>
    </w:p>
    <w:p w:rsidR="00CF03FA" w:rsidRDefault="00CF03FA" w:rsidP="00CF03FA">
      <w:pPr>
        <w:pStyle w:val="SntesisAnaltica"/>
      </w:pPr>
      <w:r>
        <w:t>Acceso al recurso legal: recurso de suplicación. Derecho a la asistencia letrada: reclusos. Inadmisión de recurso de amparo: carencia de contenido que justifique una decisión sobre el fondo del asunto.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Con fecha 7 de noviembre de 2006 tuvo entrada en el Registro General de este Tribunal escrito firmado por don Evaristo Camacho Cuevas, interno en el centro penitenciario de Córdoba, y que comparece asistido del Abogado don Valentín J. Aguilar Villuendas, por el que manifiesta su intención de interponer recurso de amparo contra el Auto de 27 de septiembre de 2006 de la Sala de lo Social del Tribunal Superior de Justicia de Andalucía, que desestima el recurso de queja núm. 18-2006 formulado contra los Autos de 24 de marzo y 25 de abril de 2006 del Juzgado de lo Social núm. 3 de Córdoba, dictados en proceso de despido núm. 1-2006, por los que se acuerda la inadmisión del recurso de suplicación anunciado por don Evaristo Camacho Cuevas contra la Sentencia dictada en dicho proceso. En el escrito se interesa la designación de Procurador del turno de oficio para la oportuna formalización de la demanda de amparo, manifestando el Abogado que asume la asistencia letrada del recurrente renunciando a sus honorarios. </w:t>
      </w:r>
    </w:p>
    <w:p w:rsidR="00CF03FA" w:rsidRDefault="00CF03FA" w:rsidP="00CF03FA">
      <w:pPr>
        <w:pStyle w:val="TextoNormal"/>
      </w:pPr>
      <w:r>
        <w:t>Una vez designada por el turno de oficio la Procuradora de los Tribunales doña Raquel Sánchez-Marín García para que represe al recurrente, por diligencia de ordenación del Secretario de Justicia de la Sala Primera de este Tribunal de 10 de enero de 2007 se tuvo por efectuada la designación y se confirió plazo de veinte días para formalizar la demanda de amparo, que fue presentada en el registro de entrada de este Tribunal el 9 de febrero de 2007.</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en que se fundamenta la demanda de amparo son los siguientes: </w:t>
      </w:r>
    </w:p>
    <w:p w:rsidR="00CF03FA" w:rsidRDefault="00CF03FA" w:rsidP="00CF03FA">
      <w:pPr>
        <w:pStyle w:val="TextoNormal"/>
      </w:pPr>
      <w:r>
        <w:t xml:space="preserve">a) El recurrente formuló en su propio nombre el 17 de marzo de 2006, mediante instancia normalizada del centro penitenciario en el que se encontraba cumpliendo condena, anuncio de recurso de suplicación contra la Sentencia dictada por el Juzgado de lo Social núm. 3 de Córdoba en proceso de despido núm. 1-2006, que le había sido notificada el 15 de marzo de 2006. Dicho escrito tuvo entrada en el Juzgado de lo Social el siguiente 24 de marzo, y en </w:t>
      </w:r>
      <w:r>
        <w:lastRenderedPageBreak/>
        <w:t xml:space="preserve">esa misma fecha el Juzgado dicta Auto declarando no tener por anunciado recurso de suplicación, al haber sido presentado el escrito de anuncio fuera del plazo de cinco días establecido en el art. 192.1 de la Ley de procedimiento laboral (LPL). </w:t>
      </w:r>
    </w:p>
    <w:p w:rsidR="00CF03FA" w:rsidRDefault="00CF03FA" w:rsidP="00CF03FA">
      <w:pPr>
        <w:pStyle w:val="TextoNormal"/>
      </w:pPr>
      <w:r>
        <w:t>b) Contra este Auto formuló recurso de reposición, aduciendo que la fecha a tener en cuenta era la de presentación del escrito en el centro penitenciario y no la de recepción en el Juzgado, atendiendo a las especiales circunstancias de la privación de libertad. El recurso fue desestimado por Auto del Juzgado de lo Social de 25 de abril de 2006, contra el que interpuso recurso de queja, que fue igualmente desestimado por Auto de la Sala de lo Social del Tribunal Superior de Justicia de Andalucía de 27 de septiembre de 2006, razonando la Sala que si bien es cierto que el recurrente se encuentra interno en un centro penitenciario, no lo es menos que ha actuado desde el inicio del proceso asistido de Letrado, profesional que pudo haber presentado el escrito de anuncio del recurso ante el Juzgado de lo Social dentro del plazo establecido en el art. 192.1 LPL, sin perjuicio de que el propio recurrente también pudo haber manifestado personalmente su propósito de recurrir en suplicación al serle notificada la Sentencia en el centro penitenciario, de conformidad con lo dispuesto en ese mismo precepto.</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El demandante de amparo alega la vulneración del derecho a la tutela judicial efectiva (art. 24.1 CE), en relación con el derecho a la igualdad (art. 14 CE). En primer lugar, sostiene que ha actuado diligentemente al anunciar el recurso de suplicación desde el centro penitenciario, ya que no pudo ordenar a su Abogado que lo hiciera, debido a que el centro penitenciario le impidió comunicarse con éste. Aduce que esa obstrucción ha sido denunciada ante el Juzgado de Vigilancia Penitenciaria, y que la resolución desestimatoria se encuentra impugnada en el recurso de amparo núm. 8366-2006. En segundo lugar, sostiene que la interpretación realizada por los Autos impugnados coloca al interno en situación de desigualdad, al disponer de un plazo menor del previsto legalmente para recurrir. En suma, considera que el recurso de suplicación debió entenderse anunciado dentro del plazo establecido en art. 192.1 LPL, pues, dada la situación de privación de libertad del recurrente, la fecha a tener en cuenta debe ser la de presentación del escrito en el centro penitenciario, no la de recepción en el Juzgado del Social. </w:t>
      </w:r>
    </w:p>
    <w:p w:rsidR="00CF03FA" w:rsidRDefault="00CF03FA" w:rsidP="00CF03FA">
      <w:pPr>
        <w:pStyle w:val="TextoNormal"/>
      </w:pPr>
      <w:r>
        <w:t>Por ello solicita que se le otorgue el amparo, declarando la nulidad de los Autos impugnados y ordenando que se retrotraigan las actuaciones al Juzgado de lo Social para que tenga por anunciado el recurso de suplicación.</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Primera de este Tribunal de 18 de enero de 2008 se acordó, conforme a lo dispuesto en el art. 50.3 LOTC, conceder un plazo común de diez días al Ministerio Fiscal y al solicitante de amparo para que dentro de dicho término alegaran lo que estimasen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LOTC.</w:t>
      </w:r>
    </w:p>
    <w:p w:rsidR="00CF03FA" w:rsidRDefault="00CF03FA" w:rsidP="00CF03FA">
      <w:pPr>
        <w:pStyle w:val="TextoNormal"/>
      </w:pPr>
    </w:p>
    <w:p w:rsidR="00CF03FA" w:rsidRDefault="00CF03FA" w:rsidP="00CF03FA">
      <w:pPr>
        <w:pStyle w:val="TextoNormal"/>
      </w:pPr>
      <w:r w:rsidRPr="00CF03FA">
        <w:rPr>
          <w:rStyle w:val="NumeroAFNegritaCaracter"/>
        </w:rPr>
        <w:t>5</w:t>
      </w:r>
      <w:r>
        <w:t>. El recurrente presentó su escrito de alegaciones el 5 de febrero de 2008, ratificándose en los argumentos expuestos en la demanda de amparo y solicitando su admisión a trámite.</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6</w:t>
      </w:r>
      <w:r>
        <w:t xml:space="preserve">. El Ministerio Fiscal, mediante escrito registrado en este Tribunal el día 15 de febrero de 2008, solicitó la inadmisión del recurso de amparo, por carecer de contenido constitucional. </w:t>
      </w:r>
    </w:p>
    <w:p w:rsidR="00CF03FA" w:rsidRDefault="00CF03FA" w:rsidP="00CF03FA">
      <w:pPr>
        <w:pStyle w:val="TextoNormal"/>
      </w:pPr>
      <w:r>
        <w:t xml:space="preserve">Señala el Fiscal que la presentación del escrito anunciando recurso de suplicación en el propio centro penitenciario únicamente sería admisible en el caso de que el recurrente, que intervino en el proceso laboral asistido de Letrado de su libre designación, no hubiera dispuesto de la oportunidad de anunciar el recurso directamente ante el Juzgado de lo Social. Sin embargo, no es esto lo que sucede en el caso que nos ocupa, ya que, tal como se reconoce en la demanda de amparo, el Letrado designado por el recurrente conocía la sentencia dictada por el Juzgado de lo Social, no existiendo obstáculo alguno para que dicho Letrado anunciara el recurso de suplicación. Y no cabe objetar que el Letrado no se considerase autorizado a anunciar el recurso por su propia iniciativa, si se tiene en cuenta la intrascendencia del compromiso que habría asumido en nombre de su cliente anunciando el recurso, pues tal actuación procesal sólo supone una mera oposición a la inmediata firmeza de la sentencia, que sólo se pospondría diez días más, si finalmente el interno no mostraba su conformidad con la interposición del recurso. </w:t>
      </w:r>
    </w:p>
    <w:p w:rsidR="00CF03FA" w:rsidRDefault="00CF03FA" w:rsidP="00CF03FA">
      <w:pPr>
        <w:pStyle w:val="TextoNormal"/>
      </w:pPr>
      <w:r>
        <w:t>Por otra parte, continúa el Ministerio Fiscal, cabe advertir la facilidad para comunicar el recurrente con su Letrado por vía telefónica, conforme a lo dispuesto en el art. 47 del Reglamento penitenciario, sin que se oponga ello lo resuelto en el Auto de 24 de marzo de 2006 del Juzgado de Vigilancia Penitenciaria núm. 8 de Andalucía, toda vez que, como resulta del mismo, el centro penitenciario no ha denegado de forma genérica tales comunicaciones, sino la irregular pretensión del interno de modificar la catalogación de números telefónicos autorizados, con el fin de que se incluyera el teléfono de su Letrado en la misma categoría que los de sus familiares.</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Es oportuno recordar que, conforme a reiterada doctrina de este Tribunal, cuando se alega, como sucede en el presente asunto, una supuesta lesión del derecho a la tutela judicial efectiva (art. 24.1 CE), en su vertiente de derecho de acceso a los recursos legalmente establecidos, el control que compete al Tribunal Constitucional de las resoluciones judiciales de inadmisión de un determinado recurso —dejando aparte el supuesto de sentencias condenatorias del orden penal— es meramente externo y se limita a comprobar si tienen motivación y si han incurrido en error material patente, en arbitrariedad o en manifiesta irrazonabilidad lógica, evitando toda ponderación acerca de la corrección jurídica de las mismas (SSTC 37/1995, de 7 de febrero, FJ 6; 258/2000, de 30 de octubre, FJ 2; 181/2001, de 17 de septiembre, FJ 4; 46/2004, de 23 de marzo, FJ 4; y 164/2004, de 4 de octubre, FJ 4, entre otras muchas).</w:t>
      </w:r>
    </w:p>
    <w:p w:rsidR="00CF03FA" w:rsidRDefault="00CF03FA" w:rsidP="00CF03FA">
      <w:pPr>
        <w:pStyle w:val="TextoNormal"/>
      </w:pPr>
      <w:r>
        <w:t xml:space="preserve">También hemos declarado que el instituto de la caducidad constituye una de las causas legales impeditivas de un pronunciamiento sobre el fondo y que, como tal presupuesto procesal establecido legalmente en aras del principio de seguridad jurídica (art.  9.3 CE), no vulnera por sí mismo el derecho a la tutela judicial efectiva, como tampoco se deriva ninguna lesión de su correcta aplicación por parte de los órganos judiciales (por todas, SSTC 214/2002, de 11 de noviembre, FJ 5; 154/2004, de 20 de septiembre, FJ 4; y 265/2006, de 11 de septiembre, FJ 5). El control de constitucionalidad en estos casos es el mismo que para el resto de los plazos procesales; esto es, que su cómputo constituye una cuestión de </w:t>
      </w:r>
      <w:r>
        <w:lastRenderedPageBreak/>
        <w:t>estricta legalidad ordinaria sobre la que únicamente corresponde pronunciarse al órgano judicial [arts. 117.3 CE y 44.1 b) LOTC]. Sin embargo nada impide que adquiera una dimensión constitucional cuando la decisión judicial suponga la inadmisión de un proceso o recurso como consecuencia de haberse realizado un cómputo manifiestamente erróneo, o se haya apreciado la caducidad sin razonamiento o con un razonamiento arbitrario o irrazonable (por todas, SSTC 155/2002, de 22 de julio, FJ 3; 27/2003, de 10 de febrero, FJ 4, y 188/2003, de 27 de octubre, FJ 4).</w:t>
      </w:r>
    </w:p>
    <w:p w:rsidR="00CF03FA" w:rsidRDefault="00CF03FA" w:rsidP="00CF03FA">
      <w:pPr>
        <w:pStyle w:val="TextoNormal"/>
      </w:pPr>
    </w:p>
    <w:p w:rsidR="00CF03FA" w:rsidRDefault="00CF03FA" w:rsidP="00CF03FA">
      <w:pPr>
        <w:pStyle w:val="TextoNormal"/>
      </w:pPr>
      <w:r w:rsidRPr="00CF03FA">
        <w:rPr>
          <w:rStyle w:val="NumeroAFNegritaCaracter"/>
        </w:rPr>
        <w:t>2</w:t>
      </w:r>
      <w:r>
        <w:t>. Por otra parte, este Tribunal ha tenido asimismo en cuenta la dificultad que puede suponer para los ciudadanos internos en centros penitenciarios la presentación temporánea de escritos suscritos por ellos y dirigidos a los órganos judiciales, en los casos en que no disponen de representación técnica y asistencia letrada o la legislación procesal les permite actuar por sí mismos. En este sentido hemos declarado que, toda vez que en tales casos la presentación del escrito no puede efectuarse personalmente en el registro del órgano judicial, debe entenderse que se ha presentado, a efectos de cómputo de los plazos procesales, en la fecha en que el interno lo entrega a la Administración penitenciaria para su remisión al órgano judicial correspondiente, y no en la fecha en que el escrito tenga entrada en el registro del órgano judicial. Así lo declaró tempranamente este Tribunal Constitucional, con amplio razonamiento, en la STC 29/1981, de 24 de julio (FFJJ 4 a 6), en doctrina que hemos reiterado posteriormente (por todas, SSTC 11/2003, de 27 de enero, FJ 4, y 1/2007, de 15 de enero, FJ 2).</w:t>
      </w:r>
    </w:p>
    <w:p w:rsidR="00CF03FA" w:rsidRDefault="00CF03FA" w:rsidP="00CF03FA">
      <w:pPr>
        <w:pStyle w:val="TextoNormal"/>
      </w:pPr>
      <w:r>
        <w:t>Con arreglo a esta doctrina, el recurrente alega que la decisión judicial de inadmisión de su recurso de suplicación constituye una vulneración del derecho a la tutela judicial efectiva (art. 24.1 CE), en relación con el derecho a la igualdad (art. 14 CE), pues la interpretación realizada por los Autos impugnados coloca al interno en situación de desigualdad, al disponer de un plazo menor del previsto legalmente para recurrir, conforme señala la STC 29/1981, FJ 6. Sostiene el recurrente que, dentro del plazo de cinco días previsto en el art. 192.1 de la Ley de procedimiento laboral (LPL), anunció por sí mismo el recurso de suplicación desde el centro penitenciario, al no poder ordenar a su Abogado que lo hiciera, debido a que el centro penitenciario le impidió comunicarse con éste, incomunicación que ha denunciado oportunamente ante el Juzgado de Vigilancia Penitenciaria, cuya resolución desestimatoria ha impugnado ante el Tribunal Constitucional en el recurso de amparo núm.  8366-2006.</w:t>
      </w:r>
    </w:p>
    <w:p w:rsidR="00CF03FA" w:rsidRDefault="00CF03FA" w:rsidP="00CF03FA">
      <w:pPr>
        <w:pStyle w:val="TextoNormal"/>
      </w:pPr>
      <w:r>
        <w:t>En suma, considera el recurrente que el anuncio del recurso de suplicación debió entenderse presentado dentro del plazo legalmente establecido, pues, dada la situación de privación de libertad, la fecha a tener en cuenta debe ser la de presentación del escrito en el establecimiento penitenciario, no la de recepción en el registro del Juzgado del Social.</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Tales alegaciones, sin embargo, no pueden ser atendidas. En lo que se refiere a las aducidas dificultades de comunicación del recurrente con su Abogado, las mismas carecen de todo sustento en la realidad. En efecto, como acertadamente pone de relieve el Ministerio Fiscal, resulta de las actuaciones que no es cierto que el centro penitenciario haya denegado de forma genérica e incondicionada al recurrente la comunicación telefónica con su Letrado, sino que lo que se ha denegado es la irregular pretensión del interno de modificar la catalogación de números telefónicos autorizados, con el fin de que se incluyera el teléfono de su Letrado en la misma categoría de los teléfonos de familiares, así como la pretensión de llamar a cobro revertido.  Por lo demás, el recurso de amparo núm. 8366-2006, interpuesto </w:t>
      </w:r>
      <w:r>
        <w:lastRenderedPageBreak/>
        <w:t>por el recurrente contra el Auto del Juzgado de Vigilancia Penitenciaria núm. 8 de Andalucía que desestima la queja del interno sobre este punto, ha sido inadmitido por carencia manifiesta de contenido constitucional por providencia de la Sección Cuarta de este Tribunal de 19 de noviembre de 2007.</w:t>
      </w:r>
    </w:p>
    <w:p w:rsidR="00CF03FA" w:rsidRDefault="00CF03FA" w:rsidP="00CF03FA">
      <w:pPr>
        <w:pStyle w:val="TextoNormal"/>
      </w:pPr>
      <w:r>
        <w:t>Así pues, no se acredita en modo alguno que al recurrente le haya sido denegada por el centro penitenciario la autorización para comunicar telefónicamente con su Abogado, de conformidad con el art. 47.1 b) del Reglamento penitenciario, a fin de instruirle sobre su intención de formular recurso de suplicación contra la Sentencia dictada por el Juzgado de lo Social.</w:t>
      </w:r>
    </w:p>
    <w:p w:rsidR="00CF03FA" w:rsidRDefault="00CF03FA" w:rsidP="00CF03FA">
      <w:pPr>
        <w:pStyle w:val="TextoNormal"/>
      </w:pPr>
      <w:r>
        <w:t>Además de lo anterior ha de recordarse que el Abogado del recurrente estaba facultado legalmente, en virtud de lo dispuesto en el citado art. 192.1 LPL, para anunciar el recurso de suplicación, bastando a tal efecto la mera manifestación, en el momento de notificación de la Sentencia, de su propósito de entablarlo, y pudiendo hacerlo también por comparecencia o mediante escrito ante el Juzgado de lo Social en el plazo de cinco días hábiles siguientes a dicha notificación. No es óbice para que el Abogado hubiera anunciado el recurso la falta de orden expresa de su cliente en tal sentido, pues, como apunta el Ministerio Fiscal, asumiendo tal iniciativa el Letrado no contraía ningún compromiso que pudiera perjudicar a su cliente; antes al contrario, con el anuncio se evitaba la inmediata firmeza de la Sentencia y se ganaba tiempo para conocer la decisión del interno, de suerte que, si al final éste no mostrara su conformidad con la interposición del recurso de suplicación, bastaría con dejar transcurrir el plazo establecido por el art. 193.1 LPL sin presentar el escrito de interposición. Dicho de otro modo, una actuación diligente por parte del Letrado del recurrente, anunciando recurso de suplicación, suponía asumir un compromiso intrascendente para el caso de que finalmente el interno optase por no recurrir la Sentencia, siendo al propio tiempo una actuación procesal beneficiosa para los intereses del interno si su decisión fuera la de presentar el recurso de suplicación.</w:t>
      </w:r>
    </w:p>
    <w:p w:rsidR="00CF03FA" w:rsidRDefault="00CF03FA" w:rsidP="00CF03FA">
      <w:pPr>
        <w:pStyle w:val="TextoNormal"/>
      </w:pPr>
    </w:p>
    <w:p w:rsidR="00CF03FA" w:rsidRDefault="00CF03FA" w:rsidP="00CF03FA">
      <w:pPr>
        <w:pStyle w:val="TextoNormal"/>
      </w:pPr>
      <w:r w:rsidRPr="00CF03FA">
        <w:rPr>
          <w:rStyle w:val="NumeroAFNegritaCaracter"/>
        </w:rPr>
        <w:t>4</w:t>
      </w:r>
      <w:r>
        <w:t>. En definitiva, las circunstancias concurrentes en el presente caso abonan la conclusión de que la decisión judicial de no tener por anunciado el recurso de suplicación, por haber sido presentado el escrito de anuncio ante el Juzgado de lo Social fuera del plazo de cinco días establecido en el art. 192.1 LPL, se fundamenta en una interpretación de las normas procesales que regulan el acceso al recurso de suplicación que no incurre en arbitrariedad, irrazonabilidad ni error patente, lo que determina que la queja del recurrente resulte inadmisible en virtud del art. 50.1 c) LOTC (en relación con la disposición transitoria tercera de la Ley Orgánica 6/2007, de 24 de mayo), por carecer manifiestamente de contenido que justifique una decisión sobre el fondo del mismo por parte de este Tribunal.</w:t>
      </w:r>
    </w:p>
    <w:p w:rsidR="00CF03FA" w:rsidRDefault="00CF03FA" w:rsidP="00CF03FA">
      <w:pPr>
        <w:pStyle w:val="TextoNormal"/>
      </w:pPr>
    </w:p>
    <w:p w:rsidR="00CF03FA" w:rsidRDefault="00CF03FA" w:rsidP="00CF03FA">
      <w:pPr>
        <w:pStyle w:val="TextoNormal"/>
      </w:pPr>
      <w:r>
        <w:t>Por todo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La inadmisión de la demanda de amparo por su carencia manifiesta de contenido que justifique una decisión sobre su fondo [art. 50.1 c) LOTC] y el archivo de las actuaciones.</w:t>
      </w:r>
    </w:p>
    <w:p w:rsidR="00CF03FA" w:rsidRDefault="00CF03FA" w:rsidP="00CF03FA">
      <w:pPr>
        <w:pStyle w:val="TextoNormal"/>
      </w:pPr>
    </w:p>
    <w:p w:rsidR="00CF03FA" w:rsidRDefault="00CF03FA" w:rsidP="00CF03FA">
      <w:pPr>
        <w:pStyle w:val="TextoNormal"/>
      </w:pPr>
      <w:r>
        <w:t>Madrid, a veintiséis de marzo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45" w:name="AUTO_2008_84"/>
      <w:r>
        <w:lastRenderedPageBreak/>
        <w:t>AUTO 84/2008, de 28 de marzo de 2008</w:t>
      </w:r>
    </w:p>
    <w:bookmarkEnd w:id="145"/>
    <w:p w:rsidR="00CF03FA" w:rsidRDefault="00CF03FA" w:rsidP="00CF03FA">
      <w:pPr>
        <w:pStyle w:val="TtuloResolucin"/>
      </w:pPr>
      <w:r>
        <w:t>Sección Segunda</w:t>
      </w:r>
    </w:p>
    <w:p w:rsidR="00CF03FA" w:rsidRDefault="00CF03FA" w:rsidP="00CF03FA">
      <w:pPr>
        <w:pStyle w:val="TtuloResolucin"/>
      </w:pPr>
    </w:p>
    <w:p w:rsidR="00CF03FA" w:rsidRDefault="00CF03FA" w:rsidP="00CF03FA">
      <w:pPr>
        <w:pStyle w:val="SntesisDescriptiva"/>
      </w:pPr>
      <w:r>
        <w:t>ECLI:ES:TC:2008:84A</w:t>
      </w:r>
    </w:p>
    <w:p w:rsidR="00CF03FA" w:rsidRDefault="00CF03FA" w:rsidP="00CF03FA">
      <w:pPr>
        <w:pStyle w:val="SntesisDescriptiva"/>
      </w:pPr>
    </w:p>
    <w:p w:rsidR="00CF03FA" w:rsidRDefault="00CF03FA" w:rsidP="00CF03FA">
      <w:pPr>
        <w:pStyle w:val="SntesisDescriptiva"/>
      </w:pPr>
      <w:r>
        <w:t>Excms. Srs. don Jorge Rodríguez-Zapata Pérez, don Roberto García-Calvo y Montiel y don Pablo Pérez Tremps.</w:t>
      </w:r>
    </w:p>
    <w:p w:rsidR="00CF03FA" w:rsidRDefault="00CF03FA" w:rsidP="00CF03FA">
      <w:pPr>
        <w:pStyle w:val="SntesisDescriptiva"/>
      </w:pPr>
    </w:p>
    <w:p w:rsidR="00CF03FA" w:rsidRDefault="00CF03FA" w:rsidP="00CF03FA">
      <w:pPr>
        <w:pStyle w:val="SntesisDescriptiva"/>
      </w:pPr>
      <w:r>
        <w:t>Inadmite a trámite el recurso de amparo 2744-2005, promovido por doña María Isabel Grimaldos García en causa por delito de acoso sexual.</w:t>
      </w:r>
    </w:p>
    <w:p w:rsidR="00CF03FA" w:rsidRDefault="00CF03FA" w:rsidP="00CF03FA">
      <w:pPr>
        <w:pStyle w:val="SntesisDescriptiva"/>
      </w:pPr>
    </w:p>
    <w:p w:rsidR="00CF03FA" w:rsidRDefault="00CF03FA" w:rsidP="00CF03FA">
      <w:pPr>
        <w:pStyle w:val="SntesisAnaltica"/>
      </w:pPr>
      <w:r>
        <w:t>Agotamiento de recursos en la vía judicial: cuestión sub iudice. Inadmisión de recurso de amparo: causas de inadmisión.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registrado en este Tribunal el día 18 de abril de 2005 doña María Isabel Grimaldos García, licenciada en Derecho, formuló demanda de amparo contra el Auto de la Sección Tercera de la Audiencia Provincial de Murcia de 3 de marzo de 2005, que desestimaba el recurso de apelación interpuesto contra el Auto de 28 de diciembre de 2004 del Juzgado de Instrucción núm. 5, dictado en las diligencias previas núm. 6246-2003. </w:t>
      </w:r>
    </w:p>
    <w:p w:rsidR="00CF03FA" w:rsidRDefault="00CF03FA" w:rsidP="00CF03FA">
      <w:pPr>
        <w:pStyle w:val="TextoNormal"/>
      </w:pPr>
      <w:r>
        <w:t xml:space="preserve">a) La recurrente, profesora del Departamento de Derecho Mercantil de la Universidad de Murcia denunció al Director del Departamento por un delito de acoso sexual, instruyendo el Juzgado núm. 5 de Murcia las expresadas diligencias previas. </w:t>
      </w:r>
    </w:p>
    <w:p w:rsidR="00CF03FA" w:rsidRDefault="00CF03FA" w:rsidP="00CF03FA">
      <w:pPr>
        <w:pStyle w:val="TextoNormal"/>
      </w:pPr>
      <w:r>
        <w:t xml:space="preserve">b) En el marco de estas diligencias, el Juzgado por providencia de 7 de julio de 2004 acordó oficiar “al Centro de Salud Mental Murcia II, a fin de que remita el historial médico de María Isabel Grimaldos García”, presentando su defensa recurso de reforma contra la misma con fecha 19 de julio de 2004 alegando que se adoptaran por el Juzgado una serie de garantías, como la no incorporación del expediente en su totalidad, porque en caso contrario podría verse vulnerado su derecho a la intimidad. El órgano judicial dicta nueva providencia de 18 de noviembre de 2004, por la que acuerda “dar traslado del historial médico recibido de María Isabel Grimaldos a las partes personadas”, resolución que es también objeto de impugnación por la parte afectada por escrito de 24 de noviembre de 2004. </w:t>
      </w:r>
    </w:p>
    <w:p w:rsidR="00CF03FA" w:rsidRDefault="00CF03FA" w:rsidP="00CF03FA">
      <w:pPr>
        <w:pStyle w:val="TextoNormal"/>
      </w:pPr>
      <w:r>
        <w:t>c) El Juzgado de Instrucción resuelve los dos recursos interpuestos contra las expresadas providencias por Auto de 28 de diciembre de 2004, razonando que la historia médica de la paciente ha de ser incorporada a las actuaciones documental en toda su extensión al no ser posibles discernir aspectos que no tengan relación con el caso que se enjuicia, confirmándose tal conclusión por Auto de la Sección Tercera de la Audiencia Provincial de Murcia de 3 de marzo de 2005, resolutorio de la apelación presentada.</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La recurrente atribuye la lesión del derecho a la intimidad personal (art. 18.1 CE) a la resolución impugnada, razonando que la información relativa a su historia clínica-psiquiátrica, datos incorporados a la causa por disposición judicial, constituye la parte más íntima </w:t>
      </w:r>
      <w:r>
        <w:lastRenderedPageBreak/>
        <w:t>de su privacidad. Por ello, ésta debe ser protegida suficientemente del conocimiento innecesario de terceros, precaución que no se ha respetado en el presente caso.</w:t>
      </w:r>
    </w:p>
    <w:p w:rsidR="00CF03FA" w:rsidRDefault="00CF03FA" w:rsidP="00CF03FA">
      <w:pPr>
        <w:pStyle w:val="TextoNormal"/>
      </w:pPr>
    </w:p>
    <w:p w:rsidR="00CF03FA" w:rsidRDefault="00CF03FA" w:rsidP="00CF03FA">
      <w:pPr>
        <w:pStyle w:val="TextoNormal"/>
      </w:pPr>
      <w:r w:rsidRPr="00CF03FA">
        <w:rPr>
          <w:rStyle w:val="NumeroAFNegritaCaracter"/>
        </w:rPr>
        <w:t>3</w:t>
      </w:r>
      <w:r>
        <w:t>. Por providencia de 22 de mayo de 2007 la Sección Segunda de este Tribunal, de conformidad con lo dispuesto en el art. 50.3 LOTC, acordó conceder un plazo común de diez días a la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00CF03FA" w:rsidRDefault="00CF03FA" w:rsidP="00CF03FA">
      <w:pPr>
        <w:pStyle w:val="TextoNormal"/>
      </w:pPr>
    </w:p>
    <w:p w:rsidR="00CF03FA" w:rsidRDefault="00CF03FA" w:rsidP="00CF03FA">
      <w:pPr>
        <w:pStyle w:val="TextoNormal"/>
      </w:pPr>
      <w:r w:rsidRPr="00CF03FA">
        <w:rPr>
          <w:rStyle w:val="NumeroAFNegritaCaracter"/>
        </w:rPr>
        <w:t>4</w:t>
      </w:r>
      <w:r>
        <w:t>. El Ministerio Fiscal evacuó el trámite de alegaciones conferido mediante escrito registrado el 12 de junio de 2007. En dicho escrito, luego de centrar la cuestión planteada, no en la idoneidad de la medida adoptada, sino en su proporcionalidad dada la manera en que ésta se adoptó por el Juzgado, concluye afirmando que la queja presentada sobre vulneración de la intimidad puede considerarse como prematura, ya que la recurrente puede volver a plantearla en el proceso subyacente.</w:t>
      </w:r>
    </w:p>
    <w:p w:rsidR="00CF03FA" w:rsidRDefault="00CF03FA" w:rsidP="00CF03FA">
      <w:pPr>
        <w:pStyle w:val="TextoNormal"/>
      </w:pPr>
    </w:p>
    <w:p w:rsidR="00CF03FA" w:rsidRDefault="00CF03FA" w:rsidP="00CF03FA">
      <w:pPr>
        <w:pStyle w:val="TextoNormal"/>
      </w:pPr>
      <w:r w:rsidRPr="00CF03FA">
        <w:rPr>
          <w:rStyle w:val="NumeroAFNegritaCaracter"/>
        </w:rPr>
        <w:t>5</w:t>
      </w:r>
      <w:r>
        <w:t>. El 4 de diciembre de 2007 se extiende diligencia por el Secretario judicial de la Sala Primera, dando cuenta de que en la expresada fecha no se había recibido escrito de la recurrente evacuando el traslado conferido.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En la línea de lo dicho por el Fiscal ha de entenderse no cumplido el requisito del agotamiento previo de la vía judicial del art. 44.1 a) LOTC, ya que la demanda se dirige frente a resoluciones judiciales dictadas en el seno de un proceso penal</w:t>
      </w:r>
    </w:p>
    <w:p w:rsidR="00CF03FA" w:rsidRDefault="00CF03FA" w:rsidP="00CF03FA">
      <w:pPr>
        <w:pStyle w:val="TextoNormal"/>
      </w:pPr>
      <w:r>
        <w:t>que aún no ha concluido, encontrándose la causa en el momento de la presentación de aquella en fase de diligencias previas. En este sentido, hemos venido señalando de manera reiterada que la razón de ser de la citada causa de inadmisión “es la de</w:t>
      </w:r>
    </w:p>
    <w:p w:rsidR="00CF03FA" w:rsidRDefault="00CF03FA" w:rsidP="00CF03FA">
      <w:pPr>
        <w:pStyle w:val="TextoNormal"/>
      </w:pPr>
      <w:r>
        <w:t xml:space="preserve">garantizar la naturaleza subsidiaria del recurso de amparo, evitando que este Tribunal se pronuncie sobre eventuales lesiones de derechos fundamentales o libertades públicas y proceda, de acuerdo con el objeto del recurso de amparo previsto en el art. </w:t>
      </w:r>
    </w:p>
    <w:p w:rsidR="00CF03FA" w:rsidRDefault="00CF03FA" w:rsidP="00CF03FA">
      <w:pPr>
        <w:pStyle w:val="TextoNormal"/>
      </w:pPr>
      <w:r>
        <w:t>41.3 de su Ley Orgánica, a restablecerlos o preservarlos, cuando ello puede aún tener lugar a través de las vías procesales que se hallen establecidas, por los órganos judiciales” (SSTC 72/2000, de 13 de marzo, FJ 3 y 214/2000, de 18 de septiembre, FJ 3,</w:t>
      </w:r>
    </w:p>
    <w:p w:rsidR="00CF03FA" w:rsidRDefault="00CF03FA" w:rsidP="00CF03FA">
      <w:pPr>
        <w:pStyle w:val="TextoNormal"/>
      </w:pPr>
      <w:r>
        <w:t>por todas). En el presente caso, la eventual vulneración constitucional que se denuncia (art. 18.1 CE) todavía puede ser planteada ante el órgano judicial, y en su caso reparada, en los sucesivos trámites procesales que restan, entre estos al inicio de</w:t>
      </w:r>
    </w:p>
    <w:p w:rsidR="00CF03FA" w:rsidRDefault="00CF03FA" w:rsidP="00CF03FA">
      <w:pPr>
        <w:pStyle w:val="TextoNormal"/>
      </w:pPr>
      <w:r>
        <w:t>las sesiones del juicio oral y en los correspondientes recursos ante la Audiencia Provincial contra las resoluciones del Juez de instancia, tal como se viene haciendo habitualmente en otros supuestos en que también se denuncia la lesión del mismo derecho</w:t>
      </w:r>
    </w:p>
    <w:p w:rsidR="00CF03FA" w:rsidRDefault="00CF03FA" w:rsidP="00CF03FA">
      <w:pPr>
        <w:pStyle w:val="TextoNormal"/>
      </w:pPr>
      <w:r>
        <w:t>fundamental (intervenciones telefónicas, registros domiciliarios, toma de muestras corporales, etc…).</w:t>
      </w:r>
    </w:p>
    <w:p w:rsidR="00CF03FA" w:rsidRDefault="00CF03FA" w:rsidP="00CF03FA">
      <w:pPr>
        <w:pStyle w:val="TextoNormal"/>
      </w:pPr>
    </w:p>
    <w:p w:rsidR="00CF03FA" w:rsidRDefault="00CF03FA" w:rsidP="00CF03FA">
      <w:pPr>
        <w:pStyle w:val="TextoNormal"/>
      </w:pPr>
      <w:r>
        <w:t>Por lo expuesto, y de conformidad con los arts. 50.1 a) y 44.1 a) LOTC, la Sección</w:t>
      </w:r>
    </w:p>
    <w:p w:rsidR="00CF03FA" w:rsidRDefault="00CF03FA" w:rsidP="00CF03FA">
      <w:pPr>
        <w:pStyle w:val="TextoNormal"/>
      </w:pPr>
    </w:p>
    <w:p w:rsidR="00CF03FA" w:rsidRDefault="00CF03FA" w:rsidP="00CF03FA">
      <w:pPr>
        <w:pStyle w:val="TextoNormalCentrado"/>
      </w:pPr>
      <w:r>
        <w:lastRenderedPageBreak/>
        <w:t>ACUERDA</w:t>
      </w:r>
    </w:p>
    <w:p w:rsidR="00CF03FA" w:rsidRDefault="00CF03FA" w:rsidP="00CF03FA">
      <w:pPr>
        <w:pStyle w:val="TextoNormalCentrado"/>
      </w:pPr>
    </w:p>
    <w:p w:rsidR="00CF03FA" w:rsidRDefault="00CF03FA" w:rsidP="00CF03FA">
      <w:pPr>
        <w:pStyle w:val="TextoNormal"/>
      </w:pPr>
      <w:r>
        <w:t>La inadmisión de la demanda de amparo y el archivo de las actuaciones.</w:t>
      </w:r>
    </w:p>
    <w:p w:rsidR="00CF03FA" w:rsidRDefault="00CF03FA" w:rsidP="00CF03FA">
      <w:pPr>
        <w:pStyle w:val="TextoNormal"/>
      </w:pPr>
    </w:p>
    <w:p w:rsidR="00CF03FA" w:rsidRDefault="00CF03FA" w:rsidP="00CF03FA">
      <w:pPr>
        <w:pStyle w:val="TextoNormal"/>
      </w:pPr>
      <w:r>
        <w:t>Madrid, a veintiocho de marzo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46" w:name="AUTO_2008_85"/>
      <w:r>
        <w:lastRenderedPageBreak/>
        <w:t>AUTO 85/2008, de 31 de marzo de 2008</w:t>
      </w:r>
    </w:p>
    <w:bookmarkEnd w:id="146"/>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ECLI:ES:TC:2008:85A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Estima el recurso de súplica sobre inadmisión del  recurso de amparo 4999-2005, promovido por don Andrés Rivera Ocaña en contencioso por responsabilidad patrimonial de la Administración sanitaria.</w:t>
      </w:r>
    </w:p>
    <w:p w:rsidR="00CF03FA" w:rsidRDefault="00CF03FA" w:rsidP="00CF03FA">
      <w:pPr>
        <w:pStyle w:val="SntesisDescriptiva"/>
      </w:pPr>
    </w:p>
    <w:p w:rsidR="00CF03FA" w:rsidRDefault="00CF03FA" w:rsidP="00CF03FA">
      <w:pPr>
        <w:pStyle w:val="SntesisAnaltica"/>
      </w:pPr>
      <w:r>
        <w:t>Inadmisión de recurso de amparo: carencia de contenido que justifique una decisión sobre el fondo del asunto. Recurso de súplica contra Autos del Tribunal Constitucional: estimación.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4 de julio de 2005 se presentó en el Registro General del Tribunal Constitucional, por la representación procesal del don Andrés Rivera Ocaña, recurso de amparo por vulneración del art. 24.1 CE (en la vertiente de incongruencia omisiva, incoherencia interna, y falta de motivación) contra el Auto de 23 de mayo de 2005 (notificado el 6 de junio de 2005) desestimatorio del incidente de nulidad de actuaciones, y, contra la Sentencia núm.354/2005 de 10 de marzo, de la Sección Segunda de la Sala de lo Contencioso-Administrativo del Tribunal Superior de Justicia de Valencia, desestimatoria del recurso contencioso-administrativo formulado contra la Resolución de la Consejería de Sanidad de la Generalidad Valenciana de 24 de julio de 2003 que estimaba en 12.000 € la indemnización por responsabilidad patrimonial, por el mal funcionamiento de la administración autonómica sanitaria, derivada del diagnóstico inadecuado de una lesión en el escafoides padecida por el recurrente, el 2 de mayo de 1996.</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En diligencia de ordenación de la Secretaría de Justicia de la Sección Cuarta del Tribunal Constitucional de 25 de abril de 2007 (notificada el 9 de mayo de 2007), se requirió al recurrente para que aportara copia de la demanda del procedimiento contencioso-administrativo, recabando simultáneamente de la Sala de lo Contencioso-Administrativo del Tribunal Superior de Justicia de Valencia la remisión de testimonio de las actuaciones (recurso contencioso-administrativo núm.1819-2003). Cumplimentándose el requerimiento, por la parte el 22 de mayo de 2007, y por la Sala el 24 de mayo de 2007. </w:t>
      </w:r>
    </w:p>
    <w:p w:rsidR="00CF03FA" w:rsidRDefault="00CF03FA" w:rsidP="00CF03FA">
      <w:pPr>
        <w:pStyle w:val="TextoNormal"/>
      </w:pPr>
      <w:r>
        <w:t xml:space="preserve">En diligencia de ordenación de la Secretaría de Justicia de la Sección Cuarta del Tribunal Constitucional de 18 de junio de 2007, se acordó oficiar a la Consejería de Sanidad de la Generalidad Valenciana, a fin de que remitiera certificación del expediente administrativo de responsabilidad patrimonial núm.183-2000, efectuándose la remisión el 18 de julio de 2007. </w:t>
      </w:r>
    </w:p>
    <w:p w:rsidR="00CF03FA" w:rsidRDefault="00CF03FA" w:rsidP="00CF03FA">
      <w:pPr>
        <w:pStyle w:val="TextoNormal"/>
      </w:pPr>
      <w:r>
        <w:lastRenderedPageBreak/>
        <w:t>Tras el oportuno trámite y examen del recurso, la Sección Cuarta del Tribunal Constitucional acordó por unanimidad, en providencia de 24 de septiembre de 2007, inadmitir la demanda de amparo, por falta de contenido de la misma (ex art. 50.1 c LOTC en redacción anterior a la Ley Orgánica 6/2007 de 24 de mayo) al carecer manifiestamente del mismo que justificase una decisión sobre el fondo por parte del Tribunal; providencia que fue notificada al Ministerio Fiscal el 22 de octubre de 2007.</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El 24 de octubre de 2007 el Fiscal ante el Tribunal Constitucional interpuso recurso de súplica (ex.art.50.2 LOTC) contra la referida providencia de inadmisión, en el que, sustancialmente, interesa la admisión a trámite de la demanda de amparo, a tenor del error material de cálculo padecido por la Sección Segunda de la Sala de lo Contencioso-Administrativo del Tribunal Superior de Justicia de Valencia, en el fundamento jurídico tercero de la Sentencia núm.354/2005, al aplicar analógicamente el baremo indemnizatorio de accidentes de circulación, puesto que reconoce las secuelas de “artrodesis de muñeca” (12 puntos), “artrosis de muñeca y muñeca dolorosa”"(4 puntos), “alteración de la mano”, torpeza (4 puntos), y “perjuicio estético moderado” (6 puntos), que arrojaban un total de 26 puntos, a los que se añadían otros 10 puntos por “síndrome depresivo postraumático”, por lo que, aplicando la fórmula del baremo (100 - M) × m/100 + M), arrojaban un total de 29,96 puntos, que, en atención a la edad del recurrente a la fecha de la resolución (53 años), lo situaban en el tramo de 30-34 puntos (1.148,58 €), con el 10 por 100 de factor de corrección, resultando un total —según la sentencia impugnada— de “1263 €”, “cantidad sensiblemente inferior... a la otorgada por la Administración” —decía la Sentencia—; lo cual condujo a desestimar el recurso contencioso-administrativo. Dicho cálculo —estima el Ministerio público—, evidencia un error aritmético manifiesto, puesto que la cuantía correspondiente a cada punto (a 1148,58 €), se debe multiplicar por 30 puntos, que corresponden al recurrente en éste caso, lo que arroja un total de 34.457,40 €, cantidad que debe incrementarse con el 10 por 100 de factor de corrección, por lo que serían 37.903,14 €, cantidad esta notablemente superior a los 12.000 €, reconocidos en vía administrativa; por todo ello, se tendría que haber estimado el recurso contencioso- administrativo. </w:t>
      </w:r>
    </w:p>
    <w:p w:rsidR="00CF03FA" w:rsidRDefault="00CF03FA" w:rsidP="00CF03FA">
      <w:pPr>
        <w:pStyle w:val="TextoNormal"/>
      </w:pPr>
      <w:r>
        <w:t>En diligencia de ordenación de la Secretaría de Justicia de la Sección Cuarta del Tribunal Constitucional de 29 de octubre de 2007, se acordó dar traslado del escrito de interposición del recurso de súplica del Ministerio Fiscal, a la representación procesal de don Andrés Rivera Ocaña, para que en el plazo de tres días formulase alegaciones. En escrito recibido el 15 de noviembre de 2007, la representación procesal del señor Rivera Ocaña se adhiere al recurso de súplica interpuesto por el Ministerio Fiscal (y a sus argumentos) al estimar que, efectivamente, se ha producido un error patente por la Sala de lo Contencioso-Administrativo del Tribunal Superior de Justicia de Valencia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Como hemos expuesto más detalladamente en los antecedentes de hecho de la presente resolución, el Ministerio Fiscal interpuso, de conformidad con el art. 50.2 LOTC, recurso de súplica contra la providencia de 29 de julio de 2007, mediante la cual</w:t>
      </w:r>
    </w:p>
    <w:p w:rsidR="00CF03FA" w:rsidRDefault="00CF03FA" w:rsidP="00CF03FA">
      <w:pPr>
        <w:pStyle w:val="TextoNormal"/>
      </w:pPr>
      <w:r>
        <w:t>la Sección Cuarta de este Tribunal acordaba la inadmisión a trámite del recurso de amparo promovido por don Andrés Rivera Ocaña frente al Auto desestimando el incidente de nulidad de actuaciones, interpuesto a su vez contra la Sentencia núm.354/2005 de</w:t>
      </w:r>
    </w:p>
    <w:p w:rsidR="00CF03FA" w:rsidRDefault="00CF03FA" w:rsidP="00CF03FA">
      <w:pPr>
        <w:pStyle w:val="TextoNormal"/>
      </w:pPr>
      <w:r>
        <w:lastRenderedPageBreak/>
        <w:t>10 de marzo, de la Sala de lo Contencioso-Administrativo del Tribunal Superior de Justicia de Valencia. La demanda de amparo consideraba que estas resoluciones judiciales eran contrarias al derecho fundamental a la tutela judicial efectiva y prohibición</w:t>
      </w:r>
    </w:p>
    <w:p w:rsidR="00CF03FA" w:rsidRDefault="00CF03FA" w:rsidP="00CF03FA">
      <w:pPr>
        <w:pStyle w:val="TextoNormal"/>
      </w:pPr>
      <w:r>
        <w:t>de la indefensión del art. 24.1 CE (en las vertientes de falta de motivación e interdicción de la incongruencia) por un doble motivo: por un lado, porque “la sentencia no se pronuncia sobre todos los aspectos solicitados de la indemnización”; y porque,</w:t>
      </w:r>
    </w:p>
    <w:p w:rsidR="00CF03FA" w:rsidRDefault="00CF03FA" w:rsidP="00CF03FA">
      <w:pPr>
        <w:pStyle w:val="TextoNormal"/>
      </w:pPr>
      <w:r>
        <w:t>por otro, la resolución impugnada incurre en un grave error, al dejar fuera la incapacidad del actor, por lo que el importe de la indemnización es sensiblemente inferior al que debía corresponder.</w:t>
      </w:r>
    </w:p>
    <w:p w:rsidR="00CF03FA" w:rsidRDefault="00CF03FA" w:rsidP="00CF03FA">
      <w:pPr>
        <w:pStyle w:val="TextoNormal"/>
      </w:pPr>
      <w:r>
        <w:t>En su recurso, el Ministerio público considera que al aplicar el baremo de indemnizaciones por razón de accidentes de circulación, y, en atención a las secuelas eventualmente reconocidas, los puntos que por el baremo deben corresponder al recurrente son 29’96 [lo que le incluiría en el tramo 30-34 años (1.148,58 €)], habiéndosele de ponderar además un 10 por 100 de factor de corrección; por lo que la operación debería arrojar un importe final de 37.903,14 euros, que contrastan con los 12.000 euros que le otorgó la Consejería de Sanidad de la Generalidad Valenciana, o, con los 1.263 euros que adicionaba la Sentencia de la Sala para desestimar el recurso contencioso-administrativo.</w:t>
      </w:r>
    </w:p>
    <w:p w:rsidR="00CF03FA" w:rsidRDefault="00CF03FA" w:rsidP="00CF03FA">
      <w:pPr>
        <w:pStyle w:val="TextoNormal"/>
      </w:pPr>
      <w:r>
        <w:t>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(por todos ATC 105/2004, de 19 abril FJ 1), nos hace ahora concluir que, sin perjuicio de la resolución de fondo que debamos dictar en el presente recurso de amparo, la decisión de la Sala de lo Contencioso-Administrativo del Tribunal Superior de Justicia de Valencia de utilizar el “Sistema para la valoración de los daños y perjuicios causados a las personas en accidentes de circulación”, unida a la evidencia de las operaciones aritméticas consignadas por el Ministerio público, en aplicación del Anexo de la Ley sobre responsabilidad civil y seguro en la circulación de vehículos a motor (Decreto 632/1968, de 21 marzo modificado por la disposición adicional octava de la Ley 30/1995) ponen de manifiesto que no concurría la causa de inadmisión de falta de contenido constitucional del art.50.1 c LOTC (en redacción anterior a la Ley Orgánica 6/2007 de 24 mayo) decretada inicialmente; lo que impone que el Tribunal, sin mayores consideraciones que puedan prejuzgar el fallo final, deba entrar a examinar el fondo de las quejas del recurrente.</w:t>
      </w:r>
    </w:p>
    <w:p w:rsidR="00CF03FA" w:rsidRDefault="00CF03FA" w:rsidP="00CF03FA">
      <w:pPr>
        <w:pStyle w:val="TextoNormal"/>
      </w:pPr>
    </w:p>
    <w:p w:rsidR="00CF03FA" w:rsidRDefault="00CF03FA" w:rsidP="00CF03FA">
      <w:pPr>
        <w:pStyle w:val="TextoNormal"/>
      </w:pPr>
      <w:r>
        <w:t>Por todo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Estimar el recurso de súplica interpuesto por el Ministerio Fiscal contra la providencia de 24 de septiembre de 2007 de la Sección Cuarta del Tribunal Constitucional de inadmisión por falta de contenido constitucional de la demanda [art.50.1 c) LOTC].</w:t>
      </w:r>
    </w:p>
    <w:p w:rsidR="00CF03FA" w:rsidRDefault="00CF03FA" w:rsidP="00CF03FA">
      <w:pPr>
        <w:pStyle w:val="TextoNormal"/>
      </w:pPr>
    </w:p>
    <w:p w:rsidR="00CF03FA" w:rsidRDefault="00CF03FA" w:rsidP="00CF03FA">
      <w:pPr>
        <w:pStyle w:val="TextoNormal"/>
      </w:pPr>
      <w:r>
        <w:t>Madrid, a treinta y uno de marzo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47" w:name="AUTO_2008_86"/>
      <w:r>
        <w:lastRenderedPageBreak/>
        <w:t>AUTO 86/2008, de 2 de abril de 2008</w:t>
      </w:r>
    </w:p>
    <w:bookmarkEnd w:id="147"/>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ECLI:ES:TC:2008:86A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y don Manuel Aragón Reyes.</w:t>
      </w:r>
    </w:p>
    <w:p w:rsidR="00CF03FA" w:rsidRDefault="00CF03FA" w:rsidP="00CF03FA">
      <w:pPr>
        <w:pStyle w:val="SntesisDescriptiva"/>
      </w:pPr>
    </w:p>
    <w:p w:rsidR="00CF03FA" w:rsidRDefault="00CF03FA" w:rsidP="00CF03FA">
      <w:pPr>
        <w:pStyle w:val="SntesisDescriptiva"/>
      </w:pPr>
      <w:r>
        <w:t>Desestima el recurso de súplica interpuesto por el Ministerio Fiscal sobre inadmisión del recurso de amparo 7326-2004, promovido por doña María Isabel Zambrana Valencia en incidente de ejecución de contencioso sobre horas extraordinarias.</w:t>
      </w:r>
    </w:p>
    <w:p w:rsidR="00CF03FA" w:rsidRDefault="00CF03FA" w:rsidP="00CF03FA">
      <w:pPr>
        <w:pStyle w:val="SntesisDescriptiva"/>
      </w:pPr>
    </w:p>
    <w:p w:rsidR="00CF03FA" w:rsidRDefault="00CF03FA" w:rsidP="00CF03FA">
      <w:pPr>
        <w:pStyle w:val="SntesisAnaltica"/>
      </w:pPr>
      <w:r>
        <w:t>Igualdad en la aplicación de la ley: falta de identidad de supuestos de hecho. Principio de igualdad: doctrina general. Recurso de súplica contra Autos del Tribunal Constitucional: desestimación.</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registrado en este Tribunal en fecha 3 de diciembre de 2004 por el Procurador de los Tribunales don Fernando Meras Santiago, en nombre y representación de doña María Isabel Zambrana Valencia y bajo la dirección del Letrado don Luis Rivero Bermúdez de Castro, se interpuso recurso de amparo contra Sentencia de la Sección Primera de la Sala de lo Contencioso-Administrativo del Tribunal Superior de Justicia de Andalucía —sede de Sevilla— de fecha 23 de septiembre de 2004, estimatoria de recurso de apelación deducido por el Ayuntamiento de la Línea de la Concepción contra el Auto del Juzgado de lo Contencioso-Administrativo núm. 1 de Algeciras de 3 de octubre de 2002, que acordaba, en ejecución de fallo de sentencia, la compensación económica de horas extraordinarias a la recurrente, funcionaria interina de la Policía local, ante la imposibilidad de llevar a cabo dicha compensación mediante periodos de descanso, debida a cese voluntario de dicha funcionaria. </w:t>
      </w:r>
    </w:p>
    <w:p w:rsidR="00CF03FA" w:rsidRDefault="00CF03FA" w:rsidP="00CF03FA">
      <w:pPr>
        <w:pStyle w:val="TextoNormal"/>
      </w:pPr>
      <w:r>
        <w:t xml:space="preserve">La Sentencia de apelación basaba dicho fallo estimatorio en considerar como ejercicio antisocial del Derecho el hecho de cesar voluntariamente la recurrente en su puesto interino en la Policía local, al implicar, según la Sección, la imposibilidad de cumplimiento del Auto de ejecución en sus propios términos, pues devenía imposible el que el ejercicio de dichas horas extraordinarias fuera compensado mediante periodos de descanso, determinación principal, que no alternativa, de la resolución originariamente impugnada, que preveía la compensación económica “sólo cuando no sea posible acudir a dicha vía”. Así, aunque, “en principio, si la demandante ya no es funcionaria, parece que procede la condena al pago de los mas de doce mil euros…, se han producido ciertos hechos con posterioridad a la Sentencia que son muy trascendentales para la exacta y correcta ejecución del fallo”: la Sentencia se notificó el 6 de marzo de 2002 y fue el 31 de mayo siguiente “cuando la demandante cesa voluntariamente en la Policía local”. De este modo “ha sido la propia acreedora … la que ha hecho imposible, con su conducta, la ejecución del fallo en sus propios términos y </w:t>
      </w:r>
      <w:r>
        <w:lastRenderedPageBreak/>
        <w:t>en la forma preferente que con varias cautelas estableció el juzgador de instancia … Entenderlo de otra manera sería transformar el sentido del fallo pues sería tanto como convertir el fallo en una obligación alternativa a cargo del Ayuntamiento y con facultad plena de elección a la demandante. Y no era eso claramente lo que el fallo disponía”.</w:t>
      </w:r>
    </w:p>
    <w:p w:rsidR="00CF03FA" w:rsidRDefault="00CF03FA" w:rsidP="00CF03FA">
      <w:pPr>
        <w:pStyle w:val="TextoNormal"/>
      </w:pPr>
    </w:p>
    <w:p w:rsidR="00CF03FA" w:rsidRDefault="00CF03FA" w:rsidP="00CF03FA">
      <w:pPr>
        <w:pStyle w:val="TextoNormal"/>
      </w:pPr>
      <w:r w:rsidRPr="00CF03FA">
        <w:rPr>
          <w:rStyle w:val="NumeroAFNegritaCaracter"/>
        </w:rPr>
        <w:t>2</w:t>
      </w:r>
      <w:r>
        <w:t>. La recurrente aduce sustancialmente, en su demanda de amparo, que la Sentencia impugnada ha vulnerado su derecho a la igualdad en su vertiente de proscripción de la desigual aplicación jurisdiccional de la ley. Ello sería así por cuanto, por la misma Sala y Sección jurisdiccional ordinaria, se habrían dictado, con fechas 10 de febrero y 19 de julio de 2004, sendas Sentencias que, también dictadas en apelación, desestimaban la pretensión revisora del Ayuntamiento, manteniendo el Auto que acordaba la compensación económica. En una segunda queja considera asimismo la demanda que se ha vulnerado el derecho a la tutela judicial efectiva por cuanto se ha desconocido lo resuelto por dos sentencias firmes en supuestos que “guardan una relación de estricta dependencia, aunque no sea posible apreciar el efecto mencionado de cosa juzgada”.</w:t>
      </w:r>
    </w:p>
    <w:p w:rsidR="00CF03FA" w:rsidRDefault="00CF03FA" w:rsidP="00CF03FA">
      <w:pPr>
        <w:pStyle w:val="TextoNormal"/>
      </w:pPr>
    </w:p>
    <w:p w:rsidR="00CF03FA" w:rsidRDefault="00CF03FA" w:rsidP="00CF03FA">
      <w:pPr>
        <w:pStyle w:val="TextoNormal"/>
      </w:pPr>
      <w:r w:rsidRPr="00CF03FA">
        <w:rPr>
          <w:rStyle w:val="NumeroAFNegritaCaracter"/>
        </w:rPr>
        <w:t>3</w:t>
      </w:r>
      <w:r>
        <w:t>. La Sección Primera de este Tribunal, por providencia de 18 de enero de 2007, inadmitió el recurso de amparo por apreciar que concurría la causa prevista en el art. 50.1 c) LOTC —en su redacción anterior a la Ley Orgánica 6/2007, de 24 de mayo—, al carecer manifiestamente de contenido que justifique una decisión sobre el fondo de la misma por esta sede constitucional. A dichos efectos, se expresaba en la providencia, como argumento inicial y suficiente de inadmisión, que, si bien se habían aportado dos sentencias de contraste de la misma Sala y Sección, tras el examen de las mismas, en relación con las alegaciones y motivos vertidos a la demanda de amparo, no resultaba acreditado por la recurrente la existencia de una definida orientación jurisprudencial general, continua y firme.</w:t>
      </w:r>
    </w:p>
    <w:p w:rsidR="00CF03FA" w:rsidRDefault="00CF03FA" w:rsidP="00CF03FA">
      <w:pPr>
        <w:pStyle w:val="TextoNormal"/>
      </w:pPr>
    </w:p>
    <w:p w:rsidR="00CF03FA" w:rsidRDefault="00CF03FA" w:rsidP="00CF03FA">
      <w:pPr>
        <w:pStyle w:val="TextoNormal"/>
      </w:pPr>
      <w:r w:rsidRPr="00CF03FA">
        <w:rPr>
          <w:rStyle w:val="NumeroAFNegritaCaracter"/>
        </w:rPr>
        <w:t>4</w:t>
      </w:r>
      <w:r>
        <w:t>. El Ministerio Fiscal, por escrito registrado el 9 de febrero de 2007, interpuso recurso de súplica contra la providencia de inadmisión de 18 de enero de 2007, por entender que se cumplían los requisitos de identidad de supuestos de hecho y órgano jurisdiccional, alteridad y falta de motivación que justifique el cambio de criterio, requisitos exigidos por la jurisprudencia de este Tribunal para apreciar vulneración, ex art. 14, de la igualdad en la aplicación jurisdiccional de la ley.</w:t>
      </w:r>
    </w:p>
    <w:p w:rsidR="00CF03FA" w:rsidRDefault="00CF03FA" w:rsidP="00CF03FA">
      <w:pPr>
        <w:pStyle w:val="TextoNormal"/>
      </w:pPr>
    </w:p>
    <w:p w:rsidR="00CF03FA" w:rsidRDefault="00CF03FA" w:rsidP="00CF03FA">
      <w:pPr>
        <w:pStyle w:val="TextoNormal"/>
      </w:pPr>
      <w:r w:rsidRPr="00CF03FA">
        <w:rPr>
          <w:rStyle w:val="NumeroAFNegritaCaracter"/>
        </w:rPr>
        <w:t>5</w:t>
      </w:r>
      <w:r>
        <w:t>. La Secretaría de Justicia de la Sección Primera de este Tribunal, por diligencia de ordenación de 15 de febrero de 2007, acordó dar traslado a la recurrente del recurso de súplica para que alegara lo que estimara pertinente.</w:t>
      </w:r>
    </w:p>
    <w:p w:rsidR="00CF03FA" w:rsidRDefault="00CF03FA" w:rsidP="00CF03FA">
      <w:pPr>
        <w:pStyle w:val="TextoNormal"/>
      </w:pPr>
    </w:p>
    <w:p w:rsidR="00CF03FA" w:rsidRDefault="00CF03FA" w:rsidP="00CF03FA">
      <w:pPr>
        <w:pStyle w:val="TextoNormal"/>
      </w:pPr>
      <w:r w:rsidRPr="00CF03FA">
        <w:rPr>
          <w:rStyle w:val="NumeroAFNegritaCaracter"/>
        </w:rPr>
        <w:t>6</w:t>
      </w:r>
      <w:r>
        <w:t>. La recurrente, por escrito registrado el 21 de febrero de 2007, se adhirió íntegramente al recurso de súplica deducido por el Ministerio público.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El nuevo examen por esta Sección de la admisibilidad de la demanda de amparo, a la luz de las apreciaciones del Ministerio público, depara, como en nuestra providencia de 18 de enero de 2007, la inadmisión de la misma por su manifiesta carencia de contenido que </w:t>
      </w:r>
      <w:r>
        <w:lastRenderedPageBreak/>
        <w:t>justifique una decisión sobre el fondo de la misma por parte de este Tribunal [art. 50.1 c) LOTC, en su redacción anterior a la Ley Orgánica 6/2007, de 24 de mayo].</w:t>
      </w:r>
    </w:p>
    <w:p w:rsidR="00CF03FA" w:rsidRDefault="00CF03FA" w:rsidP="00CF03FA">
      <w:pPr>
        <w:pStyle w:val="TextoNormal"/>
      </w:pPr>
      <w:r>
        <w:t>Aunque tuviera razón el Fiscal en su alegación relativa a que para la invocación del derecho a la igualdad en la aplicación de la ley no es exigible la aportación como término de comparación de una orientación jurisprudencial general, continua y firme, es lo cierto, en todo caso, que falta en el supuesto que se nos plantea el segundo de los requisitos sustentadores de la desigualdad, constituido por la identidad sustancial de los casos comparados (por todas, SSTC 49/1982, de 14 de julio, FJ 2; 191/2002, de 28 de octubre, FJ 3; 13/2008, de 31 de enero, FJ 5). Así lo acentúa la Sentencia recurrida en amparo, que subraya como dato novedoso y trascendente —en argumentación que no puede tildarse de irrazonable— el de que la baja voluntaria de la demandante fuera posterior a la notificación de la Sentencia que se trataba de ejecutar, cosa que no sucedía en los otros dos casos.</w:t>
      </w:r>
    </w:p>
    <w:p w:rsidR="00CF03FA" w:rsidRDefault="00CF03FA" w:rsidP="00CF03FA">
      <w:pPr>
        <w:pStyle w:val="TextoNormal"/>
      </w:pPr>
    </w:p>
    <w:p w:rsidR="00CF03FA" w:rsidRDefault="00CF03FA" w:rsidP="00CF03FA">
      <w:pPr>
        <w:pStyle w:val="TextoNormal"/>
      </w:pPr>
      <w:r w:rsidRPr="00CF03FA">
        <w:rPr>
          <w:rStyle w:val="NumeroAFNegritaCaracter"/>
        </w:rPr>
        <w:t>2</w:t>
      </w:r>
      <w:r>
        <w:t>. Tampoco puede prosperar hacia su admisión la segunda queja de la demanda, atinente al derecho a la tutela judicial efectiva (art. 24.1 CE) en su vertiente de intangibilidad de las resoluciones judiciales firmes, pues ni se argumenta en absoluto ni se constata que la cuestión examinada en la Sentencia impugnada guardara “una relación de estricta dependencia” con las resueltas por las Sentencias invocadas como contraste en la queja relativa a la igualdad en la aplicación de la ley. Precisamente lo que esta última queja pretende es que tales cuestiones eran análogas, pero no dependientes. La dependencia que se invoca en esta queja no es sino la que derivaría del principio de igualdad en la aplicación de la ley, por lo que en realidad esta queja debe reconducirse a la primera y ser inadmitida con ella.</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Desestimar el recurso de súplica interpuesto por el Ministerio Fiscal.</w:t>
      </w:r>
    </w:p>
    <w:p w:rsidR="00CF03FA" w:rsidRDefault="00CF03FA" w:rsidP="00CF03FA">
      <w:pPr>
        <w:pStyle w:val="TextoNormal"/>
      </w:pPr>
    </w:p>
    <w:p w:rsidR="00CF03FA" w:rsidRDefault="00CF03FA" w:rsidP="00CF03FA">
      <w:pPr>
        <w:pStyle w:val="TextoNormal"/>
      </w:pPr>
      <w:r>
        <w:t>Madrid, a dos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48" w:name="AUTO_2008_87"/>
      <w:r>
        <w:lastRenderedPageBreak/>
        <w:t>AUTO 87/2008, de 2 de abril de 2008</w:t>
      </w:r>
    </w:p>
    <w:bookmarkEnd w:id="148"/>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ECLI:ES:TC:2008:87A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y don Manuel Aragón Reyes.</w:t>
      </w:r>
    </w:p>
    <w:p w:rsidR="00CF03FA" w:rsidRDefault="00CF03FA" w:rsidP="00CF03FA">
      <w:pPr>
        <w:pStyle w:val="SntesisDescriptiva"/>
      </w:pPr>
    </w:p>
    <w:p w:rsidR="00CF03FA" w:rsidRDefault="00CF03FA" w:rsidP="00CF03FA">
      <w:pPr>
        <w:pStyle w:val="SntesisDescriptiva"/>
      </w:pPr>
      <w:r>
        <w:t>Acuerda la extinción del recurso de amparo 2442-2006, promovido por don Gerardo Álvarez Reza, como consecuencia de la STC 269/2006, de 11 de septiembre.</w:t>
      </w:r>
    </w:p>
    <w:p w:rsidR="00CF03FA" w:rsidRDefault="00CF03FA" w:rsidP="00CF03FA">
      <w:pPr>
        <w:pStyle w:val="SntesisDescriptiva"/>
      </w:pPr>
    </w:p>
    <w:p w:rsidR="00CF03FA" w:rsidRDefault="00CF03FA" w:rsidP="00CF03FA">
      <w:pPr>
        <w:pStyle w:val="SntesisAnaltica"/>
      </w:pPr>
      <w:r>
        <w:t>Recurso de amparo: pérdida sobrevenida de objeto por satisfacción extraprocesal.</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presentado en este Tribunal el 6 de marzo de 2006, don Gerardo Álvarez Reza interpuso recurso de amparo contra el Auto de 10 de enero de 2006 y las providencias de 26 y 27 de octubre de 2005, dictados en la pieza de ejecución del Auto de 21 de marzo de 2005, que rechazó, con imposición de las costas, la nulidad de actuaciones promovida por aquél frente a la Sentencia de 24 de enero de 2005 dictada por el Juzgado de lo Contencioso-Administrativo núm. 2 de Ourense en el recurso 251-2004.</w:t>
      </w:r>
    </w:p>
    <w:p w:rsidR="00CF03FA" w:rsidRDefault="00CF03FA" w:rsidP="00CF03FA">
      <w:pPr>
        <w:pStyle w:val="TextoNormal"/>
      </w:pPr>
    </w:p>
    <w:p w:rsidR="00CF03FA" w:rsidRDefault="00CF03FA" w:rsidP="00CF03FA">
      <w:pPr>
        <w:pStyle w:val="TextoNormal"/>
      </w:pPr>
      <w:r w:rsidRPr="00CF03FA">
        <w:rPr>
          <w:rStyle w:val="NumeroAFNegritaCaracter"/>
        </w:rPr>
        <w:t>2</w:t>
      </w:r>
      <w:r>
        <w:t>. En Sentencia 269/2006, de 11 de septiembre, la Sala Segunda estimó el recurso de amparo que, registrado con el núm. 3035-2005, había interpuesto don Gerardo Álvarez Reza contra el Auto de 21 de marzo de 2005 y la Sentencia de 24 de enero de 2005 dictados por el Juzgado de lo Contencioso-Administrativo núm. 2 de Ourense en el recurso 251-2004.</w:t>
      </w:r>
    </w:p>
    <w:p w:rsidR="00CF03FA" w:rsidRDefault="00CF03FA" w:rsidP="00CF03FA">
      <w:pPr>
        <w:pStyle w:val="TextoNormal"/>
      </w:pPr>
    </w:p>
    <w:p w:rsidR="00CF03FA" w:rsidRDefault="00CF03FA" w:rsidP="00CF03FA">
      <w:pPr>
        <w:pStyle w:val="TextoNormal"/>
      </w:pPr>
      <w:r w:rsidRPr="00CF03FA">
        <w:rPr>
          <w:rStyle w:val="NumeroAFNegritaCaracter"/>
        </w:rPr>
        <w:t>3</w:t>
      </w:r>
      <w:r>
        <w:t>. Mediante diligencia de ordenación de la Secretaría de Justicia de la Sección Primera de 21 de enero pasado se acordó conceder al demandante de amparo y al Ministerio Fiscal el plazo común de diez días para que formularan las alegaciones sobre la eventual pérdida sobrevenida de objeto de la demanda de amparo.</w:t>
      </w:r>
    </w:p>
    <w:p w:rsidR="00CF03FA" w:rsidRDefault="00CF03FA" w:rsidP="00CF03FA">
      <w:pPr>
        <w:pStyle w:val="TextoNormal"/>
      </w:pPr>
    </w:p>
    <w:p w:rsidR="00CF03FA" w:rsidRDefault="00CF03FA" w:rsidP="00CF03FA">
      <w:pPr>
        <w:pStyle w:val="TextoNormal"/>
      </w:pPr>
      <w:r w:rsidRPr="00CF03FA">
        <w:rPr>
          <w:rStyle w:val="NumeroAFNegritaCaracter"/>
        </w:rPr>
        <w:t>4</w:t>
      </w:r>
      <w:r>
        <w:t>. En escrito que tuvo entrada el 31 de enero de 2008 en este Tribunal, don Gerardo Álvarez Reza solicitó la conclusión y el archivo del presente recurso de amparo. Indicó que aunque aún no se había ejecutado y cumplido la STC 269/2006, de 11 de septiembre, consideraba innecesaria la prosecución del este recurso de amparo cuando, al margen de que, al menos parcialmente, se habían satisfecho sus principales pretensiones, aquella Sentencia, que al anular la Sentencia de 24 de enero y el Auto de 21 de marzo de 2005 dictados por el Juzgado de lo Contencioso-Administrativo núm. 2 de Ourense en el recurso 251-2004, ha producido la correlativa anulación de las ulteriores actuaciones incidentales y en consecuencia alterado e, incluso, extinguido el objeto de este recurso de amparo constituido precisamente por resoluciones dictadas en esas actuaciones.</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5</w:t>
      </w:r>
      <w:r>
        <w:t>. El Fiscal interesó que se declarara la pérdida del objeto del presente recurso de amparo. Manifestó que a la vista de la STC 269/2006, de 11 de septiembre, y de que en Auto de 19 de octubre de 2006 el Juzgado de lo Contencioso-Administrativo núm. 2 de Ourense dejó sin efecto y anuló todas y cada una de las actuaciones y resoluciones que se adoptaron en la pieza de ejecución de la Sentencia de 24 de enero y el Auto de 21 de marzo de 2005, era clara la pérdida sobrevenida del objeto de este recurso de amparo.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Es claro, y en ello coinciden el demandante y el Fiscal, que la anulación por la STC 269/2006, de 11 de septiembre, del Auto de 21 de marzo de 2005 del Juzgado de lo Contencioso-Administrativo núm. 2 de Ourense implica la nulidad de las</w:t>
      </w:r>
    </w:p>
    <w:p w:rsidR="00CF03FA" w:rsidRDefault="00CF03FA" w:rsidP="00CF03FA">
      <w:pPr>
        <w:pStyle w:val="TextoNormal"/>
      </w:pPr>
      <w:r>
        <w:t>actuaciones de ejecución de la condena en costas al demandante de amparo en él pronunciada, actuaciones en las que se dictaron las resoluciones impugnadas en el presente recurso de amparo. Dado que era precisamente la anulación de esas resoluciones lo</w:t>
      </w:r>
    </w:p>
    <w:p w:rsidR="00CF03FA" w:rsidRDefault="00CF03FA" w:rsidP="00CF03FA">
      <w:pPr>
        <w:pStyle w:val="TextoNormal"/>
      </w:pPr>
      <w:r>
        <w:t>pretendido en el recurso de amparo y que las mismas han desaparecido del mundo jurídico (con las lesiones a sus derechos fundamentales que el demandante les imputaba), es patente la consiguiente desaparición sobrevenida del objeto de este proceso</w:t>
      </w:r>
    </w:p>
    <w:p w:rsidR="00CF03FA" w:rsidRDefault="00CF03FA" w:rsidP="00CF03FA">
      <w:pPr>
        <w:pStyle w:val="TextoNormal"/>
      </w:pPr>
      <w:r>
        <w:t>constitucional, sin perjuicio de que de las declaraciones del demandante pudiera deducirse que éste había desistido del mismo. El art. 86.1 LOTC, tras establecer que el modo normal de terminación de los procesos constitucionales es la sentencia que los</w:t>
      </w:r>
    </w:p>
    <w:p w:rsidR="00CF03FA" w:rsidRDefault="00CF03FA" w:rsidP="00CF03FA">
      <w:pPr>
        <w:pStyle w:val="TextoNormal"/>
      </w:pPr>
      <w:r>
        <w:t>decide, se refiere a la caducidad y al desistimiento como supuestos que suponen la terminación mediante auto. Pese a ello, la desaparición sobrevenida del objeto del proceso ha sido admitida también por este Tribunal como modo de terminación de los</w:t>
      </w:r>
    </w:p>
    <w:p w:rsidR="00CF03FA" w:rsidRDefault="00CF03FA" w:rsidP="00CF03FA">
      <w:pPr>
        <w:pStyle w:val="TextoNormal"/>
      </w:pPr>
      <w:r>
        <w:t>distintos procesos constitucionales y, en concreto, del recurso de amparo. Este es un remedio idóneo únicamente para la reparación de lesiones singulares y efectivas de los derechos fundamentales, sin que puedan hacerse valer por medio de dicha vía otras</w:t>
      </w:r>
    </w:p>
    <w:p w:rsidR="00CF03FA" w:rsidRDefault="00CF03FA" w:rsidP="00CF03FA">
      <w:pPr>
        <w:pStyle w:val="TextoNormal"/>
      </w:pPr>
      <w:r>
        <w:t>pretensiones que las dirigidas al restablecimiento o la preservación de aquellos derechos (art. 41 LOTC), de modo que “cuando dicha pretensión se ha visto satisfecha extraprocesalmente, no cabe sino concluir, en principio, que el amparo impetrado carece</w:t>
      </w:r>
    </w:p>
    <w:p w:rsidR="00CF03FA" w:rsidRDefault="00CF03FA" w:rsidP="00CF03FA">
      <w:pPr>
        <w:pStyle w:val="TextoNormal"/>
      </w:pPr>
      <w:r>
        <w:t>desde ese momento de objeto sobre el que deba pronunciarse este Tribunal” (ATC 439/2007, de 26 de noviembre, FJ único).</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Declarar concluido el presente recurso de amparo núm. 2442-2006 interpuesto por don Gerardo Álvarez Reza por desaparición sobrevenida de su objeto y ordenar el archivo de sus actuaciones.</w:t>
      </w:r>
    </w:p>
    <w:p w:rsidR="00CF03FA" w:rsidRDefault="00CF03FA" w:rsidP="00CF03FA">
      <w:pPr>
        <w:pStyle w:val="TextoNormal"/>
      </w:pPr>
    </w:p>
    <w:p w:rsidR="00CF03FA" w:rsidRDefault="00CF03FA" w:rsidP="00CF03FA">
      <w:pPr>
        <w:pStyle w:val="TextoNormal"/>
      </w:pPr>
      <w:r>
        <w:t>Madrid, a dos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49" w:name="AUTO_2008_88"/>
      <w:r>
        <w:lastRenderedPageBreak/>
        <w:t>AUTO 88/2008, de 2 de abril de 2008</w:t>
      </w:r>
    </w:p>
    <w:bookmarkEnd w:id="149"/>
    <w:p w:rsidR="00CF03FA" w:rsidRDefault="00CF03FA" w:rsidP="00CF03FA">
      <w:pPr>
        <w:pStyle w:val="TtuloResolucin"/>
      </w:pPr>
      <w:r>
        <w:t>Pleno</w:t>
      </w:r>
    </w:p>
    <w:p w:rsidR="00CF03FA" w:rsidRDefault="00CF03FA" w:rsidP="00CF03FA">
      <w:pPr>
        <w:pStyle w:val="TtuloResolucin"/>
      </w:pPr>
    </w:p>
    <w:p w:rsidR="00CF03FA" w:rsidRDefault="00CF03FA" w:rsidP="00CF03FA">
      <w:pPr>
        <w:pStyle w:val="SntesisDescriptiva"/>
      </w:pPr>
      <w:r>
        <w:t>ECLI:ES:TC:2008:88A</w:t>
      </w:r>
    </w:p>
    <w:p w:rsidR="00CF03FA" w:rsidRDefault="00CF03FA" w:rsidP="00CF03FA">
      <w:pPr>
        <w:pStyle w:val="SntesisDescriptiva"/>
      </w:pPr>
    </w:p>
    <w:p w:rsidR="00CF03FA" w:rsidRDefault="00CF03FA" w:rsidP="00CF03FA">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F03FA" w:rsidRDefault="00CF03FA" w:rsidP="00CF03FA">
      <w:pPr>
        <w:pStyle w:val="SntesisDescriptiva"/>
      </w:pPr>
    </w:p>
    <w:p w:rsidR="00CF03FA" w:rsidRDefault="00CF03FA" w:rsidP="00CF03FA">
      <w:pPr>
        <w:pStyle w:val="SntesisDescriptiva"/>
      </w:pPr>
      <w:r>
        <w:t>Mantiene la suspensión de la Ley de la Comunidad de Madrid 3/2007, de 26 de julio, de medidas urgentes de modernización del Gobierno y la Administración de la Comunidad.</w:t>
      </w:r>
    </w:p>
    <w:p w:rsidR="00CF03FA" w:rsidRDefault="00CF03FA" w:rsidP="00CF03FA">
      <w:pPr>
        <w:pStyle w:val="SntesisDescriptiva"/>
      </w:pPr>
    </w:p>
    <w:p w:rsidR="00CF03FA" w:rsidRDefault="00CF03FA" w:rsidP="00CF03FA">
      <w:pPr>
        <w:pStyle w:val="SntesisAnaltica"/>
      </w:pPr>
      <w:r>
        <w:t>Procedimiento constitucional: suspensión cautelar de disposiciones con rango de ley. Protección del medio ambiente: medidas cautelares de suspensión. Votos particulares: formulado uno.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xml:space="preserve">. Mediante escrito presentado en el Registro de este Tribunal el día 29 de octubre de 2007, la Abogado del Estado, en nombre del Presidente del Gobierno, interpuso recurso de inconstitucionalidad contra el art. 9 de la Ley de la Comunidad de Madrid 3/2007, de 26 de julio, de medidas urgentes de modernización del Gobierno y la Administración de la Comunidad de Madrid. </w:t>
      </w:r>
    </w:p>
    <w:p w:rsidR="00CF03FA" w:rsidRDefault="00CF03FA" w:rsidP="00CF03FA">
      <w:pPr>
        <w:pStyle w:val="TextoNormal"/>
      </w:pPr>
      <w:r>
        <w:t>La Abogado del Estado invocó el art. 161.2 C.E., a fin de que se acordara la suspensión de la disposición recurrida.</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providencia de 20 de noviembre de 2007, el Pleno del Tribunal Constitucional, a propuesta de la Sección Cuarta, acordó admitir a trámite el recurso de inconstitucionalidad, dar traslado de la demanda y documentos presentados, conforme establece el art. 34 LOTC, al Congreso de los Diputados y al Senado, así como al Gobierno y Asamblea de la Comunidad de Madrid, al objeto de que en el plazo de quince días puedan personarse en el proceso y formular alegaciones. Asimismo, acordó tener por invocado por el Presidente del Gobierno el art. 161.2 de la Constitución, lo que a su tenor y conforme dispone el art. 30 LOTC, produce la suspensión de la vigencia y aplicación del precepto impugnado. Por último, también se ordenó publicar la incoación del recurso en el “Boletín Oficial del Estado” y en el “Boletín Oficial de la Comunidad de Madrid”.</w:t>
      </w:r>
    </w:p>
    <w:p w:rsidR="00CF03FA" w:rsidRDefault="00CF03FA" w:rsidP="00CF03FA">
      <w:pPr>
        <w:pStyle w:val="TextoNormal"/>
      </w:pPr>
    </w:p>
    <w:p w:rsidR="00CF03FA" w:rsidRDefault="00CF03FA" w:rsidP="00CF03FA">
      <w:pPr>
        <w:pStyle w:val="TextoNormal"/>
      </w:pPr>
      <w:r w:rsidRPr="00CF03FA">
        <w:rPr>
          <w:rStyle w:val="NumeroAFNegritaCaracter"/>
        </w:rPr>
        <w:t>3</w:t>
      </w:r>
      <w:r>
        <w:t>. El 27 de noviembre de 2007 el Presidente del Congreso de los Diputados comunica al Tribunal Constitucional que dicha Cámara no se personará en el procedimiento ni formulará alegaciones. El Presidente del Senado, mediante escrito registrado el día 5 de diciembre de 2007, comunica que la Cámara se persona en el proceso, ofreciendo su colaboración.</w:t>
      </w:r>
    </w:p>
    <w:p w:rsidR="00CF03FA" w:rsidRDefault="00CF03FA" w:rsidP="00CF03FA">
      <w:pPr>
        <w:pStyle w:val="TextoNormal"/>
      </w:pPr>
    </w:p>
    <w:p w:rsidR="00CF03FA" w:rsidRDefault="00CF03FA" w:rsidP="00CF03FA">
      <w:pPr>
        <w:pStyle w:val="TextoNormal"/>
      </w:pPr>
      <w:r w:rsidRPr="00CF03FA">
        <w:rPr>
          <w:rStyle w:val="NumeroAFNegritaCaracter"/>
        </w:rPr>
        <w:t>4</w:t>
      </w:r>
      <w:r>
        <w:t>. El Secretario General de la Asamblea de Madrid, en la representación que ostenta, presentó su escrito de alegaciones el día 14 de diciembre de 2007 solicitando la desestimación del recurso interpuesto. El Letrado de la Comunidad de Madrid hizo lo propio el día 19 de diciembre de 2007 solicitando, igualmente, la desestimación del recurso.</w:t>
      </w:r>
    </w:p>
    <w:p w:rsidR="00CF03FA" w:rsidRDefault="00CF03FA" w:rsidP="00CF03FA">
      <w:pPr>
        <w:pStyle w:val="TextoNormal"/>
      </w:pPr>
    </w:p>
    <w:p w:rsidR="00CF03FA" w:rsidRDefault="00CF03FA" w:rsidP="00CF03FA">
      <w:pPr>
        <w:pStyle w:val="TextoNormal"/>
      </w:pPr>
      <w:r w:rsidRPr="00CF03FA">
        <w:rPr>
          <w:rStyle w:val="NumeroAFNegritaCaracter"/>
        </w:rPr>
        <w:t>5</w:t>
      </w:r>
      <w:r>
        <w:t>. Estando próximo a finalizar el plazo de cinco meses que señala el art. 65.2 LOTC desde que se produjo la suspensión del precepto impugnado, el Pleno del Tribunal Constitucional, mediante providencia de 15 de febrero de 2008, acordó oír a las partes personadas en el proceso para que, en el plazo de cinco días, expusieran lo que consideraran conveniente acerca del mantenimiento o levantamiento de dicha suspensión.</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Abogado del Estado, con fecha 25 de febrero de 2008, evacuó el trámite conferido, interesando que se acuerde el mantenimiento de la suspensión, por las razones que, resumidamente, se exponen a continuación: </w:t>
      </w:r>
    </w:p>
    <w:p w:rsidR="00CF03FA" w:rsidRDefault="00CF03FA" w:rsidP="00CF03FA">
      <w:pPr>
        <w:pStyle w:val="TextoNormal"/>
      </w:pPr>
      <w:r>
        <w:t xml:space="preserve">a) 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Asimismo, alega que, en este caso, la aplicación de la Ley impugnada, durante el escaso tiempo que estuvo vigente, ya provocó importantes perjuicios para la conservación del medio ambiente en la Comunidad de Madrid y, en tal sentido, aporta un informe realizado por las organizaciones sindicales de agentes forestales. </w:t>
      </w:r>
    </w:p>
    <w:p w:rsidR="00CF03FA" w:rsidRDefault="00CF03FA" w:rsidP="00CF03FA">
      <w:pPr>
        <w:pStyle w:val="TextoNormal"/>
      </w:pPr>
      <w:r>
        <w:t xml:space="preserve">b) A continuación, el Abogado del Estado señala la existencia, en relación con este incidente, de doctrina constitucional específica relativa a la protección del medio ambiente (con cita del ATC 335/1995, de 20 de diciembre), en cuya virtud, comoquiera que cuando se impugna una norma autonómica por contraste con una estatal con la que resulta incompatible, la aplicación y vigencia de una supone, de facto, la suspensión de la otra, el criterio que ha de seguirse cuando se trata de normas medioambientales es el de procurar la mayor protección del interés ecológico, puesto que los perjuicios medioambientales son, normalmente, de imposible reparación. </w:t>
      </w:r>
    </w:p>
    <w:p w:rsidR="00CF03FA" w:rsidRDefault="00CF03FA" w:rsidP="00CF03FA">
      <w:pPr>
        <w:pStyle w:val="TextoNormal"/>
      </w:pPr>
      <w:r>
        <w:t xml:space="preserve">c) Seguidamente, la representación procesal del Estado acomete la tarea de justificar que la legislación estatal, en concreto el art. 58.3 de la Ley 43/2003, de 21 de noviembre, de montes, es más protectora del interés ecológico que la norma autonómica impugnada, por lo que procedería el mantenimiento de la suspensión. Así, estima que la facultad de entrar en propiedades y montes públicos y privados, sin autorización judicial y con estricto respeto a la inviolabilidad del domicilio, resulta indispensable para el correcto desempeño de las funciones de policía y guarda forestal reconocidas a los agentes forestales, las cuales quedarían recortadas por la aplicación del precepto impugnado, el cual exige expresamente, </w:t>
      </w:r>
      <w:r>
        <w:lastRenderedPageBreak/>
        <w:t xml:space="preserve">salvo para los casos de extinción de incendios, la autorización judicial para la entrada de los agentes forestales en montes o terrenos de titularidad privada. </w:t>
      </w:r>
    </w:p>
    <w:p w:rsidR="00CF03FA" w:rsidRDefault="00CF03FA" w:rsidP="00CF03FA">
      <w:pPr>
        <w:pStyle w:val="TextoNormal"/>
      </w:pPr>
      <w:r>
        <w:t xml:space="preserve">d) Para el caso de que no se tuviera en cuenta la doctrina anterior, relativa a la primacía que ha de otorgarse a la protección del interés ecológico, se sostiene en el escrito de alegaciones que, de la ponderación de los concretos perjuicios que acarrearía la aplicación del precepto y de los que causaría su suspensión, resulta igualmente claro que procede acordar el mantenimiento de esta última; afirmación que sustenta en tres informes, que une a su escrito, elaborados, respectivamente, por las organizaciones sindicales de agentes forestales de la Comunidad de Madrid, el Departamento interuniversitario de ecología de la Universidad Complutense de Madrid y la Dirección General para la Biodiversidad del Ministerio de Medio Ambiente. </w:t>
      </w:r>
    </w:p>
    <w:p w:rsidR="00CF03FA" w:rsidRDefault="00CF03FA" w:rsidP="00CF03FA">
      <w:pPr>
        <w:pStyle w:val="TextoNormal"/>
      </w:pPr>
      <w:r>
        <w:t xml:space="preserve">De este modo afirma que, tal y como se deduce del informe de las organizaciones sindicales al que se ha hecho referencia, la actividad de los agentes forestales se ha visto paralizada en la práctica durante el escaso tiempo que medió desde la aprobación de la norma hasta la admisión a trámite del recurso por el Tribunal Constitucional para lo cual documenta, por remisión al ya citado informe, daños concretos al medio ambiente en relación con las actividades preventivas de incendios, la imposibilidad de impedir realización de construcciones en terrenos protegidos o los perjuicios que para la flora y la fauna supone la corta ilegal o la caza furtiva, actividades que, a su juicio podrían ser impedidas de manera más eficaz mediante la presencia de agentes forestales, lo que permitiría la realización de inspecciones sin cortapisas que no vengan estrictamente exigidas por el respeto al domicilio. En tal sentido señala que el escaso número de autorizaciones judiciales concedidas en relación con el número de peticiones (7 frente a 32.165 solicitudes, más tres resoluciones de Juzgados de Primera Instancia declarándose incompetentes), así como el tiempo necesario para obtenerlas, pone de manifiesto que la aplicación del precepto paralizó la actividad ordinaria de los agentes forestales de la Comunidad de Madrid. Asimismo, se alega que la aplicación del precepto impugnado impediría la realización de actividades de urgencia, derivadas de los propios protocolos de actuación de la Dirección General del Medio Natural de la Comunidad de Madrid como son los relativos a las actuaciones de investigación y preventivas en relación con la gripe aviar o, en general, con la detección y aplicación de medidas en los casos de envenenamiento o muerte de especies animales. </w:t>
      </w:r>
    </w:p>
    <w:p w:rsidR="00CF03FA" w:rsidRDefault="00CF03FA" w:rsidP="00CF03FA">
      <w:pPr>
        <w:pStyle w:val="TextoNormal"/>
      </w:pPr>
      <w:r>
        <w:t xml:space="preserve">Esa misma imposibilidad de realización de actividades de vigilancia preventiva y de policía de los agentes forestales se pone también de manifiesto en un informe elaborado por la Dirección General para la Biodiversidad del Ministerio de Medio Ambiente que acompaña al escrito de alegaciones. En relación con todo ello, señala que la aplicación del precepto impugnado supondría que quedaría sin vigilancia aproximadamente el 80 por 100 del entorno natural de la Comunidad de Madrid, pues resultarían imposibles las actividades de vigilancia preventiva, en concreto, en relación con el uso de venenos o empleo de otros métodos para eliminar especies protegidas, con la eliminación de arbolado para incrementar el uso agrícola o ganadero, con la detección de enfermedades o epidemias, con la realización de actividades cinegéticas ilegales o, muy especialmente, con la realización de las labores preventivas disuasorias para la defensa de los montes de los incendios forestales. </w:t>
      </w:r>
    </w:p>
    <w:p w:rsidR="00CF03FA" w:rsidRDefault="00CF03FA" w:rsidP="00CF03FA">
      <w:pPr>
        <w:pStyle w:val="TextoNormal"/>
      </w:pPr>
      <w:r>
        <w:t xml:space="preserve">e) En último lugar, el Abogado del Estado argumenta que la suspensión del precepto autonómico hasta la resolución del recurso no supone perjuicio alguno pues la limitación de la propiedad privada que han de sufrir los titulares de los montes a los que accedan sin autorización judicial los agentes forestales es absolutamente proporcionada para la consecución de la finalidad de proteger adecuadamente el medio ambiente. Por ello, se afirma que, en la ponderación de intereses en juego, ha de prevalecer el ecológico, por cuanto los </w:t>
      </w:r>
      <w:r>
        <w:lastRenderedPageBreak/>
        <w:t>daños al medio ambiente suelen ser de muy difícil o imposible reparación, mientras que las limitaciones al derecho de propiedad siempre admitirán una eventual reparación económica.</w:t>
      </w:r>
    </w:p>
    <w:p w:rsidR="00CF03FA" w:rsidRDefault="00CF03FA" w:rsidP="00CF03FA">
      <w:pPr>
        <w:pStyle w:val="TextoNormal"/>
      </w:pPr>
    </w:p>
    <w:p w:rsidR="00CF03FA" w:rsidRDefault="00CF03FA" w:rsidP="00CF03FA">
      <w:pPr>
        <w:pStyle w:val="TextoNormal"/>
      </w:pPr>
      <w:r w:rsidRPr="00CF03FA">
        <w:rPr>
          <w:rStyle w:val="NumeroAFNegritaCaracter"/>
        </w:rPr>
        <w:t>7</w:t>
      </w:r>
      <w:r>
        <w:t xml:space="preserve">. El Letrado de la Comunidad de Madrid solicitó el levantamiento de la suspensión en su escrito de alegaciones, registrado en este Tribunal Constitucional el día 26 de febrero de 2008. </w:t>
      </w:r>
    </w:p>
    <w:p w:rsidR="00CF03FA" w:rsidRDefault="00CF03FA" w:rsidP="00CF03FA">
      <w:pPr>
        <w:pStyle w:val="TextoNormal"/>
      </w:pPr>
      <w:r>
        <w:t xml:space="preserve">Así, tras recordar la doctrina general del Tribunal Constitucional en relación con esta clase de incidentes, señala, en primer lugar, la improcedencia del mantenimiento de la suspensión por razones de seguridad jurídica o como consecuencia de la existencia de dos normativas contrapuestas, la estatal y la autonómica, citando al efecto los AATC 18/2007, de 18 de enero y 79/2003, de 6 de marzo. </w:t>
      </w:r>
    </w:p>
    <w:p w:rsidR="00CF03FA" w:rsidRDefault="00CF03FA" w:rsidP="00CF03FA">
      <w:pPr>
        <w:pStyle w:val="TextoNormal"/>
      </w:pPr>
      <w:r>
        <w:t xml:space="preserve">En cuanto a la ponderación de los intereses afectados y los perjuicios derivados del mantenimiento o levantamiento de la suspensión señala que el interés general que subyace en el precepto autonómico es la necesidad de reforzar la garantía de la seguridad jurídica (art. 9.3 CE), de la inviolabilidad del domicilio (art. 18.2 CE), del derecho fundamental a la intimidad personal y familiar (art. 18.1 CE) y del derecho a la propiedad privada (art. 33.1 CE), los cuales han de cohonestarse con la protección del medio ambiente (art. 45 CE), sin que pueda señalarse que el interés perseguido por la pretensión suspensiva del Gobierno de la Nación sea la defensa del medio ambiente, puesto que este extremo no resultó alegado en la demanda presentada. A continuación, la representación procesal de la Comunidad de Madrid recalca que no procede la aplicación de la doctrina constitucional según la cual la ponderación ha de resolverse a favor de la primacía de los posibles perjuicios de imposible o difícil reparación al medio ambiente, dado que no es ese el interés general esgrimido por el Gobierno en su recurso y, en segundo lugar, porque dicha doctrina ha sido excepcionada, con cita al respecto de los AATC 303/2006, de 12 de septiembre y 283/2006, de 18 de julio, para aquellos supuestos en los que no pueda constatarse la certeza e inmediatez de los perjuicios medioambientales. A su juicio, eso es lo que sucede en el presente supuesto dado que la norma autonómica no supone, en sí misma, un obstáculo o freno para la realización de las labores de vigilancia, inspección y protección de los agentes forestales, al no derivar directamente los eventuales perjuicios para el medio ambiente de la necesidad de autorización judicial de la actividad inspectora. </w:t>
      </w:r>
    </w:p>
    <w:p w:rsidR="00CF03FA" w:rsidRDefault="00CF03FA" w:rsidP="00CF03FA">
      <w:pPr>
        <w:pStyle w:val="TextoNormal"/>
      </w:pPr>
      <w:r>
        <w:t>Por último, indica que la norma autonómica suspendida no hace otra cosa que resaltar un límite derivado de la normativa básica estatal, cual es el relativo a la inviolabilidad del domicilio, aplicado en este caso a todos aquellos supuestos de fincas susceptibles de ser calificadas como domicilio sin que tampoco la norma haya modificado dos aspectos esenciales de la actuación de los agentes forestales como son la posibilidad de acceder a los montes o terrenos forestales con independencia de su titular y la de proceder a la paralización cautelar de los actos que estimen contrarios a la legislación autonómica de protección de la naturaleza.</w:t>
      </w:r>
    </w:p>
    <w:p w:rsidR="00CF03FA" w:rsidRDefault="00CF03FA" w:rsidP="00CF03FA">
      <w:pPr>
        <w:pStyle w:val="TextoNormal"/>
      </w:pPr>
    </w:p>
    <w:p w:rsidR="00CF03FA" w:rsidRDefault="00CF03FA" w:rsidP="00CF03FA">
      <w:pPr>
        <w:pStyle w:val="TextoNormal"/>
      </w:pPr>
      <w:r w:rsidRPr="00CF03FA">
        <w:rPr>
          <w:rStyle w:val="NumeroAFNegritaCaracter"/>
        </w:rPr>
        <w:t>8</w:t>
      </w:r>
      <w:r>
        <w:t xml:space="preserve">. Mediante escrito registrado en este Tribunal Constitucional el día 26 de febrero de 2008, la representación procesal de la Asamblea de Madrid interesó el levantamiento de la suspensión del precepto impugnado alegando, en síntesis, lo siguiente: </w:t>
      </w:r>
    </w:p>
    <w:p w:rsidR="00CF03FA" w:rsidRDefault="00CF03FA" w:rsidP="00CF03FA">
      <w:pPr>
        <w:pStyle w:val="TextoNormal"/>
      </w:pPr>
      <w:r>
        <w:t xml:space="preserve">En primer lugar, señala el carácter excepcional que, conforme a la doctrina de este Tribunal Constitucional, tiene el mantenimiento de la suspensión de la vigencia de una Ley, la cual se beneficia, por su origen, de una presunción de constitucionalidad. Por tanto, indica que la decisión acerca del levantamiento de la suspensión inicialmente decretada debe decidirse, de acuerdo con la jurisprudencia constitucional, previa valoración del alcance de </w:t>
      </w:r>
      <w:r>
        <w:lastRenderedPageBreak/>
        <w:t xml:space="preserve">esa medida así como de las consecuencias que de la misma puedan derivarse para los diversos intereses implicados y de los perjuicios de imposible y difícil reparación. </w:t>
      </w:r>
    </w:p>
    <w:p w:rsidR="00CF03FA" w:rsidRDefault="00CF03FA" w:rsidP="00CF03FA">
      <w:pPr>
        <w:pStyle w:val="TextoNormal"/>
      </w:pPr>
      <w:r>
        <w:t xml:space="preserve">En cuanto a los intereses implicados alega la existencia de intereses privados o de particulares, vinculados a la garantía de la propiedad privada, para conseguir un reforzamiento de la seguridad jurídica de los ciudadanos frente a la actuación de la Administración. Asimismo, indica que no pueden apreciarse eventuales intereses generales que pudieran verse afectados de manera directa por el levantamiento de la suspensión, dado que no puede entenderse que la norma en cuestión produce un perjuicio ecológico, pues, además de que no se invoca en al demanda el art. 45 CE, ésta se dirige a regular una competencia de carácter ejecutivo que corresponde a la Comunidad Autónoma, estableciendo un trámite específico que ha de cubrir un cuerpo de funcionarios también autonómico. Por otro lado, en cuanto a la supuesta quiebra de la función inspectora que produciría la aplicación del precepto suspendido, señala que, además de que ésta no se produce ya que la propia norma permite dos entradas no judiciales (en los supuestos de lucha contra los incendios forestales y cuando haya consentimiento del titular), existen leyes tanto estatales como autonómicas que establecen este requisito previo. </w:t>
      </w:r>
    </w:p>
    <w:p w:rsidR="00CF03FA" w:rsidRDefault="00CF03FA" w:rsidP="00CF03FA">
      <w:pPr>
        <w:pStyle w:val="TextoNormal"/>
      </w:pPr>
      <w:r>
        <w:t>Por todo lo expuesto, la representación procesal de la Asamblea de Madrid considera que el levantamiento de la suspensión del precepto impugnado no produciría perjuicios irreparables puesto que el libre acceso a la propiedad forestal no es indispensable para el ejercicio de las funciones que los agentes forestales tienen encomendadas y, de hecho, no está reconocido para otros funcionarios públicos que también son agentes de la autoridad y llevan a cabo funciones de policía administrativa.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objeto de la presente resolución consiste en determinar si, de acuerdo con el art. 161.2 CE, procede levantar o mantener la suspensión de la vigencia que afecta al art. 9 de la Ley de la Comunidad de Madrid 3/2007, de 26 de julio, de medidas urgentes de modernización del Gobierno y la Administración de la Comunidad de Madrid, precepto que se encuentra suspendido en su aplicación como consecuencia de la invocación del art. 161.2 CE al promoverse el recurso de inconstitucionalidad contra el mismo por el Presidente del Gobierno.</w:t>
      </w:r>
    </w:p>
    <w:p w:rsidR="00CF03FA" w:rsidRDefault="00CF03FA" w:rsidP="00CF03FA">
      <w:pPr>
        <w:pStyle w:val="TextoNormal"/>
      </w:pPr>
      <w:r>
        <w:t>El precepto recurrido introduce un nuevo primer párrafo en el apartado 3 del art. 100 de la Ley de la Comunidad de Madrid 16/1995, de 4 de mayo, forestal y de protección de la naturaleza, cuya diferencia con la regulación anteriormente vigente radica en la exigencia de autorización judicial para que los agentes forestales puedan, en el ejercicio de sus funciones, acceder a fincas de titularidad privada. De esta forma, el precepto tiene el siguiente tenor literal:</w:t>
      </w:r>
    </w:p>
    <w:p w:rsidR="00CF03FA" w:rsidRDefault="00CF03FA" w:rsidP="00CF03FA">
      <w:pPr>
        <w:pStyle w:val="TextoNormal"/>
      </w:pPr>
      <w:r>
        <w:t>“3. Los agentes forestales requerirán de autorización judicial para acceder a montes o terrenos forestales de titularidad privada, salvo que el acceso se produzca con ocasión de la extinción de incendios forestales”.</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Sobre este tipo de incidentes de suspensión existe doctrina constitucional, de acuerdo con la cual, para decidir acerca del mantenimiento o levantamiento de la misma,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w:t>
      </w:r>
      <w:r>
        <w:lastRenderedPageBreak/>
        <w:t>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355/2007, de 24 de julio y doctrina allí citada).</w:t>
      </w:r>
    </w:p>
    <w:p w:rsidR="00CF03FA" w:rsidRDefault="00CF03FA" w:rsidP="00CF03FA">
      <w:pPr>
        <w:pStyle w:val="TextoNormal"/>
      </w:pPr>
    </w:p>
    <w:p w:rsidR="00CF03FA" w:rsidRDefault="00CF03FA" w:rsidP="00CF03FA">
      <w:pPr>
        <w:pStyle w:val="TextoNormal"/>
      </w:pPr>
      <w:r w:rsidRPr="00CF03FA">
        <w:rPr>
          <w:rStyle w:val="NumeroAFNegritaCaracter"/>
        </w:rPr>
        <w:t>3</w:t>
      </w:r>
      <w:r>
        <w:t>. Según ha quedado expuesto en los antecedentes, el Abogado del Estado solicita el mantenimiento de la suspensión por entender que con tal suspensión se procura una mayor protección de los intereses medioambientales y ecológicos, los cuales, con arreglo a nuestra doctrina, han de merecer especial consideración en atención al carácter normalmente irreparable de los daños en ese concreto ámbito. En tal sentido argumenta que la norma ahora suspendida disminuye la capacidad de actuación de los agentes forestales al imponerles la obligación de disponer de autorización judicial para acceder a montes o terrenos forestales. Con ello se reduce, al mismo tiempo, la defensa del interés público, ya que se merman notablemente las posibilidades de estos profesionales para ejercer la labor de vigilancia y garantizar el cumplimiento de la legalidad en materia medioambiental, con la consiguiente disminución de la protección ecológica. En cuanto a los concretos perjuicios alegados, señala, como es de ver con más detalle en los antecedentes, que la aplicación de la norma durante el escaso tiempo en que esta permaneció vigente provocó la paralización de la actividad de los agentes forestales, con los consiguientes daños concretos a los valores ambientalmente protegidos, por la imposibilidad de desarrollar actividades de prevención y aquellas otras que, por su propia naturaleza, revisten carácter de urgencia a fin de evitar consecuencias dañinas para el medio natural. Finalmente argumenta que el mantenimiento de la suspensión no produce perjuicio alguno, pues frente al interés de los titulares de montes privados ha de prevalecer el ecológico, por tratarse de una limitación de la propiedad privada absolutamente proporcionada para la consecución de la finalidad de proteger adecuadamente el medio ambiente que se deriva del art. 45 CE.</w:t>
      </w:r>
    </w:p>
    <w:p w:rsidR="00CF03FA" w:rsidRDefault="00CF03FA" w:rsidP="00CF03FA">
      <w:pPr>
        <w:pStyle w:val="TextoNormal"/>
      </w:pPr>
      <w:r>
        <w:t>La representación procesal del Gobierno de la Comunidad de Madrid ha interesado el levantamiento de la suspensión señalando que las exigencias derivadas del principio de seguridad jurídica o de la coexistencia de dos normativas, estatal o autonómica, no son motivo suficiente para acordar el mantenimiento de la suspensión sin entrar a analizar el supuesto concreto. En relación con ello, afirma que la ponderación de los intereses afectados en relación con los medioambientales, entre los que cita la garantía de la seguridad jurídica, de la inviolabilidad del domicilio, del derecho fundamental a la intimidad personal y familiar y del derecho a la propiedad privada, no cabe resolverla a favor de la primacía de los posibles perjuicios de imposible o difícil reparación para el medio ambiente, puesto que la defensa del medio ambiente no ha sido el interés general defendido por el Estado en su recurso y tampoco se ha constatado la certeza e inmediatez de los perjuicios. Con respecto a la influencia del precepto suspendido en la actividad de los agentes forestales alega que el mismo no constituye un impedimento u obstáculo para la realización de las labores que les son propias.</w:t>
      </w:r>
    </w:p>
    <w:p w:rsidR="00CF03FA" w:rsidRDefault="00CF03FA" w:rsidP="00CF03FA">
      <w:pPr>
        <w:pStyle w:val="TextoNormal"/>
      </w:pPr>
      <w:r>
        <w:t xml:space="preserve">Por su parte, las alegaciones de la Asamblea de Madrid interesan el levantamiento de la suspensión inicialmente acordada por entender que su mantenimiento tiene un carácter excepcional que no ha de prevalecer en un caso como el presente en el que se pretende reforzar la seguridad jurídica de los ciudadanos frente a la actuación administrativa, estableciendo </w:t>
      </w:r>
      <w:r>
        <w:lastRenderedPageBreak/>
        <w:t>una garantía adicional para la propiedad privada y sin que existan intereses generales afectados por el levantamiento de la suspensión ni pueda considerarse que el libre acceso a cualquier tipo de lugares por parte de los agentes forestales constituya una condición indispensable para el ejercicio de sus funciones.</w:t>
      </w:r>
    </w:p>
    <w:p w:rsidR="00CF03FA" w:rsidRDefault="00CF03FA" w:rsidP="00CF03FA">
      <w:pPr>
        <w:pStyle w:val="TextoNormal"/>
      </w:pPr>
    </w:p>
    <w:p w:rsidR="00CF03FA" w:rsidRDefault="00CF03FA" w:rsidP="00CF03FA">
      <w:pPr>
        <w:pStyle w:val="TextoNormal"/>
      </w:pPr>
      <w:r w:rsidRPr="00CF03FA">
        <w:rPr>
          <w:rStyle w:val="NumeroAFNegritaCaracter"/>
        </w:rPr>
        <w:t>4</w:t>
      </w:r>
      <w:r>
        <w:t>. Así expuestos los perjuicios a los intereses particulares y generales que cada una de las partes plantea que pueden producirse si se mantiene o se alza la suspensión previamente acordada por el Tribunal, procede que realicemos la ponderación que es propia de este incidente cautelar. Para ello, tendremos presente que su resolución está desvinculada de la que en su día haya de adoptarse sobre el debate de fondo, pues la interpretación de las reglas de deslinde competencial aplicables al caso debe quedar deferida a la sentencia que resuelva la controversia competencial planteada. Asimismo, y conforme a nuestra doctrina, incumbe al Abogado del Estado justificar que el levantamiento de la suspensión del precepto recurrido lesionaría los intereses generales o de terceros, produciendo con ello perjuicios irreparables o de difícil reparación.</w:t>
      </w:r>
    </w:p>
    <w:p w:rsidR="00CF03FA" w:rsidRDefault="00CF03FA" w:rsidP="00CF03FA">
      <w:pPr>
        <w:pStyle w:val="TextoNormal"/>
      </w:pPr>
      <w:r>
        <w:t>De esta forma, en este incidente deberemos determinar los intereses que han de prevalecer, por ser menos resistentes al perjuicio o acreedores de una protección preferente, y cuáles deben ceder por ser su lesión menos onerosa o de menor incidencia su sacrificio en caso de colisión, teniendo en cuenta, a tal fin, la irreparabilidad o dificultad de reparación de las situaciones que pudieran generarse y, de otra parte, la trascendencia de los intereses subyacentes, generales y particulares.</w:t>
      </w:r>
    </w:p>
    <w:p w:rsidR="00CF03FA" w:rsidRDefault="00CF03FA" w:rsidP="00CF03FA">
      <w:pPr>
        <w:pStyle w:val="TextoNormal"/>
      </w:pPr>
      <w:r>
        <w:t>Para ello, hemos de tener presente, en primer lugar, que, en nuestra jurisprudencia sobre suspensión cautelar de las normas, la salvaguarda del interés ecológico merece la condición de interés preferente y en esos términos lo expresa el fundamento jurídico 4 del ATC 355/2007, de 24 de julio:</w:t>
      </w:r>
    </w:p>
    <w:p w:rsidR="00CF03FA" w:rsidRDefault="00CF03FA" w:rsidP="00CF03FA">
      <w:pPr>
        <w:pStyle w:val="TextoNormal"/>
      </w:pPr>
      <w:r>
        <w:t>“En relación con ello procede recordar aquí lo que ya dijimos en el ATC 252/2001, de 18 de septiembre, cuyo fundamento jurídico 3 señala, recogiendo doctrina anterior, lo siguiente: En nuestro ATC 287/1999 manifestamos que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precisando a continuación que, según dicha doctrina, ‘no cabe derivar de la Constitución la tesis de que toda medida de ordenación legal de los recursos naturales deba atender prioritariamente al criterio de evitar cualquier sacrificio no imprescindible de los derechos e intereses patrimoniales de carácter individual (ATC 101/1993, FJ 2) y concluye pronunciándose de forma jurídicamente generalizada a favor de la primacía de la protección de los recursos biológicos naturales, dada su fragilidad y la irreparabilidad de los perjuicios que se podrían producir en caso de perturbación de los mismos (ATC 674/1984, 1270/1988, 101/1993, 243/1993, 46/1994 y 225/1995, entre otros)’ (ATC 287/1999, FJ 3).</w:t>
      </w:r>
    </w:p>
    <w:p w:rsidR="00CF03FA" w:rsidRDefault="00CF03FA" w:rsidP="00CF03FA">
      <w:pPr>
        <w:pStyle w:val="TextoNormal"/>
      </w:pPr>
      <w:r>
        <w:t>Sin embargo, en el mismo Auto también señalamos que ‘como excepción a esta doctrina, sólo hemos admitido la subordinación de los intereses conservacionistas a otros intereses públicos o privados de carácter patrimonial cuando la lesión de éstos suponga afectar a un sector económico de manera directa e inmediata ... fundamental para la economía de la Nación con posibles perjuicios económicos de muy difícil reparación (ATC 890/1986, FJ 2), o bien cuando la aplicación de las medidas controvertidas fueran susceptibles de provocar gravísimos efectos perjudiciales (ATC 29/1990, FJ 3, que reitera el anterior) (ATC 287/1999, FJ 4)’”.</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5</w:t>
      </w:r>
      <w:r>
        <w:t>. Con arreglo a tales criterios podemos comenzar ya la ponderación que es propia de este incidente señalando que, sin perjuicio de lo que más adelante se dirá, no puede ser tomada en consideración la genérica alegación del Abogado del Estado relativa a la mayor protección del interés ecológico que se derivaría de la legislación estatal que ha entrado en conflicto con la autonómica impugnada —esto es, el art. 58 de la Ley 43/2003, de 21 de noviembre, de montes, en la redacción dada al mismo por la Ley 10/2006, de 28 de abril—. A los efectos que aquí nos ocupan, los argumentos en los que se justifique el mantenimiento de la suspensión solicitada han de ser aportados y razonados con detalle, lo que viene a significar que, en este caso, sea preciso demostrar, más allá de la simple comparación entre lo dispuesto en las dos normas que han entrado en conflicto, que, efectivamente, la necesidad de obtener la autorización judicial para acceder a montes o terrenos forestales de titularidad privada, en cuanto supone la privación de una facultad necesaria para facilitar el correcto desempeño de las funciones de policía y guarda forestal que los agentes forestales tienen atribuidas, es, en sí misma, susceptible de ser determinante para la producción de daños medioambientales, los cuales, por su propia naturaleza, resultan ser de imposible o difícil reparación.</w:t>
      </w:r>
    </w:p>
    <w:p w:rsidR="00CF03FA" w:rsidRDefault="00CF03FA" w:rsidP="00CF03FA">
      <w:pPr>
        <w:pStyle w:val="TextoNormal"/>
      </w:pPr>
      <w:r>
        <w:t>Dicho esto, añadiremos que tampoco pueden ser tomados en consideración los alegatos formulados por las representaciones procesales del Gobierno y de la Asamblea de Madrid relativos a la falta de invocación en la demanda del art. 45 CE y ello porque, con independencia de que en el debate de fondo en el presente proceso no se haya hecho efectivamente invocación del citado precepto constitucional, nada impide que se haga en este momento, en el que lo discutido no resulta ser la delimitación de competencias entre el Estado y la Comunidad de Madrid, sino, únicamente, si la aplicación de la norma impugnada resulta susceptible de provocar daños medioambientales que, precisamente por revestir tal carácter, hayan de prevalecer frente a los perjuicios derivados del eventual mantenimiento de la suspensión inicialmente acordada. Asimismo, tampoco ha de resultar de directa aplicación al presente caso, en contra de lo aducido por el Letrado de la Comunidad de Madrid, lo establecido en los AATC 283/2006, de 18 de julio, y 303/2006, de 12 de septiembre, en los que este Tribunal Constitucional levantó la suspensión inicialmente acordada en relación con dos resoluciones de la Consejería de Transportes e Infraestructuras de la Comunidad de Madrid referentes a la convocatoria y posterior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En ambos casos apreciamos que lo que preveían las resoluciones impugnadas no era la inmediata realización de obras de construcción de carreteras, sino la de estudios y proyectos previos, razón por la cual no resultaba posible apreciar que los perjuicios medioambientales alegados en ese momento por el Abogado del Estado para justificar el mantenimiento de la suspensión tuvieran las necesarias notas de certeza e inmediatez, aspecto este último que, precisamente, ha de ser dilucidado aquí, al analizar los concretos perjuicios medioambientales que ocasionaría la aplicación del precepto suspendido.</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Por ello, a fin de valorar adecuadamente los efectos perjudiciales que, según alega el Abogado del Estado, se producirían para los intereses generales vinculados a la protección del medio ambiente hemos de partir de que la Constitución Española establece, en su art. 45, como uno de los principios rectores de la política social y económica, la obligación de los poderes públicos de velar por la utilización racional de los recursos naturales, con el fin </w:t>
      </w:r>
      <w:r>
        <w:lastRenderedPageBreak/>
        <w:t>de proteger y mejorar la calidad de vida y defender y restaurar el medio ambiente, apoyándose en la indispensable solidaridad colectiva. Este mismo interés de conservación del medio natural se expresa tanto en la legislación estatal sobre montes como en la propia Ley de la Comunidad de Madrid 16/1995, de 4 de mayo, forestal y de protección de la naturaleza, la cual, partiendo de la premisa de la importante labor social que realizan los montes y terrenos forestales, pretende promover y garantizar la conservación y mejora de los ecosistemas forestales, potenciar su crecimiento y ordenar sus usos, compatibilizándola con las funciones protectoras, productoras, culturales y recreativas que estos ecosistemas desempeñan. De acuerdo con ello, esta misma norma articula unas vías eficaces de acción ante las actuaciones contrarias al ordenamiento forestal y establece unos mecanismos de vigilancia que se encargan de velar por lo dispuesto en la Ley y así, en su art. 100, se determina que, a través de la Consejería de Medio Ambiente, se velará por el cumplimiento de sus disposiciones con el personal que tenga atribuidas funciones de vigilancia y en particular la guardería forestal, actividad ejercida por el cuerpo de agentes forestales, creado por la Ley de la Comunidad de Madrid 1/2002, de 27 de marzo.</w:t>
      </w:r>
    </w:p>
    <w:p w:rsidR="00CF03FA" w:rsidRDefault="00CF03FA" w:rsidP="00CF03FA">
      <w:pPr>
        <w:pStyle w:val="TextoNormal"/>
      </w:pPr>
      <w:r>
        <w:t>De lo expuesto se deduce que la propia normativa autonómica ha sido sensible a la necesidad de articular unas vías eficaces de acción ante las actuaciones contrarias al ordenamiento forestal, las cuales han de operar como factor disuasorio de éstas así como hacer posible la reparación de los daños provocados por las mismas. Estas formas de acción encomendadas a los agentes forestales, según se plasma en las dos normas citadas, no persiguen únicamente una finalidad represiva o sancionadora, vinculada a labores de policía administrativa especial que responden al objetivo de vigilancia y protección del medio natural, sino también preventiva, mediante la utilización de medios positivos que eviten la producción del daño, como, por ejemplo, la información y orientación a los ciudadanos, la defensa y prevención contra plagas y enfermedades que amenacen el ecosistema, funciones relacionadas con la prevención, detección, extinción e investigación de incendios forestales, desarrollo y fomento de la reforestación y regeneración de los montes y terrenos forestales desarbolados o, en fin, el apoyo técnico a las actividades de gestión que la Comunidad de Madrid desarrolla en el medio natural para su aprovechamiento, restauración y mejora continua, funciones todas ellas que pueden entenderse incluidas en lo que al efecto dispone el art. 5 de la ya citada Ley 1/2002, al establecer las funciones de los agentes forestales.</w:t>
      </w:r>
    </w:p>
    <w:p w:rsidR="00CF03FA" w:rsidRDefault="00CF03FA" w:rsidP="00CF03FA">
      <w:pPr>
        <w:pStyle w:val="TextoNormal"/>
      </w:pPr>
    </w:p>
    <w:p w:rsidR="00CF03FA" w:rsidRDefault="00CF03FA" w:rsidP="00CF03FA">
      <w:pPr>
        <w:pStyle w:val="TextoNormal"/>
      </w:pPr>
      <w:r w:rsidRPr="00CF03FA">
        <w:rPr>
          <w:rStyle w:val="NumeroAFNegritaCaracter"/>
        </w:rPr>
        <w:t>7</w:t>
      </w:r>
      <w:r>
        <w:t>. Lo anteriormente expuesto en cuanto a la obligación de los poderes públicos de promover la conservación del medio ambiente así como en lo relativo a las funciones que la normativa autonómica asigna a los agentes forestales debe ahora ponerse en relación con los concretos perjuicios alegados por el Abogado del Estado, de los cuales, a la vista de la documentación aportada, han de destacarse tres extremos. En primer lugar, los relativos a los daños medioambientales efectivamente producidos en relación con la prevención en materia de incendios y en otros ámbitos, con la realización de construcciones en terrenos protegidos y con los perjuicios para flora y fauna derivados de la corta ilegal y la caza furtiva. En segundo lugar, el hecho de que lo previsto en el precepto impugnado resultaría ser de aplicación a la mayor parte de los montes y terrenos forestales de las Comunidad Autónoma, puesto que éstos son, en su inmensa mayoría, de titularidad privada. Por último, en tercer lugar, la gran desproporción existente entre el número de autorizaciones judiciales solicitadas durante la vigencia del precepto y las efectivamente concedidas.</w:t>
      </w:r>
    </w:p>
    <w:p w:rsidR="00CF03FA" w:rsidRDefault="00CF03FA" w:rsidP="00CF03FA">
      <w:pPr>
        <w:pStyle w:val="TextoNormal"/>
      </w:pPr>
      <w:r>
        <w:t xml:space="preserve">Teniendo en cuenta los tres extremos citados, y sin perjuicio de la valoración que la norma merezca desde el punto de vista del orden constitucional de delimitación de competencias, aspecto controvertido en el proceso principal y del todo ajeno al presente incidente, </w:t>
      </w:r>
      <w:r>
        <w:lastRenderedPageBreak/>
        <w:t>podemos concluir que, como se expone a continuación, se ha razonado consistentemente —teniendo en cuenta que la reparación del daño medioambiental resulta en muchas ocasiones difícil, cuando no imposible, dada su fragilidad— que el levantamiento de la suspensión del precepto impugnado colocaría en situación de mayor riesgo los valores medioambientales a cuya protección está ordenada la legislación autonómica, singularmente, la propia Ley 16/1995. Por ello, podemos considerar que se han aportado elementos de juicio suficientes para que apreciemos que concurren aquí las notas de certeza e inmediatez de los daños y la imposibilidad de corregir los posibles perjuicios susceptibles de ser considerados como determinantes para acordar el mantenimiento de la inicial suspensión del precepto impugnado</w:t>
      </w:r>
    </w:p>
    <w:p w:rsidR="00CF03FA" w:rsidRDefault="00CF03FA" w:rsidP="00CF03FA">
      <w:pPr>
        <w:pStyle w:val="TextoNormal"/>
      </w:pPr>
    </w:p>
    <w:p w:rsidR="00CF03FA" w:rsidRDefault="00CF03FA" w:rsidP="00CF03FA">
      <w:pPr>
        <w:pStyle w:val="TextoNormal"/>
      </w:pPr>
      <w:r w:rsidRPr="00CF03FA">
        <w:rPr>
          <w:rStyle w:val="NumeroAFNegritaCaracter"/>
        </w:rPr>
        <w:t>8</w:t>
      </w:r>
      <w:r>
        <w:t>. En tal sentido, la prevalencia que, en la ponderación propia de este incidente, hemos de otorgar a los valores medioambientales, por los perjuicios irreparables o de muy difícil reparación que para éstos se derivarían del levantamiento de la suspensión de este proceso según se razona en la documentación aportada por el Abogado del Estado, presenta una innegable dimensión de interés general que, en este caso, no puede ser contradicha por los intereses particulares que, contrapuestos al general medioambiental, han sido puestos de relieve en los alegatos de las representaciones procesales del Gobierno y de la Asamblea de Madrid.</w:t>
      </w:r>
    </w:p>
    <w:p w:rsidR="00CF03FA" w:rsidRDefault="00CF03FA" w:rsidP="00CF03FA">
      <w:pPr>
        <w:pStyle w:val="TextoNormal"/>
      </w:pPr>
      <w:r>
        <w:t xml:space="preserve">En efecto, no pueden ser tomados en consideración los alegatos referidos a la inviolabilidad del domicilio por cuanto se encuentran conectados con aspectos de fondo discutidos en el proceso principal, sin perjuicio de señalar que el mantenimiento de la suspensión de la norma impugnada no afectaría, evidentemente, a la inviolabilidad del domicilio, cuyo respeto está expresamente establecido en la normativa estatal que se reputa vulnerada en el recurso de inconstitucionalidad. En especial, en lo relativo a la prevalencia del derecho de propiedad privada establecido en el art. 33 CE, no debe obviarse que tal derecho otorga, en relación con los montes y terrenos forestales, un haz de facultades individuales sobre dichos bienes, pero también un conjunto de derechos y obligaciones establecidos, de acuerdo con las leyes, en atención a valores o intereses de la comunidad, es decir, a la finalidad o utilidad social que cada categoría de bienes esté llamada a cumplir. Lo que en este caso significa que las facultades inherentes al derecho de propiedad han de cohonestarse con las medidas tendentes a proteger el medio natural en cumplimiento del mandato que impone el art. 45 CE (STC 170/1989, de 19 de octubre, FJ 8). Resulta claro que la regulación en materia de montes por los diferentes entes competentes para ello afecta al ejercicio del derecho de propiedad de los bienes sobre los que recae, al configurar su contenido y condicionar su ejercicio a la función social que tienen que cumplir. De esta manera el derecho a la propiedad privada de las fincas forestales en ningún momento se ve afectado en su titularidad, pero está delimitado de acuerdo con la normativa que tenga por finalidad la protección del medioambiente. No cabe olvidar que la incorporación de tales exigencias medioambientales a la definición del derecho de propiedad responde a un principio tutelado por la propia Constitución y de cuya eficacia normativa con carácter general no es posible sustraerse a la hora de valorar las repercusiones que para los propietarios privados de montes y terrenos forestales en la Comunidad de Madrid puede suponer el mantenimiento de la suspensión del precepto controvertido. Asimismo, y a la vista de las funciones de los agentes forestales que ya hemos examinado y, en particular, de la relevancia que tienen las estrictamente preventivas en relación con la preservación y uso racional de los valores naturales, tampoco cabe deducir que de la posibilidad de acceder a los montes o terrenos forestales hayan de derivarse necesariamente consecuencias represivas, pues no todo acceso resultará en un procedimiento sancionador y, en los supuestos en que así ocurra, el mismo revestirá todas las </w:t>
      </w:r>
      <w:r>
        <w:lastRenderedPageBreak/>
        <w:t>garantías exigidas por el ordenamiento jurídico, amén de ser incoado por los órganos competentes de la propia  Comunidad de Madrid.</w:t>
      </w:r>
    </w:p>
    <w:p w:rsidR="00CF03FA" w:rsidRDefault="00CF03FA" w:rsidP="00CF03FA">
      <w:pPr>
        <w:pStyle w:val="TextoNormal"/>
      </w:pPr>
      <w:r>
        <w:t>Por ello el mantenimiento de la suspensión del precepto, aun cuando efectivamente pueda suponer una limitación de las facultades dominicales en el sentido de permitir el acceso de los agentes forestales a los montes y terrenos forestales privados que constituyen la mayoría de los existentes en la Comunidad de Madrid, ha de considerarse proporcionada en relación con la función medioambiental a las que esos bienes están vinculados, como expresión del mandato contenido en el art. 45 CE. Es evidente que los montes y terrenos forestales revisten un interés general, al incidir positivamente en los procesos ecológicos y ambientales, dada la transcendencia que estos ecosistemas desempeñan en la regulación del ciclo hidrológico, el cambio climático, la producción de materias primas, etc. Por el contrario, de esa medida no se deducen limitaciones irrazonables, conforme a criterios socialmente aceptados, o desproporcionadas del derecho de propiedad, por cuanto no supone una anulación de la utilidad meramente individual del derecho ni altera la recognoscibilidad de las facultades de disponibilidad que éste conlleva ni las posibilidades reales de hacerlo efectivo. De hecho, la normativa en materia de montes establece como principio general que, sin perjuicio de las competencias de las Administraciones Públicas, los propietarios de los montes sean los responsables de su gestión técnica y material.</w:t>
      </w:r>
    </w:p>
    <w:p w:rsidR="00CF03FA" w:rsidRDefault="00CF03FA" w:rsidP="00CF03FA">
      <w:pPr>
        <w:pStyle w:val="TextoNormal"/>
      </w:pPr>
      <w:r>
        <w:t>En conclusión, siendo los factores determinantes de la decisión a adoptar la ponderación de los efectos que sobre los intereses generales y, eventualmente, particulares, pudiera tener la decisión adoptada así como la irreparabilidad de los perjuicios que, en su caso, pudieran causarse, hemos de constatar que los posibles perjuicios que el mantenimiento de la suspensión pudiera producir sobre los intereses particulares afectados carecen de la virtualidad necesaria y no pueden prevalecer sobre los intereses generales que se han aducido, es decir, los vinculados a la protección y defensa del medio ambiente. Dado el carácter notorio, cierto y de presente en el alcance e intensidad de los daños que podría sufrir la adecuada conservación de los ecosistemas y de la diversidad biológica de la Comunidad Autónoma, no nos encontramos aquí ante alguno de los supuestos en los que, conforme a nuestra doctrina, los intereses medioambientales hayan de quedar subordinados a otros intereses.</w:t>
      </w:r>
    </w:p>
    <w:p w:rsidR="00CF03FA" w:rsidRDefault="00CF03FA" w:rsidP="00CF03FA">
      <w:pPr>
        <w:pStyle w:val="TextoNormal"/>
      </w:pPr>
      <w:r>
        <w:t>Por el contrario, al no haber sido enervado en este caso el criterio de que la protección del interés ecológico resulta preferente en este tipo de decisiones sobre suspensión cautelar de normas, la decisión debe consistir en mantener la suspensión de la norma controvertida, pues es razonable temer que su aplicación podría ocasionar consecuencias desfavorables para los valores medioambientales susceptibles de protección, y el daño para éstos constituiría, en cualquier caso, un perjuicio al interés general difícilmente reparable y de mayor entidad que el que pudiera causarse a los particulares, titulares del derecho de propiedad sobre montes y terrenos forestales, así como a los eventuales infractores sancionados como consecuencia de la actividad inspectora de los agentes forestales.</w:t>
      </w:r>
    </w:p>
    <w:p w:rsidR="00CF03FA" w:rsidRDefault="00CF03FA" w:rsidP="00CF03FA">
      <w:pPr>
        <w:pStyle w:val="TextoNormal"/>
      </w:pPr>
    </w:p>
    <w:p w:rsidR="00CF03FA" w:rsidRDefault="00CF03FA" w:rsidP="00CF03FA">
      <w:pPr>
        <w:pStyle w:val="TextoNormal"/>
      </w:pPr>
      <w:r>
        <w:t>Por todo lo expuesto, el Pleno</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Mantener la suspensión del art. 9 de la Ley de la Comunidad de Madrid 3/2007, de 26 de julio, de medidas urgentes de modernización del Gobierno y la Administración de la Comunidad de Madrid.</w:t>
      </w:r>
    </w:p>
    <w:p w:rsidR="00CF03FA" w:rsidRDefault="00CF03FA" w:rsidP="00CF03FA">
      <w:pPr>
        <w:pStyle w:val="TextoNormal"/>
      </w:pPr>
    </w:p>
    <w:p w:rsidR="00CF03FA" w:rsidRDefault="00CF03FA" w:rsidP="00CF03FA">
      <w:pPr>
        <w:pStyle w:val="TextoNormal"/>
      </w:pPr>
      <w:r>
        <w:t>Madrid, a dos de abril de dos mil ocho.</w:t>
      </w:r>
    </w:p>
    <w:p w:rsidR="00CF03FA" w:rsidRDefault="00CF03FA" w:rsidP="00CF03FA">
      <w:pPr>
        <w:pStyle w:val="ParrafoNormal"/>
      </w:pPr>
    </w:p>
    <w:p w:rsidR="00CF03FA" w:rsidRDefault="00CF03FA" w:rsidP="00CF03FA">
      <w:pPr>
        <w:pStyle w:val="TextoNormalNegritaCentrado"/>
        <w:keepNext/>
      </w:pPr>
      <w:r>
        <w:t>Voto particular que formula el Magistrado don Jorge Rodríguez-Zapata Pérez respecto del Auto del Pleno de 2 abril de 2008, que acuerda mantener la suspensión del art. 9 de la Ley Autonomica 3/2007, de 26 de julio, referido a la exigencia de autorizacion judicial para que los agentes forestales puedan acceder a montes o terrenos forestales de titularidad privada en la Comunidad de Madrid, al que se adhiere el Magistrado don Ramón Rodríguez Arribas.</w:t>
      </w:r>
    </w:p>
    <w:p w:rsidR="00CF03FA" w:rsidRDefault="00CF03FA" w:rsidP="00CF03FA">
      <w:pPr>
        <w:pStyle w:val="TextoNormalNegritaCentrado"/>
        <w:keepNext/>
      </w:pPr>
    </w:p>
    <w:p w:rsidR="00CF03FA" w:rsidRDefault="00CF03FA" w:rsidP="00CF03FA">
      <w:pPr>
        <w:pStyle w:val="TextoNormal"/>
      </w:pPr>
      <w:r>
        <w:t>1. He formulado frecuentes Votos particulares contra la doctrina asumida por este Tribunal sobre el mantenimiento o levantamiento de la suspensión de disposiciones autonómicas acordada ex art. 161.2 CE. A ellos me remito para expresar mi posición (por todos, ATC 355/2007, de 24 de julio, Voto particular, FJ 1 y Votos allí citados). Insisto de nuevo en que es necesaria una reflexión profunda sobre esa doctrina ya que, en su estado actual, lleva a resoluciones contrarias al principio de predictibilidad de nuestras respuestas jurisdiccionales. Lo acordado en el presente supuesto es un ejemplo de la incertidumbre que, a mi juicio, puede producir la doctrina actual.</w:t>
      </w:r>
    </w:p>
    <w:p w:rsidR="00CF03FA" w:rsidRDefault="00CF03FA" w:rsidP="00CF03FA">
      <w:pPr>
        <w:pStyle w:val="TextoNormal"/>
      </w:pPr>
      <w:r>
        <w:t>2. La nueva redacción del art. 100.3 de la Ley 16/1995, de 4 de mayo, forestal y de protección de la naturaleza de la Comunidad de Madrid (dimanante del art. 9 de la Ley de la Comunidad de Madrid 3/2007, de 26 de julio) dispone que los agentes forestales necesitan —salvo en caso de extinción de incendios forestales— autorización judicial para acceder a montes o terrenos forestales de titularidad privada.</w:t>
      </w:r>
    </w:p>
    <w:p w:rsidR="00CF03FA" w:rsidRDefault="00CF03FA" w:rsidP="00CF03FA">
      <w:pPr>
        <w:pStyle w:val="TextoNormal"/>
      </w:pPr>
      <w:r>
        <w:t>La conveniencia de seguir manteniendo la suspensión del precepto impugnado ha sido defendida por el Abogado del Estado, con éxito en el presente caso. Ha aducido que con la suspensión se procurará una mayor protección de los intereses ambientales y ecológicos, aportando un abundante material probatorio a fin de acreditar posibles perjuicios para las actividades de prevención de incendios, así como para la flora y la fauna, por corta ilegal, caza furtiva, gripe aviar o envenenamiento de especies animales [antecedente 4 d) del Auto].</w:t>
      </w:r>
    </w:p>
    <w:p w:rsidR="00CF03FA" w:rsidRDefault="00CF03FA" w:rsidP="00CF03FA">
      <w:pPr>
        <w:pStyle w:val="TextoNormal"/>
      </w:pPr>
      <w:r>
        <w:t>No han contrarrestado ese principio de prueba las representaciones procesales del Gobierno y de la Asamblea de la Comunidad de Madrid, lo cual puede ser lógico si se considera que nuestra doctrina no atiende, ni siquiera con una “mirada de soslayo”, a la doctrina del “fumus boni iuris” ni, menos aún, a consideraciones de fondo. Por ello, el resultado del incidente procesal no ha podido ser otro que el mantenimiento de la situación procesal inicial de suspensión. Mi voto ha sido concurrente con la decisión de la mayoría, por una obvia necesidad de coherencia con la posición que he defendido en ocasiones anteriores. Resulta, sin embargo, que nuestra doctrina, tal como ha sido aplicada en casos similares —por ejemplo los AATC que se citan en el FJ 5 “in fine” del Auto— parece cambiante y mudable, como voy a razonar brevemente.</w:t>
      </w:r>
    </w:p>
    <w:p w:rsidR="00CF03FA" w:rsidRDefault="00CF03FA" w:rsidP="00CF03FA">
      <w:pPr>
        <w:pStyle w:val="TextoNormal"/>
      </w:pPr>
      <w:r>
        <w:t>3. El Auto aprobado invoca (FJ 4) incorrectamente el ATC 355/2007, de 24 de julio. La cita que se trae a colación es un simple “ob iter dictum” porque lo acordado en el citado Auto es lo contrario de lo decidido ahora. Por ello tal doctrina debió llevar a la mayoría a una solución meridianamente contraria a la que se ha adoptado en este caso. En efecto, el ATC 355/2007 no atendió al principio comunitario de precaución y alzó la suspensión de las obras de una planta desaladora de agua del mar destinada a garantizar regadíos del trasvase Tajo Segura, pese a estar ubicada en un Parque Natural y existir un principio de prueba de que los vertidos de salmuera podían producir daños medioambientales evidentes al ecosistema marino.</w:t>
      </w:r>
    </w:p>
    <w:p w:rsidR="00CF03FA" w:rsidRDefault="00CF03FA" w:rsidP="00CF03FA">
      <w:pPr>
        <w:pStyle w:val="TextoNormal"/>
      </w:pPr>
      <w:r>
        <w:t xml:space="preserve">Voté en contra del ATC 355/2007, por las razones que expuse en el correspondiente Voto particular y, a la luz de tal precedente, no se me alcanzan los riesgos o intereses ecológicos </w:t>
      </w:r>
      <w:r>
        <w:lastRenderedPageBreak/>
        <w:t>que, en este caso, hayan llevado a la mayoría a una solución contraria a la adoptada entonces. Claro es que el ATC 355/2007 no entendió procedente efectuar consideraciones desde la perspectiva de la doctrina del “fumus boni iuris”, a diferencia de lo que, ahora, se hace en los FFJJ 7 y 8 del Auto aprobado, rozando con riesgo el fondo de la cuestión.</w:t>
      </w:r>
    </w:p>
    <w:p w:rsidR="00CF03FA" w:rsidRDefault="00CF03FA" w:rsidP="00CF03FA">
      <w:pPr>
        <w:pStyle w:val="TextoNormal"/>
      </w:pPr>
      <w:r>
        <w:t>4. Creo que la protección del medio ambiente puede hacerse desde un derecho reactivo, que haga frente a los daños que ya se han producido (“quien contamina paga”), pasando por un derecho que haga frente a riesgos conocidos antes de que se produzcan (“prevención”), hasta llegar a un derecho que prevea y evite amenazas de daños desconocidos o inciertos (“precaución). El principio de precaución, como mínimo, implica que no haga falta demostrar la certeza del daño medioambiental como condición previa para tomar medidas cautelares de protección (STJCE Armand Mondiet). Más aún, el principio de precaución puede implicar en algunos casos una inversión de la carga de la prueba —que en este caso era innecesaria, dada la situación procesal inicial de suspensión— para hacerla recaer en quien pretende demostrar que su actividad resulta segura.</w:t>
      </w:r>
    </w:p>
    <w:p w:rsidR="00CF03FA" w:rsidRDefault="00CF03FA" w:rsidP="00CF03FA">
      <w:pPr>
        <w:pStyle w:val="TextoNormal"/>
      </w:pPr>
      <w:r>
        <w:t>En la ponderación que efectúa el Auto aprobado se razona, entre otros, sobre el derecho fundamental de propiedad que garantiza el art. 33 CE. Ese derecho no confiere a sus titulares simples intereses privados (sic en FFJJ 3 y 8) sino potestades dominicales constitucionalmente protegidas. En la medida en que los razonamientos del Auto sólo son válidos —a mi entender— a efectos de esta pieza de suspensión, y que durante el periodo de suspensión cautelar de la norma impugnada puede darse lugar a indemnización en caso de que no medie autorización previa del titular o de la autoridad judicial de cualquier eventual sacrificio de derechos dominicales que los titulares de terrenos forestales no estén obligados a soportar, he votado a favor de la decisión de la mayoría, aunque creo obligado dejar constancia en este Voto particular de mi posición personal en el caso.</w:t>
      </w:r>
    </w:p>
    <w:p w:rsidR="00CF03FA" w:rsidRDefault="00CF03FA" w:rsidP="00CF03FA">
      <w:pPr>
        <w:pStyle w:val="TextoNormal"/>
      </w:pPr>
      <w:r>
        <w:t>Madrid, a dos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0" w:name="AUTO_2008_89"/>
      <w:r>
        <w:lastRenderedPageBreak/>
        <w:t>AUTO 89/2008, de 14 de abril de 2008</w:t>
      </w:r>
    </w:p>
    <w:bookmarkEnd w:id="150"/>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ECLI:ES:TC:2008:89A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4167-2003, en procedimiento de habeas corpus.</w:t>
      </w:r>
    </w:p>
    <w:p w:rsidR="00CF03FA" w:rsidRDefault="00CF03FA" w:rsidP="00CF03FA">
      <w:pPr>
        <w:pStyle w:val="SntesisDescriptiva"/>
      </w:pPr>
    </w:p>
    <w:p w:rsidR="00CF03FA" w:rsidRDefault="00CF03FA" w:rsidP="00CF03FA">
      <w:pPr>
        <w:pStyle w:val="SntesisAnaltica"/>
      </w:pPr>
      <w:r>
        <w:t>Habeas corpus: procedimiento. Recurso de amparo: apreciación de oficio de los requisitos procesales. Votos particulares: formulado uno.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24 de junio de 2003 el Abogado don Luis Miguel Pérez Espadas formuló recurso de amparo en interés de don Yelli Camara contra el Auto del Juzgado de Instrucción núm. 1 de Puerto del Rosario de 12 de junio anterior, por el que se denegó la incoación de un procedimiento de habeas corpus. Solicitó que se le tuviera por parte en representación del Sr. Camara, entendiéndose con él las sucesivas diligencias hasta que, dado que el citado Sr. Camara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 de marzo de 2005 la designación, con carácter provisional, de la colegiada doña María del Rosario Castro Rodrigo.</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21 de abril de 2005, que ingresó en este Tribunal el día 28 siguiente, el Ilustre Colegio de Abogados de Madrid comunicó que había procedido al archivo de la solicitud de asistencia jurídica gratuita de don Yelli Camara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Camara suponía, de acuerdo con el art. 18 LAJG, que quedara sin efecto la designación provisional efectuada en su día de la Procuradora doña María del </w:t>
      </w:r>
      <w:r>
        <w:lastRenderedPageBreak/>
        <w:t>Rosario Castro Rodrigo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1 de Puerto del Rosario de 12 de junio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w:t>
      </w:r>
      <w:r>
        <w:lastRenderedPageBreak/>
        <w:t>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4167-2003.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Yelli Camara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Camara,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Camara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Camara.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Yelli Camara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1" w:name="AUTO_2008_90"/>
      <w:r>
        <w:lastRenderedPageBreak/>
        <w:t>AUTO 90/2008, de 14 de abril de 2008</w:t>
      </w:r>
    </w:p>
    <w:bookmarkEnd w:id="151"/>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ECLI:ES:TC:2008:90A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Desestima el incidente de ejecución de la Sentencia 42/2006, de 13 de febrero, en el recurso de amparo 5062-2003, promovido por doña Francisca Delgado Morales en pleito por negligencia médica.</w:t>
      </w:r>
    </w:p>
    <w:p w:rsidR="00CF03FA" w:rsidRDefault="00CF03FA" w:rsidP="00CF03FA">
      <w:pPr>
        <w:pStyle w:val="SntesisDescriptiva"/>
      </w:pPr>
    </w:p>
    <w:p w:rsidR="00CF03FA" w:rsidRDefault="00CF03FA" w:rsidP="00CF03FA">
      <w:pPr>
        <w:pStyle w:val="SntesisAnaltica"/>
      </w:pPr>
      <w:r>
        <w:t>Ejecución de sentencias del Tribunal Constitucional: ejecución judicial de sentencia constitucional, respetado. Derecho a la tutela judicial efectiva: intangibilidad de las sentencias, respetado. Votos particulares: formulado uno.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el 12 de julio de 2007, el Procurador don Eduardo Muñoz Barona, actuando en nombre y representación de doña Rosa Francisca Delgado Morales, promovió incidente de ejecución de la STC 42/2006, de fecha 13 de febrero, dictada por la Sala Segunda de este Tribunal en el recurso de amparo núm. 5062-2003.</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El incidente de ejecución se enmarca en los siguientes hechos: </w:t>
      </w:r>
    </w:p>
    <w:p w:rsidR="00CF03FA" w:rsidRDefault="00CF03FA" w:rsidP="00CF03FA">
      <w:pPr>
        <w:pStyle w:val="TextoNormal"/>
      </w:pPr>
      <w:r>
        <w:t xml:space="preserve">a) El 30 de enero de 2003, la Sala Primera del Tribunal Supremo dictó Sentencia núm. 58/2003 estimatoria del recurso de casación núm. 1818-1997, en cuya dispositiva podía leerse: “Que debemos declarar y declaramos haber lugar al recurso de casación formulado por el Procurador don Juan Ignacio Ávila del Hierro, en nombre y representación de don Mohamed Bassen Newlati, contra la Sentencia dictada en grado de apelación por la Sección Segunda de la Audiencia Provincial de Sevilla, en fecha 18 de enero de 1997, que casamos y anulamos y, en su lugar, condenamos al demandado en la instancia, el indicado recurrente en casación, a indemnizar a doña Rosa Francisca Delgado Morales en la cantidad de 45.000 euros, con los intereses legales incrementados en dos puntos desde la fecha de esta Sentencia”. </w:t>
      </w:r>
    </w:p>
    <w:p w:rsidR="00CF03FA" w:rsidRDefault="00CF03FA" w:rsidP="00CF03FA">
      <w:pPr>
        <w:pStyle w:val="TextoNormal"/>
      </w:pPr>
      <w:r>
        <w:t xml:space="preserve">b) Contra dicha Sentencia de casación, la promovente del incidente de ejecución interpuso recurso de amparo núm. 5062-2003 el cual, una vez sustanciado, finalizó por Sentencia de la Sala Segunda de este Tribunal núm. 42/2006, de fecha 13 de febrero, por la que se otorgó el amparo solicitado declarándose vulnerado el derecho a la tutela judicial efectiva de la demandante en su concreta vertiente de derecho a la motivación de las resoluciones judiciales (art. 24.1 CE), disponiéndose en el apartado segundo de su fallo y como medidas para su reparación, lo que sigue: “Restablecerla en el citado derecho y, a tal fin, declarar la </w:t>
      </w:r>
      <w:r>
        <w:lastRenderedPageBreak/>
        <w:t xml:space="preserve">nulidad de las resoluciones impugnadas, retrotrayendo las actuaciones del recurso de casación núm. 1818-1997 al momento procesal anterior al dictado de la primera de ellas, para que, en su lugar, se dicte la que sea procedente, con respeto del contenido del derecho fundamental vulnerado”. </w:t>
      </w:r>
    </w:p>
    <w:p w:rsidR="00CF03FA" w:rsidRDefault="00CF03FA" w:rsidP="00CF03FA">
      <w:pPr>
        <w:pStyle w:val="TextoNormal"/>
      </w:pPr>
      <w:r>
        <w:t xml:space="preserve">c) Como consecuencia de lo acordado, con fecha 16 de mayo de 2007 la Sala Primera del Tribunal Supremo dictó nueva Sentencia núm. 569/2007 en el antedicho recurso de casación núm. 1818-1997. En lo que aquí importa, procede destacar que a efectos de delimitar los términos de su rectificación, la Sala aclara que mantiene los fundamentos de derecho primero a tercero de su anterior Sentencia, no afectados por la STC 42/2006, limitándose a modificar, de un lado el dundamento de derecho cuarto en el que resolvió sobre el quantum indemnizatorio y de otro lado el fundamento quinto, donde había fijado la condena a intereses procesales desde la fecha de su Sentencia. </w:t>
      </w:r>
    </w:p>
    <w:p w:rsidR="00CF03FA" w:rsidRDefault="00CF03FA" w:rsidP="00CF03FA">
      <w:pPr>
        <w:pStyle w:val="TextoNormal"/>
      </w:pPr>
      <w:r>
        <w:t xml:space="preserve">Así acotada su decisión, en orden al cumplimiento de nuestra STC 42/2006, la Sala Primera expresa entonces que la falta de motivación padecida en su anterior Sentencia de 30 de enero de 2003, no constituye ya realmente la cuestión a afrontar sino que “el verdadero problema ha surgido desde la Sentencia objeto de casación, de la Audiencia Provincial, Sección Segunda, de Sevilla, de 18 de enero de 1997”, que respecto de estos dos puntos litigiosos no ha motivado lo debido, por lo que, añade, “es clara la falta de motivación” de esta última. </w:t>
      </w:r>
    </w:p>
    <w:p w:rsidR="00CF03FA" w:rsidRDefault="00CF03FA" w:rsidP="00CF03FA">
      <w:pPr>
        <w:pStyle w:val="TextoNormal"/>
      </w:pPr>
      <w:r>
        <w:t xml:space="preserve">A fin de repararlo, acuerda estimar el motivo quinto del recurso de casación interpuesto en los términos siguientes: “ciertamente, no se ha declarado probado, en ninguna de las Sentencias de instancia, cuál es el daño, si hay secuelas y cuáles sean, cómo se manifiestan tras el parto y en qué sentido pueden evolucionar. Por tanto, no procede entrar en el contenido de la responsabilidad sino que deben devolverse los autos a la Audiencia Provincial de Sevilla para que fundamenten adecuadamente la indemnización y, como consecuencia, los intereses, cosa que omitió en su sentencia casada, por lo que se retrotraerán las actuaciones a la vista previa a la sentencia”. </w:t>
      </w:r>
    </w:p>
    <w:p w:rsidR="00CF03FA" w:rsidRDefault="00CF03FA" w:rsidP="00CF03FA">
      <w:pPr>
        <w:pStyle w:val="TextoNormal"/>
      </w:pPr>
      <w:r>
        <w:t xml:space="preserve">Con el fin de que este último órgano judicial pueda cumplir su cometido con plenitud de jurisdicción, añade la Sala ad quem que el mismo ha de disponer de “libertad de criterios” sobre el tipo de daños a cuantificar (si los personales de la hija de la actora o los morales de esta última), tanto en cuanto a los producidos en el parto como de sus secuelas, debiendo concretar la Audiencia Provincial el grado de disminución física de la víctima, todo ello a partir de las pruebas ya obrantes en autos o incluso de las que ex novo pueda ahora acordar dicha Audiencia por vía de diligencias finales ex art. 435 LEC, cuyo empleo a estas alturas, añade el Tribunal Supremo, no le estará prohibido ya que “prevalece el derecho a la tutela judicial efectiva del artículo 24 de la Constitución Española frente a una imprevisión de la Ley”. Otro tanto indica para los intereses procesales, cuyo dies a quo habrá de razonar la Audiencia Provincial “con libertad de criterio”. </w:t>
      </w:r>
    </w:p>
    <w:p w:rsidR="00CF03FA" w:rsidRDefault="00CF03FA" w:rsidP="00CF03FA">
      <w:pPr>
        <w:pStyle w:val="TextoNormal"/>
      </w:pPr>
      <w:r>
        <w:t>El fallo de la Sentencia núm. 569/2007, estimatorio en definitiva y por segunda vez del recurso de casación interpuesto, acuerda en su apartado segundo: “Cuya sentencia casamos y anulamos en el único sentido de que, devolviendo las actuaciones a la Audiencia Provincial, Sección Segunda de Sevilla se retrotraigan las mismas a la última resolución anterior a la vista, previa a la Sentencia, sin perjuicio de la práctica de diligencias finales, y resolverá sobre la indemnización y los intereses legales, según los criterios expuestos en el último de los fundamentos anteriores”.</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3</w:t>
      </w:r>
      <w:r>
        <w:t xml:space="preserve">. La recurrente en amparo formaliza escrito en solicitud de que este Tribunal ordene la ejecución correcta de la Sentencia 42/2006 de 13 de febrero, toda vez que, sostiene, la Sentencia de la Sala Primera del Tribunal Supremo dictada el 16 de mayo de 2007 no cumple con restablecerla en el derecho fundamental vulnerado, en los términos que exigía este Tribunal. Recuerda para ello la promovente el tenor de la primera Sentencia casacional, en la que la Sala Primera, si bien acordaba indebidamente una reducción del importe indemnizatorio a cuyo favor había condenado la Sentencia de segunda instancia, no ponía en entredicho la existencia de daño resarcible ni su naturaleza (daño moral), ni que el mismo deviniera evaluable económicamente. Que por eso mismo la Sentencia de este Tribunal Constitucional otorgando el amparo tampoco cuestionó esos extremos, centrándose en declarar que la Sentencia recurrida en amparo adolecía de falta de motivación respecto de la reducción del quantum indemnizatorio y la fijación de los intereses procesales, motivación que es la que debe proporcionarse en la nueva Sentencia sin afectar a otros aspectos de la decisión. </w:t>
      </w:r>
    </w:p>
    <w:p w:rsidR="00CF03FA" w:rsidRDefault="00CF03FA" w:rsidP="00CF03FA">
      <w:pPr>
        <w:pStyle w:val="TextoNormal"/>
      </w:pPr>
      <w:r>
        <w:t xml:space="preserve">De este modo, sostiene la promovente que la Sentencia de la Sala Primera del Tribunal Supremo de 16 de mayo de 2007, incumpliendo los límites de nuestra STC 42/2006, procede a “reinventar una nueva decisión jurisdiccional que nada tiene que ver con la parcialmente censurada, consiguiendo con ello eludir el reconocimiento del propio error, y evitando ofrecer la motivación que le ha sido requerida”. De un lado, porque en su fundamento de derecho cuarto niega que se haya probado la existencia del daño y sus secuelas, ordenando la devolución de los autos a la Audiencia Provincial de Sevilla para que resuelva y fundamente sobre esa indemnización, así como sobre la solicitud de intereses procesales; y de otro lado porque al acordarlo así dicha Sentencia entra en contradicción consigo misma, al haber confirmado los restantes pronunciamientos de la ya dictada el 30 de enero de 2003, en los cuales precisamente se aceptaba la realidad del daño declarada por la Sentencia de apelación. </w:t>
      </w:r>
    </w:p>
    <w:p w:rsidR="00CF03FA" w:rsidRDefault="00CF03FA" w:rsidP="00CF03FA">
      <w:pPr>
        <w:pStyle w:val="TextoNormal"/>
      </w:pPr>
      <w:r>
        <w:t>En realidad, según la promovente, lo que ocurre es que la Sala Casacional se ha dado cuenta de que no puede motivar sobre el quantum indemnizatorio porque ella misma había reconocido tratarse de una facultad propia del Tribunal de instancia, pero para no reconocer su error en la anterior Sentencia de 30 de enero de 2003 (donde entró a resolver sobre ello, reduciendo ese importe a la mitad), opta por estimar el motivo quinto del recurso de casación por razones distintas a las de la primera Sentencia, en la que nada había apreciado acerca de defectos de motivación de la Sentencia dictada por la Audiencia Provincial. Lo mismo cabe decir, añade la promovente, en cuanto la orden de retroacción para que la Audiencia Provincial motive sobre los intereses procesales. Finalmente, la recurrente en amparo que promueve el incidente solicita a este Tribunal la nulidad de la Sentencia núm. 569/2007 de la Sala Primera del Tribunal Supremo, a fin de dar cumplimiento a lo acordado en nuestra Sentencia de amparo.</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14 de enero de 2008, la Sala Segunda de este Tribunal admitió el escrito presentado y, antes de resolver sobre el mismo, acordó abrir trámite de audiencia por plazo común de veinte días al Ministerio Fiscal y a la Sala de lo Civil del Tribunal Supremo, con arreglo a lo dispuesto en el art. 92 párrafo segundo LOTC. El mismo plazo se concedió a las partes personadas en el recurso de amparo núm. 5062-2003, con excepción de la promovente de la ejecución, para poder formular alegaciones.</w:t>
      </w:r>
    </w:p>
    <w:p w:rsidR="00CF03FA" w:rsidRDefault="00CF03FA" w:rsidP="00CF03FA">
      <w:pPr>
        <w:pStyle w:val="TextoNormal"/>
      </w:pPr>
    </w:p>
    <w:p w:rsidR="00CF03FA" w:rsidRDefault="00CF03FA" w:rsidP="00CF03FA">
      <w:pPr>
        <w:pStyle w:val="TextoNormal"/>
      </w:pPr>
      <w:r w:rsidRPr="00CF03FA">
        <w:rPr>
          <w:rStyle w:val="NumeroAFNegritaCaracter"/>
        </w:rPr>
        <w:t>5</w:t>
      </w:r>
      <w:r>
        <w:t xml:space="preserve">. El Ministerio Fiscal, en escrito registrado en este Tribunal el 28 de febrero de 2008, emitió su parecer en el sentido de que la STS 569/2007 dictada por la Sala Primera, no ha </w:t>
      </w:r>
      <w:r>
        <w:lastRenderedPageBreak/>
        <w:t xml:space="preserve">producido una alteración sustancial de lo acordado en nuestra STC 42/2006, de 13 de febrero y que por ello no se ha vulnerado el art. 92 LOTC. Para fundar su criterio, recuerda que el amparo otorgado lo fue por falta de motivación de la primera Sentencia de casación dictada, en el punto relativo a la modificación del quantum indemnizatorio y en el cómputo de los intereses procesales, como así se contiene en el FJ 9 de nuestra STC 42/2006. Cotejando este pronunciamiento con lo que luego viene a resolver la Sala Primera en la Sentencia de 16 de mayo de 2007, admite el Ministerio público la procedencia de que se haya instado el presente incidente de ejecución, primero porque “no nos encontramos ante una nueva pretensión que justificaría un nuevo proceso de amparo” y segundo porque, como resultado de aquel contraste, el caso aquí planteado se manifiesta “complejo y ciertamente fronterizo a la hora de evaluar las consecuencias de la nueva decisión”. </w:t>
      </w:r>
    </w:p>
    <w:p w:rsidR="00CF03FA" w:rsidRDefault="00CF03FA" w:rsidP="00CF03FA">
      <w:pPr>
        <w:pStyle w:val="TextoNormal"/>
      </w:pPr>
      <w:r>
        <w:t xml:space="preserve">Entiende el Fiscal que, estrictamente, es cierto que la segunda Sentencia casacional no cumple con lo ordenado por nuestra STC 42/2006, pues el mandato era para que la Sala Primera del Tribunal Supremo motivase lo relativo al montante indemnizatorio y los intereses y no es eso lo que al respecto se lleva a cabo, sino que se reenvía el asunto a la Audiencia Provincial para que juzgue sobre ello. Es más, considera el Ministerio Fiscal que “no es posible” que en una primera Sentencia el Alto Tribunal entre a estatuir sobre el importe de la indemnización “modificando el de instancia y reduciéndolo a la mitad” y ahora en la segunda Sentencia diga que no puede motivarlo por carecer de los elementos necesarios para ello, siendo que, además, la STC 42/2006 no cuestionaba los elementos de la indemnización, que ahora quedarían abiertos a su fijación por la Audiencia Provincial al igual que los intereses procesales. </w:t>
      </w:r>
    </w:p>
    <w:p w:rsidR="00CF03FA" w:rsidRDefault="00CF03FA" w:rsidP="00CF03FA">
      <w:pPr>
        <w:pStyle w:val="TextoNormal"/>
      </w:pPr>
      <w:r>
        <w:t>“Pese a la fortaleza de todo lo anteriormente expuesto” continúa afirmando el Ministerio Fiscal, la nueva Sentencia de casación “no ha vulnerado el art. 92 LOTC y ha respetado el contenido de la precedente sentencia de amparo”. Lo que ocurre, matiza, es que la Sala Primera del Tribunal Supremo al ir a ejecutar nuestra STC 42/2006, se ha dado cuenta de que carece de los elementos necesarios para cuantificar la indemnización, habida cuenta de que ello no constaban en la Sentencia de instancia “y en puro respeto al estrecho margen de la casación decidió devolver los autos a la instancia de apelación a efectos de que fuera en ella donde se fijasen esos extremos”. Debatir si esta solución es o no la más correcta, dice el Fiscal, atañe a la propia función y límite de la casación y del recurso de amparo, en relación con la exigencia del derecho fundamental a la tutela judicial efectiva (art. 24.1 CE), siendo que a su juicio la decisión adoptada por la Sala Primera del Tribunal Supremo y que aquí se impugna, “no supone una radical confrontación con lo decidido en su día por la Sala Segunda del Tribunal Constitucional”. Más bien al contrario, remata, si precisamente faltan las bases para fijar dicha indemnización cualquier intento de motivar la reducción inicialmente acordada, conllevaría “un riesgo cierto de una nueva notificación insuficientemente argumentada”. Lo mismo ha de decirse respecto del cálculo de los intereses procesales, deferido igualmente a la Audiencia Provincial.</w:t>
      </w:r>
    </w:p>
    <w:p w:rsidR="00CF03FA" w:rsidRDefault="00CF03FA" w:rsidP="00CF03FA">
      <w:pPr>
        <w:pStyle w:val="TextoNormal"/>
      </w:pPr>
    </w:p>
    <w:p w:rsidR="00CF03FA" w:rsidRDefault="00CF03FA" w:rsidP="00CF03FA">
      <w:pPr>
        <w:pStyle w:val="TextoNormal"/>
      </w:pPr>
      <w:r w:rsidRPr="00CF03FA">
        <w:rPr>
          <w:rStyle w:val="NumeroAFNegritaCaracter"/>
        </w:rPr>
        <w:t>6</w:t>
      </w:r>
      <w:r>
        <w:t>. Finalmente, se recibió procedente de la Presidencia de la Sala de lo Civil del Tribunal Supremo, escrito registrado el 10 de marzo de 2008 por el que, tras hacerse síntesis de los hechos procesales, se condensa lo resuelto por la nueva Sentencia dictada por ella el 16 de mayo de 2007, concluyéndose que “se ha procedido por esta Sala a dar el debido cumplimiento a la sentencia de ese Tribunal que concedía el amparo solicitado por doña Rosa Francisca Delgado Morales”.</w:t>
      </w:r>
    </w:p>
    <w:p w:rsidR="00CF03FA" w:rsidRDefault="00CF03FA" w:rsidP="00CF03FA">
      <w:pPr>
        <w:pStyle w:val="TextoNormal"/>
      </w:pPr>
    </w:p>
    <w:p w:rsidR="00CF03FA" w:rsidRDefault="00CF03FA" w:rsidP="00CF03FA">
      <w:pPr>
        <w:pStyle w:val="TextoNormalNegritaCentrado"/>
        <w:keepNext/>
      </w:pPr>
      <w:r>
        <w:lastRenderedPageBreak/>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presente procedimiento incidental, abierto ex art. 92 LOTC a solicitud de la demandante en el recurso de amparo núm. 5062-2003, se contrae a determinar si la Sala Primera del Tribunal Supremo al dictar la Sentencia núm. 569/2007, de 16 de mayo, ha dado correcto cumplimiento o no a lo acordado en nuestra STC 42/2006, de 13 de febrero, en la que, con otorgamiento del amparo impetrado, anulamos la Sentencia de aquella Sala núm. 58/2003, de 30 de enero, recaída en el recurso de casación núm.  1818-1997, ordenando, para la restitución del derecho a la tutela judicial efectiva vulnerado de la recurrente en amparo por falta de motivación, que se dictara otra Sentencia donde se explicitara expresamente el criterio que había servido a la Sala de Casación para reducir a la mitad el importe indemnizatorio al que había condenado la Sentencia de segunda instancia, así como para que motivara el por qué del dies a quo elegido para el cómputo de los intereses procesales, reconocidos a la misma parte actora y luego recurrente en amparo.</w:t>
      </w:r>
    </w:p>
    <w:p w:rsidR="00CF03FA" w:rsidRDefault="00CF03FA" w:rsidP="00CF03FA">
      <w:pPr>
        <w:pStyle w:val="TextoNormal"/>
      </w:pPr>
      <w:r>
        <w:t>Al promover el presente incidente de ejecución la parte entiende que la citada STS 569/2007 incumple con el mandato contenido en la Sentencia de amparo por cuanto, aparte de reenviar el asunto a la Audiencia Provincial de origen, ha reinventado el contenido y alcance de la decisión de fondo al negar la realidad del daño indemnizable, contradiciendo así lo declarado en otros fundamentos de derecho de la Sentencia de 30 de enero de 2003, de la misma Sala, que no habían quedado afectados por la STC 42/2006.</w:t>
      </w:r>
    </w:p>
    <w:p w:rsidR="00CF03FA" w:rsidRDefault="00CF03FA" w:rsidP="00CF03FA">
      <w:pPr>
        <w:pStyle w:val="TextoNormal"/>
      </w:pPr>
      <w:r>
        <w:t>El Ministerio Fiscal parte de la evidencia de que no existe concordancia entre lo ordenado por nuestra STC 42/2006, de 13 de febrero y lo que luego plasma en su ejecución la Sentencia casacional núm. 569/2007. Ello lo achaca a la percepción sobrevenida a que llega la Sala Primera, de que realmente carece de los elementos de juicio necesarios para poder pronunciarse sobre las bases para la fijación del importe indemnizatorio, precisamente porque las mismas no se expresan en la Sentencia de apelación.  Desde esa perspectiva y en cuanto entiende que lo acordado por el Tribunal Supremo entra en los límites propios de su jurisdicción como órgano de casación, concluye el Ministerio público negando que dicha Sentencia comporte una “alteración sustancial” de nuestra STC 42/2006, de 13 de febrero, ni vulnere el art. 92 LOTC.</w:t>
      </w:r>
    </w:p>
    <w:p w:rsidR="00CF03FA" w:rsidRDefault="00CF03FA" w:rsidP="00CF03FA">
      <w:pPr>
        <w:pStyle w:val="TextoNormal"/>
      </w:pPr>
      <w:r>
        <w:t>Finalmente, en este recordatorio de alegaciones conviene mencionar que la Presidencia de la Sala autora de la Sentencia que aquí se cuestiona, sin abordar posibles justificaciones del contenido de su decisión, se limita a manifestar en el escrito remitido a este Tribunal, tras pasar revista sucinta a los avatares procesales del caso, que con dicha Sentencia de fecha 16 de mayo de 2007 se ha procedido “a dar el debido cumplimiento” a nuestra STC 42/2006, de 13 de febrero.</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Este Tribunal Constitucional ha proclamado que el derecho a la ejecución de las Sentencias firmes en sus propios términos y el respeto a esa firmeza y a la intangibilidad de las situaciones jurídicas en ellas declaradas, se predica no sólo de las resoluciones dictadas por los órganos judiciales, sino también de las propias Sentencias de este Tribunal Constitucional. Dicha garantía deriva en este ámbito no sólo de la virtualidad del derecho fundamental a la tutela judicial efectiva (art. 24.1 CE), del que no puede obviamente quedar excluida nuestra propia Jurisdicción, sino además por lo dispuesto al efecto en el art. 87.1 LOTC (así, en cuanto a Sentencias dictadas en recursos de amparo como es aquí el caso, SSTC 159/1987, de 26 de octubre, FJ 2; y 153/2004, de 20 de septiembre, FFJJ 1 y 3; AATC 151/2001, de 13 de junio, FJ 7; 459/2007, de 17 de diciembre, FJ 2). La vinculación de los </w:t>
      </w:r>
      <w:r>
        <w:lastRenderedPageBreak/>
        <w:t>Poderes públicos a nuestras Sentencias se extiende así tanto al fallo como a la Fundamentación jurídica de éstas (SSTC 158/2004, de 21 de septiembre, FJ 4; 302/2005, de 21 de noviembre, FJ 6; ATC 273/2006, de 17 de julio, FJ 4).</w:t>
      </w:r>
    </w:p>
    <w:p w:rsidR="00CF03FA" w:rsidRDefault="00CF03FA" w:rsidP="00CF03FA">
      <w:pPr>
        <w:pStyle w:val="TextoNormal"/>
      </w:pPr>
      <w:r>
        <w:t>Consecuentemente y tratándose de recursos de amparo, la inejecución por los tribunales ordinarios de nuestras Sentencias acarrea no sólo la vulneración de la garantía a la ejecución e intangibilidad de nuestras decisiones, sino también la del derecho fundamental cuyo reconocimiento y restitución habían sido acordados por este Tribunal en el fallo correspondiente (AATC 79/2002, de 20 de mayo, FJ 4; 273/2006, de 17 de julio, FJ 4).</w:t>
      </w:r>
    </w:p>
    <w:p w:rsidR="00CF03FA" w:rsidRDefault="00CF03FA" w:rsidP="00CF03FA">
      <w:pPr>
        <w:pStyle w:val="TextoNormal"/>
      </w:pPr>
      <w:r>
        <w:t>En orden al cumplimiento del mencionado derecho a la ejecución e intangibilidad de nuestras decisiones por los tribunales de justicia, hemos señalado que “en algunas ocasiones el cumplimiento por el órgano judicial de una Sentencia de este Tribunal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(STC 302/2005, de 21 de noviembre, FJ 6; en similares términos SSTC 159/1987, de 26 de octubre, FJ 3; 227/2001, de 26 de noviembre, FJ 6; 153/2004, de 20 de septiembre, FJ 3; AATC 134/1992, de 25 de mayo, FJ 2; 273/2006, de 17 de julio, FJ 4).</w:t>
      </w:r>
    </w:p>
    <w:p w:rsidR="00CF03FA" w:rsidRDefault="00CF03FA" w:rsidP="00CF03FA">
      <w:pPr>
        <w:pStyle w:val="TextoNormal"/>
      </w:pPr>
      <w:r>
        <w:t>Lo que ha de examinarse al cotejar el contenido de nuestra Sentencia con la resolución jurisdiccional dictada en su ejecución no es tanto, ni necesariamente, la estricta correspondencia literal de los términos entre ambas, sino sobre todo que la resolución judicial posterior no incurra en alguna de estas dos situaciones proscritas por nuestra jurisprudencia (pronunciamiento contrario a nuestra decisión o intento de menoscabar la eficacia —jurídica o material— de lo que hemos resuelto y mandado). De este modo se puede aceptar el empleo de vías alternativas de ejecución respecto de la inicialmente prevista en nuestra Sentencia, si se hallan en juego los derechos de terceros de buena fe que quedarían de otro modo perjudicados, pero siempre, eso sí, que a través de tal vía alternativa quede eficazmente restablecido el derecho garantizado por este Tribunal (ATC 151/2001, de 13 de junio, FJ 6).</w:t>
      </w:r>
    </w:p>
    <w:p w:rsidR="00CF03FA" w:rsidRDefault="00CF03FA" w:rsidP="00CF03FA">
      <w:pPr>
        <w:pStyle w:val="TextoNormal"/>
      </w:pPr>
    </w:p>
    <w:p w:rsidR="00CF03FA" w:rsidRDefault="00CF03FA" w:rsidP="00CF03FA">
      <w:pPr>
        <w:pStyle w:val="TextoNormal"/>
      </w:pPr>
      <w:r w:rsidRPr="00CF03FA">
        <w:rPr>
          <w:rStyle w:val="NumeroAFNegritaCaracter"/>
        </w:rPr>
        <w:t>3</w:t>
      </w:r>
      <w:r>
        <w:t>. En relación con el presente incidente de ejecución de nuestra STC 42/2006, de 13 de febrero, nos encontramos en principio con una decisión adoptada por la Sala Primera del Tribunal Supremo, la Sentencia núm. 569/2007, de 16 de mayo, que en ejercicio de sus potestades de jurisdicción casacional y como consecuencia de estimar el motivo quinto del recurso interpuesto, entiende que no ha de ser ella sino la Sección Juzgadora a quo la que subsane las carencias de motivación respecto de los dos puntos controvertidos que se han casado (la fijación del importe indemnizatorio y sus bases y el dies a quo para el cálculo de los intereses procesales).</w:t>
      </w:r>
    </w:p>
    <w:p w:rsidR="00CF03FA" w:rsidRDefault="00CF03FA" w:rsidP="00CF03FA">
      <w:pPr>
        <w:pStyle w:val="TextoNormal"/>
      </w:pPr>
      <w:r>
        <w:t xml:space="preserve">Pues bien, nada hay en este pronunciamiento que pueda interpretarse como un intento de contrariar o menoscabar la eficacia de nuestra STC 42/2006 y desde esa perspectiva, que es la que aquí nos toca ponderar, procede concluir que la nueva Sentencia de casación así dictada no incumple lo acordado por este Tribunal a favor de la recurrente en amparo. Asimismo su interpretación del ordenamiento procesal, en el sentido de declarar competente a la Audiencia Provincial y no a ella para satisfacer la motivación judicial exigible (casación con reenvío), sobre todo a la luz de las circunstancias concurrentes, tampoco puede tacharse de arbitraria, irrazonable o incursa en error fáctico patente, que sería el canon de nuestro control bajo el prisma del derecho a la tutela judicial efectiva (art. 24.1 CE), tratándose, </w:t>
      </w:r>
      <w:r>
        <w:lastRenderedPageBreak/>
        <w:t>como se trata, de una resolución casacional de fondo (SSTC 140/2004, de 13 de septiembre, FJ 5; 50/2007, de 12 de marzo, FJ 4; 246/2007, de 10 de diciembre, FJ 4). Dicho canon no queda alterado, desde luego, por la circunstancia de haberse emitido en cumplimiento de una Sentencia previa de amparo. Por consiguiente este incidente de ejecución debe ser desestimado.</w:t>
      </w:r>
    </w:p>
    <w:p w:rsidR="00CF03FA" w:rsidRDefault="00CF03FA" w:rsidP="00CF03FA">
      <w:pPr>
        <w:pStyle w:val="TextoNormal"/>
      </w:pPr>
    </w:p>
    <w:p w:rsidR="00CF03FA" w:rsidRDefault="00CF03FA" w:rsidP="00CF03FA">
      <w:pPr>
        <w:pStyle w:val="TextoNormal"/>
      </w:pPr>
      <w:r>
        <w:t>En virtud de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Desestimar el incidente de ejecución de la STC 42/2006, de 13 de febrero, recaída en el recurso de amparo núm. 5062-2003, en el sentido de entender que ésta no ha sido incumplida por la Sentencia de la Sala Primera del Tribunal Supremo, núm. 569/2007, de</w:t>
      </w:r>
    </w:p>
    <w:p w:rsidR="00CF03FA" w:rsidRDefault="00CF03FA" w:rsidP="00CF03FA">
      <w:pPr>
        <w:pStyle w:val="TextoNormal"/>
      </w:pPr>
      <w:r>
        <w:t>16 de mayo.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t>Voto particular que formulan los Magistrados don Ramón Rodríguez Arribas, doña Elisa Pérez Vera y don Eugeni Gay Montalvo respecto del Auto dictado, en fecha 14 de abril de 2008, en el recurso de amparo núm 5062-2003.</w:t>
      </w:r>
    </w:p>
    <w:p w:rsidR="00CF03FA" w:rsidRDefault="00CF03FA" w:rsidP="00CF03FA">
      <w:pPr>
        <w:pStyle w:val="TextoNormalNegritaCentrado"/>
        <w:keepNext/>
      </w:pPr>
    </w:p>
    <w:p w:rsidR="00CF03FA" w:rsidRDefault="00CF03FA" w:rsidP="00CF03FA">
      <w:pPr>
        <w:pStyle w:val="TextoNormal"/>
      </w:pPr>
      <w:r>
        <w:t>En el ejercicio de la facultad que nos confiere el art. 90.2 LOTC y con pleno respeto a la opinión de la mayoría, discrepo del referido Auto y entiendo que, contrariamente a lo resuelto, debieron adoptarse medidas para garantizar la ejecución “en sus propios términos” de la Sentencia dictada en el recurso de amparo del que dimana el presente incidente; todo ello por las siguientes razones:</w:t>
      </w:r>
    </w:p>
    <w:p w:rsidR="00CF03FA" w:rsidRDefault="00CF03FA" w:rsidP="00CF03FA">
      <w:pPr>
        <w:pStyle w:val="TextoNormal"/>
      </w:pPr>
      <w:r>
        <w:t>1. Como pone de manifiesto la parte demandante, la Sentencia de este Tribunal resolvió otorgarle amparo (STC 42/2006) por entender que se había vulnerado el derecho fundamental a la tutela judicial efectiva (art. 24.1 CE) en la Sentencia dictada en casación por la Sala Primera del Tribunal Supremo, “por no haber motivado debidamente las decisiones en ella contenidas”, decisiones que se referían al montante de la indemnización, que la Sala de Casación había rebajado a la mitad sobre la establecida en la Sentencia de la Audiencia Provincial, y también a la determinación de la fecha a partir de la cual había de producirse el devengo de los intereses.</w:t>
      </w:r>
    </w:p>
    <w:p w:rsidR="00CF03FA" w:rsidRDefault="00CF03FA" w:rsidP="00CF03FA">
      <w:pPr>
        <w:pStyle w:val="TextoNormal"/>
      </w:pPr>
      <w:r>
        <w:t>Por otra parte, también resolvimos “ declarar la nulidad de las resoluciones impugnadas, retrotrayendo las actuaciones del recurso de casación núm 1818-97, al momento procesal anterior al dictado de la primera de ellas, para que, en su lugar, se dicte la que sea procedente, con respeto del contenido del derecho fundamental vulnerado”; por consiguiente, lo que se anulaba era tanto la Sentencia de la Sala Primera del Tribunal Supremo como el Auto dictado por la misma desestimando el incidente de nulidad de actuaciones y en cuanto a la retroacción llegaba solo hasta el momento anterior al dictado de la referida Sentencia .</w:t>
      </w:r>
    </w:p>
    <w:p w:rsidR="00CF03FA" w:rsidRDefault="00CF03FA" w:rsidP="00CF03FA">
      <w:pPr>
        <w:pStyle w:val="TextoNormal"/>
      </w:pPr>
      <w:r>
        <w:t>De cuanto se lleva dicho —aunque resulte reiterativo pero necesario para el debido esclarecimiento— se desprende que lo que hacia la Sentencia de este Tribunal era anular la Sentencia de casación para que se dictara otra en la que se respetara el derecho fundamental vulnerado, motivando suficientemente la fijación de la cuantía de la indemnización y la fecha desde la que había de devengar intereses.</w:t>
      </w:r>
    </w:p>
    <w:p w:rsidR="00CF03FA" w:rsidRDefault="00CF03FA" w:rsidP="00CF03FA">
      <w:pPr>
        <w:pStyle w:val="TextoNormal"/>
      </w:pPr>
      <w:r>
        <w:lastRenderedPageBreak/>
        <w:t>2. Pues bien, la Sala Primera del Tribunal Supremo no ha dado estricto cumplimiento a lo acordado, sino que volviendo a examinar todos los motivos de casación y estimando uno de ellos, acaba atribuyendo la falta de motivación a la Sentencia de la Audiencia Provincial, que anula y a cuyo dictado retrotrae para que, a su vez, sea la Sala de Apelación la que resuelva sobre la indemnización y los intereses, según lo que el Tribunal Supremo establece en el último de los fundamentos de derecho de su nueva Sentencia , en el que consigna que “ciertamente no se ha declarado probado, en ninguna de las Sentencias de instancia, cual es el daño, si hay secuelas y cuales sean, como se manifiestan tras el parto y en que sentido pueden evolucionar”, con lo que deja abierta no solo la fijación de la cuantia de la indemnización sobre la que había de motivarse suficientemente, sino la existencia misma del daño y por lo tanto de la indemnización.</w:t>
      </w:r>
    </w:p>
    <w:p w:rsidR="00CF03FA" w:rsidRDefault="00CF03FA" w:rsidP="00CF03FA">
      <w:pPr>
        <w:pStyle w:val="TextoNormal"/>
      </w:pPr>
      <w:r>
        <w:t>Con esta fórmula resulta evidente que la demandante de amparo, después de obtener el mismo, corre el riesgo de perder integramente la indemnización cuya inmotivada rebaja dio lugar al fallo del Tribunal Constitucional, resultado absurdo, si llegara a producirse y cuya propia posibilidad revela que nuestra Sentencia podría no estar siendo cumplida en sus propios términos.</w:t>
      </w:r>
    </w:p>
    <w:p w:rsidR="00CF03FA" w:rsidRDefault="00CF03FA" w:rsidP="00CF03FA">
      <w:pPr>
        <w:pStyle w:val="TextoNormal"/>
      </w:pPr>
      <w:r>
        <w:t>3. Para evitar ese, tan posible como desviado resultado, hubiera sido mas prudente acordar por nuestra parte, aunque se desestimara el incidente o estimándolo parcialmente, que la Audiencia Provincial había de limitarse a mantener la situaciones materiales declaradas en su Sentencia de 18 de enero de 1997, que no quedaron afectadas ni por la Sentencia de casación de 30 de enero de 2003, ni por la de amparo, reduciéndose el nuevo fallo de apelación a la motivación externa de las bases e importes de la indemnización y de la fijación del dies a quo para el cálculo de los intereses.</w:t>
      </w:r>
    </w:p>
    <w:p w:rsidR="00CF03FA" w:rsidRDefault="00CF03FA" w:rsidP="00CF03FA">
      <w:pPr>
        <w:pStyle w:val="TextoNormal"/>
      </w:pPr>
      <w:r>
        <w:t>En tal sentido emitimos nuestro voto.</w:t>
      </w:r>
    </w:p>
    <w:p w:rsidR="00CF03FA" w:rsidRDefault="00CF03FA" w:rsidP="00CF03FA">
      <w:pPr>
        <w:pStyle w:val="TextoNormal"/>
      </w:pPr>
      <w:r>
        <w:t>En 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2" w:name="AUTO_2008_91"/>
      <w:r>
        <w:lastRenderedPageBreak/>
        <w:t>AUTO 91/2008, de 14 de abril de 2008</w:t>
      </w:r>
    </w:p>
    <w:bookmarkEnd w:id="152"/>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ECLI:ES:TC:2008:91A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5178-2003,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5 de agosto de 2003 el Abogado don Luis Miguel Pérez Espadas formuló recurso de amparo en interés de don Abulay Idrisso contra el Auto del Juzgado de Instrucción núm. 3 de Puerto del Rosario de 23 de julio anterior, por el que se denegó la incoación de un procedimiento de habeas corpus. Solicitó que se le tuviera por parte en representación del Sr. Idrisso, entendiéndose con él las sucesivas diligencias hasta que, dado que el citado Sr. Idrisso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del colegiado don Miguel Zamora Bausa.</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29 siguiente, el Ilustre Colegio de Abogados de Madrid comunicó que había procedido al archivo de la solicitud de asistencia jurídica gratuita de don Abulay Idrisso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Idrisso suponía, de acuerdo con el art. 18 LAJG, que quedara sin efecto la designación provisional efectuada en su día del Procurador don Miguel Zamora Bausa como representante procesal de aquél, entender las sucesivas diligencias del presente recurso de amparo con el Abogado don Luis Miguel Pérez Espadas, que lo había iniciado </w:t>
      </w:r>
      <w:r>
        <w:lastRenderedPageBreak/>
        <w:t>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23 de julio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del Procurador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5178-2003.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Abulay Idrisso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Idrisso,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Idrisso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Idrisso.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Abulay Idrisso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3" w:name="AUTO_2008_92"/>
      <w:r>
        <w:lastRenderedPageBreak/>
        <w:t>AUTO 92/2008, de 14 de abril de 2008</w:t>
      </w:r>
    </w:p>
    <w:bookmarkEnd w:id="153"/>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ECLI:ES:TC:2008:92A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5182-2003,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5 de agosto de 2003 el Abogado don Luis Miguel Pérez Espadas formuló recurso de amparo en interés de don Abderraman Meiga contra el Auto del Juzgado de Instrucción núm. 3 de Puerto del Rosario de 23 de julio anterior, por el que se denegó la incoación de un procedimiento de habeas corpus. Solicitó que se le tuviera por parte en representación del Sr. Meiga, entendiéndose con él las sucesivas diligencias hasta que, dado que el citado Sr. Meiga tenía derecho a asistencia jurídica gratuita en virtud del artículo 22.1 de la Ley Orgánica 4/2000,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María Francisca Uriarte Tejada.</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28 siguiente, el Ilustre Colegio de Abogados de Madrid comunicó que había procedido al archivo de la solicitud de asistencia jurídica gratuita de don Abderraman Meiga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Meiga suponía, de acuerdo con el art. 18 LAJG, que quedara sin efecto la designación provisional efectuada en su día de la Procuradora doña María Francisca Uriarte Tejada como representante procesal de aquél, entender las sucesivas diligencias del presente recurso de amparo con el Abogado don Luis Miguel Pérez Espadas, que lo </w:t>
      </w:r>
      <w:r>
        <w:lastRenderedPageBreak/>
        <w:t>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23 de julio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14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5182-2003.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Abderraman Meiga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Meiga,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Meiga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Meiga.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Abderraman Meiga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4" w:name="AUTO_2008_93"/>
      <w:r>
        <w:lastRenderedPageBreak/>
        <w:t>AUTO 93/2008, de 14 de abril de 2008</w:t>
      </w:r>
    </w:p>
    <w:bookmarkEnd w:id="154"/>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ECLI:ES:TC:2008:93A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5184-2003,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5 de agosto de 2003 el Abogado don Luis Miguel Pérez Espadas formuló recurso de amparo en interés de don Suma Kane contra el Auto del Juzgado de Instrucción núm. 3 de Puerto del Rosario de 23 de julio anterior, por el que se denegó la incoación de un procedimiento de habeas corpus. Solicitó que se le tuviera por parte en representación del Sr. Kane, entendiéndose con él las sucesivas diligencias hasta que, dado que el citado Sr. Kane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del colegiado don Eusebio Ruiz Esteban.</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29 siguiente, el Ilustre Colegio de Abogados de Madrid comunicó que había procedido al archivo de la solicitud de asistencia jurídica gratuita de don Suma Kane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Admitido a trámite el recurso de amparo, en providencia de esta Sala de 19 de diciembre de 2006 se acordó, a la vista de que el archivo de la solicitud de asistencia jurídica gratuita formulada por el Sr. Kane suponía, de acuerdo con el art. 18 LAJG, que quedara sin efecto la designación provisional efectuada en su día del Procurador don Eusebio Ruiz Esteban como representante procesal de aquél, entender las sucesivas diligencias del pre</w:t>
      </w:r>
      <w:r>
        <w:lastRenderedPageBreak/>
        <w:t>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23 de julio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w:t>
      </w:r>
      <w:r>
        <w:lastRenderedPageBreak/>
        <w:t>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le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5184-2003.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Suma Kane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Kane,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Kane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Kane.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Suma Kane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5" w:name="AUTO_2008_94"/>
      <w:r>
        <w:lastRenderedPageBreak/>
        <w:t>AUTO 94/2008, de 14 de abril de 2008</w:t>
      </w:r>
    </w:p>
    <w:bookmarkEnd w:id="155"/>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ECLI:ES:TC:2008:94A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5186-2003,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5 de agosto de 2003 el Abogado don Luis Miguel Pérez Espadas formuló recurso de amparo en interés de don Ibrahim Kone contra el Auto del Juzgado de Instrucción núm. 3 de Puerto del Rosario de 23 de julio anterior, por el que se denegó la incoación de un procedimiento de habeas corpus. Solicitó que se le tuviera por parte en representación del Sr. Kone, entendiéndose con él las sucesivas diligencias hasta que, dado que el citado Sr. Kone tenía derecho a asistencia jurídica gratuita en virtud del artículo 22.1 de la Ley Orgánica 4/2000,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María Jesús Fernández Salagre.</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28 siguiente, el Ilustre Colegio de Abogados de Madrid comunicó que había procedido al archivo de la solicitud de asistencia jurídica gratuita de don Ibrahim Kone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Kone suponía, de acuerdo con el art. 18 LAJG, que quedara sin efecto la designación provisional efectuada en su día de la Procuradora doña María Jesús Fernández Salagre como representante procesal de aquél, entender las sucesivas diligencias del presente recurso de amparo con el Abogado don Luis Miguel Pérez Espadas, que lo </w:t>
      </w:r>
      <w:r>
        <w:lastRenderedPageBreak/>
        <w:t>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23 de julio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5186-2003.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Ibrahim Kone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Kone,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Kone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Kone.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Ibrahim Kone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6" w:name="AUTO_2008_95"/>
      <w:r>
        <w:lastRenderedPageBreak/>
        <w:t>AUTO 95/2008, de 14 de abril de 2008</w:t>
      </w:r>
    </w:p>
    <w:bookmarkEnd w:id="156"/>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ECLI:ES:TC:2008:95A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5550-2003,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12 de septiembre de 2003 el Abogado don Luis Miguel Pérez Espadas formuló recurso de amparo en interés de don Alou Camara contra el Auto del Juzgado de Instrucción núm. 3 de Puerto del Rosario de 22 de agosto anterior, por el que se denegó la incoación de un procedimiento de habeas corpus. Solicitó que se le tuviera por parte en representación del Sr. Camara, entendiéndose con él las sucesivas diligencias hasta que, dado que el citado Sr. Camara tenía derecho a asistencia jurídica gratuita en virtud del artículo 22.1 de la Ley Orgánica 4/2000,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del colegiado don Norberto Pablo Jerez Fernández.</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28 siguiente, el Ilustre Colegio de Abogados de Madrid comunicó que había procedido al archivo de la solicitud de asistencia jurídica gratuita de don Alou Camara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Camara suponía, de acuerdo con el art. 18 LAJG, que quedara sin efecto la designación provisional efectuada en su día del Procurador don Norberto Pablo Jerez Fernández como representante procesal de aquél, entender las sucesivas diligencias del presente recurso de amparo con el Abogado don Luis Miguel Pérez Espadas, que lo </w:t>
      </w:r>
      <w:r>
        <w:lastRenderedPageBreak/>
        <w:t>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del Procurador de oficio, efectuada con carácter provisional, se ha producido el incumplimiento sobrevenido de esa exigencia legal, incumplimiento que la parte ha de subsanar, so pena de que, como se desprende del art. 11.3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5550-2003.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Alou Camara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Camara,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Camara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Camara.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Alou Camara,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7" w:name="AUTO_2008_96"/>
      <w:r>
        <w:lastRenderedPageBreak/>
        <w:t>AUTO 96/2008, de 14 de abril de 2008</w:t>
      </w:r>
    </w:p>
    <w:bookmarkEnd w:id="157"/>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ECLI:ES:TC:2008:96A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don Eugeni Gay Montalvo, doña Elisa Pérez Vera,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5570-2003,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17 de septiembre de 2003 el Abogado don Luis Miguel Pérez Espadas formuló recurso de amparo en interés de don Bala Keita contra el Auto del Juzgado de Instrucción núm. 3 de Puerto del Rosario de 22 de agosto anterior, por el que se denegó la incoación de un procedimiento de habeas corpus. Solicitó que se le tuviera por parte en representación del Sr. Keita, entendiéndose con él las sucesivas diligencias hasta que, dado que el citado Sr. Keita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María Isabel Torres Coello.</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4 de mayo siguiente, el Ilustre Colegio de Abogados de Madrid comunicó que había procedido al archivo de la solicitud de asistencia jurídica gratuita de don Bala Keita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Keita suponía, de acuerdo con el art. 18 LAJG, que quedara sin efecto la designación provisional efectuada en su día de la Procuradora doña María Isabel Torres Coello como representante procesal de aquél, entender las sucesivas diligencias </w:t>
      </w:r>
      <w:r>
        <w:lastRenderedPageBreak/>
        <w:t>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w:t>
      </w:r>
      <w:r>
        <w:lastRenderedPageBreak/>
        <w:t>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5570-2003.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Bala Keita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Keita,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Keita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Keita.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Bala Keita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8" w:name="AUTO_2008_97"/>
      <w:r>
        <w:lastRenderedPageBreak/>
        <w:t>AUTO 97/2008, de 14 de abril de 2008</w:t>
      </w:r>
    </w:p>
    <w:bookmarkEnd w:id="158"/>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ECLI:ES:TC:2008:97A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5572-2003,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12 de septiembre de 2003 el Abogado don Luis Miguel Pérez Espadas formuló recurso de amparo en interés de don Toure Modibo contra el Auto del Juzgado de Instrucción núm. 3 de Puerto del Rosario de 22 de agosto anterior, por el que se denegó la incoación de un procedimiento de habeas corpus. Solicitó que se le tuviera por parte en representación del Sr. Modibo, entendiéndose con él las sucesivas diligencias hasta que, dado que el citado Sr. Modibo tenía derecho a asistencia jurídica gratuita en virtud del artículo 22.1 de la Ley Orgánica 4/2000,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Adelaida Yolanda Girbal Marín.</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21 de abril de 2005, que ingresó en este Tribunal el día 29 siguiente, el Ilustre Colegio de Abogados de Madrid comunicó que había procedido al archivo de la solicitud de asistencia jurídica gratuita de don Toure Modibo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Modibo suponía, de acuerdo con el art. 18 LAJG, que quedara sin efecto la designación provisional efectuada en su día de la Procuradora doña Adelaida Yolanda Girbal Marín como representante procesal de aquél, entender las sucesivas diligencias del presente recurso de amparo con el Abogado don Luis Miguel Pérez Espadas, que lo </w:t>
      </w:r>
      <w:r>
        <w:lastRenderedPageBreak/>
        <w:t>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5572-2003.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Toure Modibo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Modibo,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Modibo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Modibo.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Toure Modibo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59" w:name="AUTO_2008_98"/>
      <w:r>
        <w:lastRenderedPageBreak/>
        <w:t>AUTO 98/2008, de 14 de abril de 2008</w:t>
      </w:r>
    </w:p>
    <w:bookmarkEnd w:id="159"/>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ECLI:ES:TC:2008:98A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5574-2003,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17 de septiembre de 2003 el Abogado don Luis Miguel Pérez Espadas formuló recurso de amparo en interés de don Coulibaly Bou contra el Auto del Juzgado de Instrucción núm. 3 de Puerto del Rosario de 22 de agosto anterior, por el que se denegó la incoación de un procedimiento de habeas corpus. Solicitó que se le tuviera por parte en representación del Sr. Bou, entendiéndose con él las sucesivas diligencias hasta que, dado que el citado Sr. Bou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Monserrat Gómez Hernández.</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29 siguiente, el Ilustre Colegio de Abogados de Madrid comunicó que había procedido al archivo de la solicitud de asistencia jurídica gratuita de don Coulibaly Bou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Bou suponía, de acuerdo con el art. 18 LAJG, que quedara sin efecto la designación provisional efectuada en su día de la Procuradora doña Monserrat Gómez Hernández como representante procesal de aquél, entender las sucesivas diligencias del presente recurso de amparo con el Abogado don Luis Miguel Pérez Espadas, que lo </w:t>
      </w:r>
      <w:r>
        <w:lastRenderedPageBreak/>
        <w:t>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le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5574-2003.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Coulibaly Bou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Bou,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Bou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Bou.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Coulibaly Bou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0" w:name="AUTO_2008_99"/>
      <w:r>
        <w:lastRenderedPageBreak/>
        <w:t>AUTO 99/2008, de 14 de abril de 2008</w:t>
      </w:r>
    </w:p>
    <w:bookmarkEnd w:id="160"/>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ECLI:ES:TC:2008:99A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5576-2003,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17 de septiembre de 2003 el Abogado don Luis Miguel Pérez Espadas formuló recurso de amparo en interés de don Stanley Enoak contra el Auto del Juzgado de Instrucción núm. 3 de Puerto del Rosario de 22 de agosto anterior, por el que se denegó la incoación de un procedimiento de habeas corpus. Solicitó que se le tuviera por parte en representación del Sr. Enoak, entendiéndose con él las sucesivas diligencias hasta que, dado que el citado Sr. Enoak tenía derecho a asistencia jurídica gratuita en virtud del artículo 22.1 de la Ley Orgánica 4/2000,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Paloma Prieto González.</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28 siguiente, el Ilustre Colegio de Abogados de Madrid comunicó que había procedido al archivo de la solicitud de asistencia jurídica gratuita de don Stanley Enoak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Enoak suponía, de acuerdo con el art. 18 LAJG, que quedara sin efecto la designación provisional efectuada en su día de la Procuradora doña Paloma Prieto González como representante procesal de aquél, entender las sucesivas diligencias del presente recurso de amparo con el Abogado don Luis Miguel Pérez Espadas, que lo </w:t>
      </w:r>
      <w:r>
        <w:lastRenderedPageBreak/>
        <w:t>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5576-2003.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Stanley Enoak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Enoak,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Enoak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Enoak.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Stanley Enoak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sdicional segunda del Acuerdo de 18 de junio de 1996, del Pleno del Tribunal Constitucional sobre ssistencia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1" w:name="AUTO_2008_100"/>
      <w:r>
        <w:lastRenderedPageBreak/>
        <w:t>AUTO 100/2008, de 14 de abril de 2008</w:t>
      </w:r>
    </w:p>
    <w:bookmarkEnd w:id="161"/>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ECLI:ES:TC:2008:100A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5578-2003, en procedimiento de habeas corpus.</w:t>
      </w:r>
    </w:p>
    <w:p w:rsidR="00CF03FA" w:rsidRDefault="00CF03FA" w:rsidP="00CF03FA">
      <w:pPr>
        <w:pStyle w:val="SntesisDescriptiva"/>
      </w:pPr>
    </w:p>
    <w:p w:rsidR="00CF03FA" w:rsidRDefault="00CF03FA" w:rsidP="00CF03FA">
      <w:pPr>
        <w:pStyle w:val="SntesisAnaltica"/>
      </w:pPr>
      <w:r>
        <w:t>Abogados: legitimación en el recurso de amparo. Habeas corpus: procedimiento. Recurso de amparo: apreciación de oficio de los requisitos procesales. Votos particulares: formulado uno.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17 de septiembre de 2003 el Abogado don Luis Miguel Pérez Espadas formuló recurso de amparo en interés de don Madi Tunkara contra el Auto del Juzgado de Instrucción núm. 3 de Puerto del Rosario de 22 de agosto anterior, por el que se denegó la incoación de un procedimiento de habeas corpus. Solicitó que se le tuviera por parte en representación del Sr. Tunkara, entendiéndose con él las sucesivas diligencias hasta que, dado que el citado Sr. Tunkara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3 de marzo de 2005 la designación, con carácter provisional, de la colegiada doña María Eugenia De Francisco Ferreras.</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21 de abril de 2005, que ingresó en este Tribunal el día 29 siguiente, el Ilustre Colegio de Abogados de Madrid comunicó que había procedido al archivo de la solicitud de asistencia jurídica gratuita de don Madi Tunkara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Tunkara suponía, de acuerdo con el art. 18 LAJG, que quedara </w:t>
      </w:r>
      <w:r>
        <w:lastRenderedPageBreak/>
        <w:t>sin efecto la designación provisional efectuada en su día de la Procuradora doña María Eugenia De Francisco Ferreras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lastRenderedPageBreak/>
        <w:t>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 A esta conclusión no se opone lo alegado por el Ministerio Fiscal, puesto que este Tribunal no ha reconocido como título legitimador para promover un recurso de amparo la simple circunstancia de haber actuado como abogado de una parte en la vía judicial, y, en todo caso, el que suscribió el escrito por el que se inició el recurso de amparo no invocó su legitimación, sino la actuación en nombre de quien había ostentado la condición de parte en la vía judicial.</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t>Voto particular discrepante que formula el Magistrado don Eugeni Gay Montalvo respecto del Auto de la Sala Segunda de este Tribunal dictado en el recurso de amparo núm. 5578-2003.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Madi Tunkara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Tunkara,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Tunkara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Tunkara.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Madi Tunkara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lastRenderedPageBreak/>
        <w:t>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2" w:name="AUTO_2008_101"/>
      <w:r>
        <w:lastRenderedPageBreak/>
        <w:t>AUTO 101/2008, de 14 de abril de 2008</w:t>
      </w:r>
    </w:p>
    <w:bookmarkEnd w:id="162"/>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ECLI:ES:TC:2008:101A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5619-2003,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18 de septiembre de 2003 el Abogado don Luis Miguel Pérez Espadas formuló recurso de amparo en interés de don Banioko Diawara contra el Auto del Juzgado de Instrucción núm. 3 de Puerto del Rosario de 22 de agosto anterior, por el que se denegó la incoación de un procedimiento de habeas corpus. Solicitó que se le tuviera por parte en representación del Sr. Diawara, entendiéndose con él las sucesivas diligencias hasta que, dado que el citado Sr. Diawara tenía derecho a asistencia jurídica gratuita en virtud del artículo 22.1 de la Ley Orgánica 4/2000,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María José Millán Valero.</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28 siguiente, el Ilustre Colegio de Abogados de Madrid comunicó que había procedido al archivo de la solicitud de asistencia jurídica gratuita de don Banioko Diawara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Diawara suponía, de acuerdo con el art. 18 LAJG, que quedara sin efecto la designación provisional efectuada en su día de la Procuradora doña María José Millán Valero como representante procesal de aquél, entender las sucesivas diligencias del presente recurso de amparo con el Abogado don Luis Miguel Pérez Espadas, que lo había </w:t>
      </w:r>
      <w:r>
        <w:lastRenderedPageBreak/>
        <w:t>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5619-2003.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Banioko Diawara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Diawara,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Diawara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Diawara.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Banioko Diawara,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3" w:name="AUTO_2008_102"/>
      <w:r>
        <w:lastRenderedPageBreak/>
        <w:t>AUTO 102/2008, de 14 de abril de 2008</w:t>
      </w:r>
    </w:p>
    <w:bookmarkEnd w:id="163"/>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ECLI:ES:TC:2008:102A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5623-2003,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18 de septiembre de 2003 el Abogado don Luis Miguel Pérez Espadas formuló recurso de amparo en interés de don Moussa Ould Mahmaoud contra el Auto del Juzgado de Instrucción núm. 3 de Puerto del Rosario de 22 de agosto anterior, por el que se denegó la incoación de un procedimiento de habeas corpus. Solicitó que se le tuviera por parte en representación del Sr. Ould Mahmaoud, entendiéndose con él las sucesivas diligencias hasta que, dado que el citado Sr. Ould Mahmaoud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María Jesús Fernández Salagre.</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29 siguiente, el Ilustre Colegio de Abogados de Madrid comunicó que había procedido al archivo de la solicitud de asistencia jurídica gratuita de don Moussa Ould Mahmaoud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Ould Mahmaoud suponía, de acuerdo con el art. 18 LAJG, que quedara sin efecto la designación provisional efectuada en su día de la Procuradora doña </w:t>
      </w:r>
      <w:r>
        <w:lastRenderedPageBreak/>
        <w:t>María Jesús Fernández Salagre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w:t>
      </w:r>
      <w:r>
        <w:lastRenderedPageBreak/>
        <w:t>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5623-2003.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Moussa Ould Mahmaoud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don Moussa Ould Mahmaoud,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don Moussa Ould Mahmaoud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 don Moussa Ould Mahmaoud.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Moussa Ould Mahmaoud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4" w:name="AUTO_2008_103"/>
      <w:r>
        <w:lastRenderedPageBreak/>
        <w:t>AUTO 103/2008, de 14 de abril de 2008</w:t>
      </w:r>
    </w:p>
    <w:bookmarkEnd w:id="164"/>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ECLI:ES:TC:2008:103A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don Eugeni Gay Montalvo, doña Elisa Pérez Vera,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5625-2003,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18 de septiembre de 2003 el Abogado don Luis Miguel Pérez Espadas formuló recurso de amparo en interés de don Mustapha Camara contra el Auto del Juzgado de Instrucción núm. 3 de Puerto del Rosario de 22 de agosto anterior, por el que se denegó la incoación de un procedimiento de habeas corpus. Solicitó que se le tuviera por parte en representación del Sr. Camara, entendiéndose con él las sucesivas diligencias hasta que, dado que el citado Sr. Camara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Begoña López Cerezo.</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29 siguiente, el Ilustre Colegio de Abogados de Madrid comunicó que había procedido al archivo de la solicitud de asistencia jurídica gratuita de don Mustapha Camara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Camara suponía, de acuerdo con el art. 18 LAJG, que quedara sin efecto la designación provisional efectuada en su día de la Procuradora doña Begoña López Cerezo como representante procesal de aquél, entender las sucesivas diligencias del </w:t>
      </w:r>
      <w:r>
        <w:lastRenderedPageBreak/>
        <w:t>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w:t>
      </w:r>
      <w:r>
        <w:lastRenderedPageBreak/>
        <w:t>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de la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5625-2003.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Mustapha Camara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Camara,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Camara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Camara.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Mustapha Camara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5" w:name="AUTO_2008_104"/>
      <w:r>
        <w:lastRenderedPageBreak/>
        <w:t>AUTO 104/2008, de 14 de abril de 2008</w:t>
      </w:r>
    </w:p>
    <w:bookmarkEnd w:id="165"/>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ECLI:ES:TC:2008:104A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5633-2003,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18 de septiembre de 2003 el Abogado don Luis Miguel Pérez Espadas formuló recurso de amparo en interés de don Bassirou Seydi contra el Auto del Juzgado de Instrucción núm. 3 de Puerto del Rosario de 22 de agosto anterior, por el que se denegó la incoación de un procedimiento de habeas corpus. Solicitó que se le tuviera por parte en representación del Sr. Seydi, entendiéndose con él las sucesivas diligencias hasta que, dado que el citado Sr. Seydi tenía derecho a asistencia jurídica gratuita en virtud del artículo 22.1 de la Ley Orgánica 4/2000,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 de marzo de 2005 la designación, con carácter provisional, de la colegiada doña Virginia Gutiérrez Sanz.</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28 siguiente, el Ilustre Colegio de Abogados de Madrid comunicó que había procedido al archivo de la solicitud de asistencia jurídica gratuita de don Bassirou Seydi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Seydi suponía, de acuerdo con el art. 18 LAJG, que quedara sin efecto la designación provisional efectuada en su día de la Procuradora doña Virginia Gutiérrez Sanz como representante procesal de aquél, entender las sucesivas diligencias del presente recurso de amparo con el Abogado don Luis Miguel Pérez Espadas, que lo había </w:t>
      </w:r>
      <w:r>
        <w:lastRenderedPageBreak/>
        <w:t>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5633-2003.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Bassirou Seydi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Seydi,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Seydi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Seydi.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Bassirou Seydi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6" w:name="AUTO_2008_105"/>
      <w:r>
        <w:lastRenderedPageBreak/>
        <w:t>AUTO 105/2008, de 14 de abril de 2008</w:t>
      </w:r>
    </w:p>
    <w:bookmarkEnd w:id="166"/>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ECLI:ES:TC:2008:105A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don Eugeni Gay Montalvo, doña Elisa Pérez Vera,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5637-2003,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19 de septiembre de 2003 el Abogado don Luis Miguel Pérez Espadas formuló recurso de amparo en interés de don Kaliluo Diarrasouba contra el Auto del Juzgado de Instrucción núm. 3 de Puerto del Rosario de 22 de agosto anterior, por el que se denegó la incoación de un procedimiento de habeas corpus. Solicitó que se le tuviera por parte en representación del Sr. Diarrasouba, entendiéndose con él las sucesivas diligencias hasta que, dado que el citado Sr. Diarrasouba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3 de marzo de 2005 la designación, con carácter provisional, de la colegiada doña Monserrat Gómez Hernández.</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21 de abril de 2005, que ingresó en este Tribunal el día 29 siguiente, el Ilustre Colegio de Abogados de Madrid comunicó que había procedido al archivo de la solicitud de asistencia jurídica gratuita de don Kaliluo Diarrasouba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Diarrasouba suponía, de acuerdo con el art. 18 LAJG, que quedara sin efecto la designación provisional efectuada en su día de la Procuradora doña </w:t>
      </w:r>
      <w:r>
        <w:lastRenderedPageBreak/>
        <w:t>Monserrat Gómez Hernández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w:t>
      </w:r>
      <w:r>
        <w:lastRenderedPageBreak/>
        <w:t>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14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5637-2003.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Kaliluo Diarrasouba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Diarrasouba,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Diarrasouba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Diarrasouba.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Kaliluo Diarrasouba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7" w:name="AUTO_2008_106"/>
      <w:r>
        <w:lastRenderedPageBreak/>
        <w:t>AUTO 106/2008, de 14 de abril de 2008</w:t>
      </w:r>
    </w:p>
    <w:bookmarkEnd w:id="167"/>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ECLI:ES:TC:2008:106A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5639-2003,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19 de septiembre de 2003 el Abogado don Luis Miguel Pérez Espadas formuló recurso de amparo en interés de don Woyo Kante contra el Auto del Juzgado de Instrucción núm. 3 de Puerto del Rosario de 22 de agosto anterior, por el que se denegó la incoación de un procedimiento de habeas corpus. Solicitó que se le tuviera por parte en representación del Sr. Kante, entendiéndose con él las sucesivas diligencias hasta que, dado que el citado Sr. Kante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del colegiado don Juan Francisco Alonso Adalia.</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29 siguiente, el Ilustre Colegio de Abogados de Madrid comunicó que había procedido al archivo de la solicitud de asistencia jurídica gratuita de don Woyo Kante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Kante suponía, de acuerdo con el art. 18 LAJG, que quedara sin efecto la designación provisional efectuada en su día del Procurador don Juan Francisco Alonso Adalia como representante procesal de aquél, entender las sucesivas diligencias del presente recurso de amparo con el Abogado don Luis Miguel Pérez Espadas, que lo había </w:t>
      </w:r>
      <w:r>
        <w:lastRenderedPageBreak/>
        <w:t>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del Procurador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5639-2003.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Woyo Kante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Kante,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Kante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Kante.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Woyo Kante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8" w:name="AUTO_2008_107"/>
      <w:r>
        <w:lastRenderedPageBreak/>
        <w:t>AUTO 107/2008, de 14 de abril de 2008</w:t>
      </w:r>
    </w:p>
    <w:bookmarkEnd w:id="168"/>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ECLI:ES:TC:2008:107A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5691-2003,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20 de septiembre de 2003 el Abogado don Luis Miguel Pérez Espadas formuló recurso de amparo en interés de don Mama Tankara contra el Auto del Juzgado de Instrucción núm. 3 de Puerto del Rosario de 22 de agosto anterior, por el que se denegó la incoación de un procedimiento de habeas corpus. Solicitó que se le tuviera por parte en representación del Sr. Tankara, entendiéndose con él las sucesivas diligencias hasta que, dado que el citado Sr. Tankara tenía derecho a asistencia jurídica gratuita en virtud del artículo 22.1 de la Ley Orgánica 4/2000, de 11 de enero,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María Eugenia de Francisco Ferreras.</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29 siguiente, el Ilustre Colegio de Abogados de Madrid comunicó que había procedido al archivo de la solicitud de asistencia jurídica gratuita de don Mama Tankara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Tankara suponía, de acuerdo con el art. 18 LAJG, que quedara sin efecto la designación provisional efectuada en su día de la Procuradora doña María Eugenia de Francisco Ferreras como representante procesal de aquél, entender las sucesivas diligencias del presente recurso de amparo con el Abogado don Luis Miguel Pérez Espadas, </w:t>
      </w:r>
      <w:r>
        <w:lastRenderedPageBreak/>
        <w:t>que lo 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w:t>
      </w:r>
      <w:r>
        <w:lastRenderedPageBreak/>
        <w:t>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STC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5691-2003.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Mama Tankara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Tankara,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Tankara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Tankara.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Mama Tankara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69" w:name="AUTO_2008_108"/>
      <w:r>
        <w:lastRenderedPageBreak/>
        <w:t>AUTO 108/2008, de 14 de abril de 2008</w:t>
      </w:r>
    </w:p>
    <w:bookmarkEnd w:id="169"/>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ECLI:ES:TC:2008:108A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Archiva por incumplimiento sobrevenido del requisito de postulación el recurso de amparo 5695-2003, en procedimiento de habeas corpus.</w:t>
      </w:r>
    </w:p>
    <w:p w:rsidR="00CF03FA" w:rsidRDefault="00CF03FA" w:rsidP="00CF03FA">
      <w:pPr>
        <w:pStyle w:val="SntesisDescriptiva"/>
      </w:pPr>
    </w:p>
    <w:p w:rsidR="00CF03FA" w:rsidRDefault="00CF03FA" w:rsidP="00CF03FA">
      <w:pPr>
        <w:pStyle w:val="SntesisAnaltica"/>
      </w:pPr>
      <w:r>
        <w:t>Recurso de amparo: ATC 89/2008. Voto particular.</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22 de septiembre de 2003 el Abogado don Luis Miguel Pérez Espadas formuló recurso de amparo en interés de don Souleymane Coulibaly contra el Auto del Juzgado de Instrucción núm. 3 de Puerto del Rosario de 22 de agosto anterior, por el que se denegó la incoación de un procedimiento de habeas corpus. Solicitó que se le tuviera por parte en representación del Sr. Coulibaly , entendiéndose con él las sucesivas diligencias hasta que, dado que el citado Sr. Coulibaly tenía derecho a asistencia jurídica gratuita en virtud del artículo 22.1 de la Ley Orgánica 4/2000, se le nombrara Procurador del turno de oficio.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11 de abril de 2005 la designación, con carácter provisional, de la colegiada doña María Lourdes Cano Ochoa.</w:t>
      </w:r>
    </w:p>
    <w:p w:rsidR="00CF03FA" w:rsidRDefault="00CF03FA" w:rsidP="00CF03FA">
      <w:pPr>
        <w:pStyle w:val="TextoNormal"/>
      </w:pPr>
    </w:p>
    <w:p w:rsidR="00CF03FA" w:rsidRDefault="00CF03FA" w:rsidP="00CF03FA">
      <w:pPr>
        <w:pStyle w:val="TextoNormal"/>
      </w:pPr>
      <w:r w:rsidRPr="00CF03FA">
        <w:rPr>
          <w:rStyle w:val="NumeroAFNegritaCaracter"/>
        </w:rPr>
        <w:t>3</w:t>
      </w:r>
      <w:r>
        <w:t>. En escrito de 18 de abril de 2005, que ingresó en este Tribunal el día 28 siguiente, el Ilustre Colegio de Abogados de Madrid comunicó que había procedido al archivo de la solicitud de asistencia jurídica gratuita de don Souleymane Coulibaly para el recurso de amparo en el que se dicta esta resolución, de conformidad con los arts. 14 LAJG y 10 del Reglamento de asistencia jurídica gratuita, aprobado por Real Decreto 996/2003, de 25 de julio.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Admitido a trámite el recurso de amparo, en providencia de esta Sala de 19 de diciembre de 2006 se acordó, a la vista de que el archivo de la solicitud de asistencia jurídica gratuita formulada por el Sr. Coulibaly suponía, de acuerdo con el art. 18 LAJG, que quedara sin efecto la designación provisional efectuada en su día de la Procuradora doña María </w:t>
      </w:r>
      <w:r>
        <w:lastRenderedPageBreak/>
        <w:t>Lourdes Cano Ochoa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00CF03FA" w:rsidRDefault="00CF03FA" w:rsidP="00CF03FA">
      <w:pPr>
        <w:pStyle w:val="TextoNormal"/>
      </w:pPr>
    </w:p>
    <w:p w:rsidR="00CF03FA" w:rsidRDefault="00CF03FA" w:rsidP="00CF03FA">
      <w:pPr>
        <w:pStyle w:val="TextoNormal"/>
      </w:pPr>
      <w:r w:rsidRPr="00CF03FA">
        <w:rPr>
          <w:rStyle w:val="NumeroAFNegritaCaracter"/>
        </w:rPr>
        <w:t>5</w:t>
      </w:r>
      <w:r>
        <w:t>.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00CF03FA" w:rsidRDefault="00CF03FA" w:rsidP="00CF03FA">
      <w:pPr>
        <w:pStyle w:val="TextoNormal"/>
      </w:pPr>
    </w:p>
    <w:p w:rsidR="00CF03FA" w:rsidRDefault="00CF03FA" w:rsidP="00CF03FA">
      <w:pPr>
        <w:pStyle w:val="TextoNormal"/>
      </w:pPr>
      <w:r w:rsidRPr="00CF03FA">
        <w:rPr>
          <w:rStyle w:val="NumeroAFNegritaCaracter"/>
        </w:rPr>
        <w:t>6</w:t>
      </w:r>
      <w:r>
        <w:t>.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Se impugna en este proceso el Auto del Juzgado de Instrucción núm. 3 de Puerto del Rosario de 22 de agosto de 2003, por el que se denegó la incoación de un procedimiento de habeas corpus.</w:t>
      </w:r>
    </w:p>
    <w:p w:rsidR="00CF03FA" w:rsidRDefault="00CF03FA" w:rsidP="00CF03FA">
      <w:pPr>
        <w:pStyle w:val="TextoNormal"/>
      </w:pPr>
      <w: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w:t>
      </w:r>
      <w:r>
        <w:lastRenderedPageBreak/>
        <w:t>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de la LOTC, se dio audiencia para que el Ministerio Fiscal –única parte personada en forma en este procedimiento-, manifestara su opinión acerca de la eventual terminación del presente proceso constitucional, a la vista de las circunstancias descritas.</w:t>
      </w:r>
    </w:p>
    <w:p w:rsidR="00CF03FA" w:rsidRDefault="00CF03FA" w:rsidP="00CF03FA">
      <w:pPr>
        <w:pStyle w:val="TextoNormal"/>
      </w:pPr>
      <w:r>
        <w:t>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00CF03FA" w:rsidRDefault="00CF03FA" w:rsidP="00CF03FA">
      <w:pPr>
        <w:pStyle w:val="TextoNormal"/>
      </w:pPr>
      <w:r>
        <w:t>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Archivar el presente recurso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rsidP="00CF03FA">
      <w:pPr>
        <w:pStyle w:val="ParrafoNormal"/>
      </w:pPr>
    </w:p>
    <w:p w:rsidR="00CF03FA" w:rsidRDefault="00CF03FA" w:rsidP="00CF03FA">
      <w:pPr>
        <w:pStyle w:val="TextoNormalNegritaCentrado"/>
        <w:keepNext/>
      </w:pPr>
      <w:r>
        <w:lastRenderedPageBreak/>
        <w:t>Voto particular discrepante que formula el Magistrado don Eugeni Gay Montalvo respecto del Auto de la Sala Segunda de este Tribunal dictado en el recurso de amparo núm. 5695-2003.</w:t>
      </w:r>
    </w:p>
    <w:p w:rsidR="00CF03FA" w:rsidRDefault="00CF03FA" w:rsidP="00CF03FA">
      <w:pPr>
        <w:pStyle w:val="TextoNormalNegritaCentrado"/>
        <w:keepNext/>
      </w:pPr>
    </w:p>
    <w:p w:rsidR="00CF03FA" w:rsidRDefault="00CF03FA" w:rsidP="00CF03FA">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CF03FA" w:rsidRDefault="00CF03FA" w:rsidP="00CF03FA">
      <w:pPr>
        <w:pStyle w:val="TextoNormal"/>
      </w:pPr>
      <w:r>
        <w:t>El Auto adoptado por la Sala Segunda ha decidido el archivo del recurso de amparo promovido por don Souleymane Coulibaly por no cumplirse el requisito procesal de que en los procesos constitucionales las partes deben estar representadas mediante Procurador.</w:t>
      </w:r>
    </w:p>
    <w:p w:rsidR="00CF03FA" w:rsidRDefault="00CF03FA" w:rsidP="00CF03FA">
      <w:pPr>
        <w:pStyle w:val="TextoNormal"/>
      </w:pPr>
      <w:r>
        <w:t>Como resultado de la aplicación del art. 81 LOTC el Sr. Coulibaly,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Coulibaly había vulnerado el derecho a la libertad personal de este último (art. 17 CE).</w:t>
      </w:r>
    </w:p>
    <w:p w:rsidR="00CF03FA" w:rsidRDefault="00CF03FA" w:rsidP="00CF03FA">
      <w:pPr>
        <w:pStyle w:val="TextoNormal"/>
      </w:pPr>
      <w:r>
        <w:t>Es lo cierto que, como puede leerse en el Auto, la decisión de la Sala responde a la pasividad mostrada por el Abogado don Luis Miguel Pérez Espadas, quien formuló recurso de amparo en interés del Sr. Coulibaly.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00CF03FA" w:rsidRDefault="00CF03FA" w:rsidP="00CF03FA">
      <w:pPr>
        <w:pStyle w:val="TextoNormal"/>
      </w:pPr>
      <w:r>
        <w:t>El Abogado de don Soleymane Coulibaly,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00CF03FA" w:rsidRDefault="00CF03FA" w:rsidP="00CF03FA">
      <w:pPr>
        <w:pStyle w:val="TextoNormal"/>
      </w:pPr>
      <w:r>
        <w:t>Siendo, como es, la vigilancia de fronteras un tema que va más allá de la mera relación interpartes y de los presupuestos de la justicia rogada, son los habeas corpus,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00CF03FA" w:rsidRDefault="00CF03FA" w:rsidP="00CF03FA">
      <w:pPr>
        <w:pStyle w:val="TextoNormal"/>
      </w:pPr>
      <w: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w:t>
      </w:r>
      <w:r>
        <w:lastRenderedPageBreak/>
        <w:t>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00CF03FA" w:rsidRDefault="00CF03FA" w:rsidP="00CF03FA">
      <w:pPr>
        <w:pStyle w:val="TextoNormal"/>
      </w:pPr>
      <w:r>
        <w:t>Por todo ello considero que debía haberse admitido la presente demanda de amparo, máxime ignorándose la situación en que se encuentra quien, en su día, solicitó, nada menos, que la incoación de un procedimiento de habeas corpus que le fue denegado.</w:t>
      </w: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0" w:name="AUTO_2008_109"/>
      <w:r>
        <w:lastRenderedPageBreak/>
        <w:t>AUTO 109/2008, de 14 de abril de 2008</w:t>
      </w:r>
    </w:p>
    <w:bookmarkEnd w:id="170"/>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ECLI:ES:TC:2008:109A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Pascual Sala Sánchez y don Ramón Rodríguez Arribas.</w:t>
      </w:r>
    </w:p>
    <w:p w:rsidR="00CF03FA" w:rsidRDefault="00CF03FA" w:rsidP="00CF03FA">
      <w:pPr>
        <w:pStyle w:val="SntesisDescriptiva"/>
      </w:pPr>
    </w:p>
    <w:p w:rsidR="00CF03FA" w:rsidRDefault="00CF03FA" w:rsidP="00CF03FA">
      <w:pPr>
        <w:pStyle w:val="SntesisDescriptiva"/>
      </w:pPr>
      <w:r>
        <w:t>Acuerda la suspensión en el recurso de amparo 6939-2005, promovido por don Amadeo Azorín Guillermo en causa por delito  de falsedad en documento oficial.</w:t>
      </w:r>
    </w:p>
    <w:p w:rsidR="00CF03FA" w:rsidRDefault="00CF03FA" w:rsidP="00CF03FA">
      <w:pPr>
        <w:pStyle w:val="SntesisDescriptiva"/>
      </w:pPr>
    </w:p>
    <w:p w:rsidR="00CF03FA" w:rsidRDefault="00CF03FA" w:rsidP="00CF03FA">
      <w:pPr>
        <w:pStyle w:val="SntesisAnaltica"/>
      </w:pPr>
      <w:r>
        <w:t>Suspensión cautelar de sentencias penales: costas procesales, multa y responsabilidad personal subsidiaria, no suspende; prisión de seis meses,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Con fecha de 4 de octubre de 2005 la Procuradora de los Tribunales doña Ana Llorens Pardo, en representación de don Amadeo Azorín Guillermo, presentó en el Registro General de este Tribunal demanda de amparo contra la Sentencia de la Sección Segunda de la Audiencia Provincial Barcelona de 22 de junio de 2005 que, estimando el recurso de apelación interpuesto por el Abogado del Estado contra la Sentencia del Juzgado de lo Penal núm. 2 de Terrassa de 7 de marzo de 2005, dictada en procedimiento abreviado núm. 245-2004, y revocando la misma, condenó al recurrente como autor de un delito de falsedad en documento oficial.</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en que se fundamenta la demanda de amparo son, sucintamente expuestos, los siguientes: </w:t>
      </w:r>
    </w:p>
    <w:p w:rsidR="00CF03FA" w:rsidRDefault="00CF03FA" w:rsidP="00CF03FA">
      <w:pPr>
        <w:pStyle w:val="TextoNormal"/>
      </w:pPr>
      <w:r>
        <w:t xml:space="preserve">a) El Juzgado de lo Penal núm. 2 de Terrassa dictó Sentencia con fecha de 7 de marzo de 2005, en la que absolvía al recurrente del delito de falsedad en documento oficial del que venía siendo acusado. </w:t>
      </w:r>
    </w:p>
    <w:p w:rsidR="00CF03FA" w:rsidRDefault="00CF03FA" w:rsidP="00CF03FA">
      <w:pPr>
        <w:pStyle w:val="TextoNormal"/>
      </w:pPr>
      <w:r>
        <w:t>b) Interpuesto recurso de apelación por el Abogado del Estado, fue estimado por la Sentencia de 22 de junio de 2005 de la Sección Segunda de la Audiencia Provincial de Barcelona que, revocando la Sentencia de instancia, condenó a don Amadeo Azorín Guillermo, como autor de un delito de falsedad de documento oficial, sin la concurrencia de circunstancias modificativas de la responsabilidad criminal, a la pena de seis meses de prisión, multa de seis meses con cuota diaria de 5 euros y responsabilidad personal subsidiaria de un día de privación de libertad por cada dos cuotas no satisfechas, y al pago de las costas de la instancia con inclusión de las devengadas por la acusación particular.</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la demanda de amparo se denuncia la vulneración del derecho a la presunción de inocencia (art. 24.2 CE), por no existir una mínima actividad probatoria de cargo para desvirtuarla, del derecho a la tutela judicial efectiva (art. 24.1 CE), por motivación insuficiente </w:t>
      </w:r>
      <w:r>
        <w:lastRenderedPageBreak/>
        <w:t xml:space="preserve">de la Sentencia impugnada, y del principio de legalidad (art. 25.1 CE), al considerarse que los hechos por los que el recurrente fue condenado no son constitutivos de ilícito penal alguno. </w:t>
      </w:r>
    </w:p>
    <w:p w:rsidR="00CF03FA" w:rsidRDefault="00CF03FA" w:rsidP="00CF03FA">
      <w:pPr>
        <w:pStyle w:val="TextoNormal"/>
      </w:pPr>
      <w:r>
        <w:t>Igualmente, mediante otrosí, y de conformidad con el art. 56 LOTC, se solicitó que se acordara la suspensión de la ejecución de la Sentencia recurrida, por estimar que aquella ocasionaría al demandante un perjuicio que haría perder al amparo su finalidad, en tanto, se afirma, la firmeza de la Sentencia llevaría aparejada la inclusión en su hoja histórico-penal de los consiguientes antecedentes penales.</w:t>
      </w:r>
    </w:p>
    <w:p w:rsidR="00CF03FA" w:rsidRDefault="00CF03FA" w:rsidP="00CF03FA">
      <w:pPr>
        <w:pStyle w:val="TextoNormal"/>
      </w:pPr>
    </w:p>
    <w:p w:rsidR="00CF03FA" w:rsidRDefault="00CF03FA" w:rsidP="00CF03FA">
      <w:pPr>
        <w:pStyle w:val="TextoNormal"/>
      </w:pPr>
      <w:r w:rsidRPr="00CF03FA">
        <w:rPr>
          <w:rStyle w:val="NumeroAFNegritaCaracter"/>
        </w:rPr>
        <w:t>4</w:t>
      </w:r>
      <w:r>
        <w:t>. Por sendas providencias de 16 de octubre de 2007 la Sala Segunda del Tribunal Constitucional acordó conocer del presente recurso de amparo y admitir a trámite la demanda, así como formar la oportuna pieza para la tramitación del incidente sobre suspensión, concediendo, de conformidad con el art. 56 LOTC, un plazo común de tres días a la parte recurrente y al Ministerio Fiscal para que alegaran lo que estimasen pertinente sobre dicha suspensión.</w:t>
      </w:r>
    </w:p>
    <w:p w:rsidR="00CF03FA" w:rsidRDefault="00CF03FA" w:rsidP="00CF03FA">
      <w:pPr>
        <w:pStyle w:val="TextoNormal"/>
      </w:pPr>
    </w:p>
    <w:p w:rsidR="00CF03FA" w:rsidRDefault="00CF03FA" w:rsidP="00CF03FA">
      <w:pPr>
        <w:pStyle w:val="TextoNormal"/>
      </w:pPr>
      <w:r w:rsidRPr="00CF03FA">
        <w:rPr>
          <w:rStyle w:val="NumeroAFNegritaCaracter"/>
        </w:rPr>
        <w:t>5</w:t>
      </w:r>
      <w:r>
        <w:t>. El 25 de octubre de 2007 se registró en este Tribunal la entrada del escrito de alegaciones del recurrente, en el que ratifica la solicitud de suspensión de ejecución de la pena impuesta, por cuanto la misma supondría un perjuicio irreparable tanto en el terreno personal como en el laboral, máxime, añade, tratándose de una pena privativa de libertad.</w:t>
      </w:r>
    </w:p>
    <w:p w:rsidR="00CF03FA" w:rsidRDefault="00CF03FA" w:rsidP="00CF03FA">
      <w:pPr>
        <w:pStyle w:val="TextoNormal"/>
      </w:pPr>
    </w:p>
    <w:p w:rsidR="00CF03FA" w:rsidRDefault="00CF03FA" w:rsidP="00CF03FA">
      <w:pPr>
        <w:pStyle w:val="TextoNormal"/>
      </w:pPr>
      <w:r w:rsidRPr="00CF03FA">
        <w:rPr>
          <w:rStyle w:val="NumeroAFNegritaCaracter"/>
        </w:rPr>
        <w:t>6</w:t>
      </w:r>
      <w:r>
        <w:t>. El Ministerio Fiscal presentó su escrito de alegaciones el día 7 de noviembre de 2007, en el que, con cita del ATC 265/2003, FFJJ 1 y 2, considera procedente la suspensión instada. Señala, en primer lugar, que los términos en que el demandante ha solicitado la suspensión no pueden asumirse, pues la no suspensión de la ejecución no acarrearía perjuicios irreparables en el caso de un eventual otorgamiento del amparo, ya que, si tal ocurriese, se cancelaría el antecedente en su hoja histórico-penal pudiendo, por lo demás, reclamar aquél por los eventuales perjuicios que dicha anotación le hubiese ocasionado. En segundo lugar, indica el Ministerio Fiscal que, pese a que el recurrente no se haya referido a ello en su demanda de amparo, habría de suspenderse la ejecución de la pena privativa de libertad impuesta, porque de no accederse a la misma, dada su corta duración, los efectos de un eventual otorgamiento del amparo se tornarían ilusorios ante su previsible extinción. En cambio, la ejecución de la pena de multa, al tener un mero contenido económico, no irrogaría perjuicio irreparable alguno y, por otro lado, tampoco el demandante alega, ni fluye del contenido de las resoluciones judiciales que, dada la cuantía de aquella pena, su desembolso le ocasione grave quebranto, al igual que sucede con el pago de las costas.</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art. 56.2 LOTC, en la redacción dada por la Ley Orgánica 6/2007, de 24 de mayo, establece que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00CF03FA" w:rsidRDefault="00CF03FA" w:rsidP="00CF03FA">
      <w:pPr>
        <w:pStyle w:val="TextoNormal"/>
      </w:pPr>
      <w:r>
        <w:lastRenderedPageBreak/>
        <w:t>De acuerdo con la doctrina elaborada por este Tribunal respecto de la redacción inicial del art. 56 LOTC, reiterada en cuanto a la redacción actualmente vigente (AATC 185/1998, de 14 de septiembre, FJ 1; 99/1999, de 26 de abril, FJ 2; 289/2000, de 11 de diciembre, FJ 2; 230/2001, de 24 de julio, FJ 1; 171/2002, de 30 de septiembre, FJ 1; 413/2003, de 15 de diciembre, FJ 1; 369/2005, de 24 de octubre, FJ 2, y 466/2007, de 17 de diciembre), la suspensión se configura como una medida provisional de carácter excepcional y de aplicación restrictiva, habida cuenta del interés general en la efectividad de las decisiones de los poderes públicos y, en particular, en la ejecución de las resoluciones dictadas por Jueces y Tribunales en el ejercicio de la potestad jurisdiccional que les confiere el art. 117.3 CE, puesto que la protección del interés general que conlleva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impugnada cause un perjuicio al recurrente que pudiera hacer perder al amparo su finalidad y siempre que, como ya se ha anotado más arriba, la suspensión no produzca perturbaciones graves a un interés constitucionalmente protegido, ni a los derechos fundamentales o libertades de otra persona. La suspensión, pues, es una medida cautelar que se apoya en el riesgo o en la certeza de que la ejecución ocasionará un perjuicio que frustraría la finalidad del amparo, dando a una eventual sentencia favorable efectos meramente declarativos; no obstante exige una delicada ponderación de los intereses generales y los derechos fundamentales de terceros —cuya perturbación grave o lesión actúa como límite a la adopción de la medida cautelar—, así como del interés particular del demandante de amparo que alega a su vez la lesión de un derecho fundamental.</w:t>
      </w:r>
    </w:p>
    <w:p w:rsidR="00CF03FA" w:rsidRDefault="00CF03FA" w:rsidP="00CF03FA">
      <w:pPr>
        <w:pStyle w:val="TextoNormal"/>
      </w:pPr>
    </w:p>
    <w:p w:rsidR="00CF03FA" w:rsidRDefault="00CF03FA" w:rsidP="00CF03FA">
      <w:pPr>
        <w:pStyle w:val="TextoNormal"/>
      </w:pPr>
      <w:r w:rsidRPr="00CF03FA">
        <w:rPr>
          <w:rStyle w:val="NumeroAFNegritaCaracter"/>
        </w:rPr>
        <w:t>2</w:t>
      </w:r>
      <w:r>
        <w:t>. En tal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16/2008, de 21 de enero, FJ 1).</w:t>
      </w:r>
    </w:p>
    <w:p w:rsidR="00CF03FA" w:rsidRDefault="00CF03FA" w:rsidP="00CF03FA">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369/2005, de 24 de octubre, FJ 2, y 469/2007, de 17 de diciembre, FJ 2).</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La aplicación al supuesto que aquí se examina de la doctrina referida obliga a considerar, si se compara la duración de la pena privativa de libertad impuesta al demandante (seis meses)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w:t>
      </w:r>
      <w:r>
        <w:lastRenderedPageBreak/>
        <w:t>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dictada por la Sección Segunda de la Audiencia Provincial Barcelona de 22 de junio de 2005.</w:t>
      </w:r>
    </w:p>
    <w:p w:rsidR="00CF03FA" w:rsidRDefault="00CF03FA" w:rsidP="00CF03FA">
      <w:pPr>
        <w:pStyle w:val="TextoNormal"/>
      </w:pPr>
    </w:p>
    <w:p w:rsidR="00CF03FA" w:rsidRDefault="00CF03FA" w:rsidP="00CF03FA">
      <w:pPr>
        <w:pStyle w:val="TextoNormal"/>
      </w:pPr>
      <w:r w:rsidRPr="00CF03FA">
        <w:rPr>
          <w:rStyle w:val="NumeroAFNegritaCaracter"/>
        </w:rPr>
        <w:t>4</w:t>
      </w:r>
      <w:r>
        <w:t>. En cambio no procede la suspensión del resto de pronunciamientos condenatorios que contiene la Sentencia antedicha, esto es, la pena de multa y la condena al pago de las costas de la instancia, puesto que, al dato de que el recurrente no realiza una concreta solicitud en tal sentido en su demanda, como tampoco en el posterior escrito de alegaciones —en el que se refiere únicamente a la pena privativa de libertad—, ni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y 362/2007, de 10 de septiembre, FJ 1).</w:t>
      </w:r>
    </w:p>
    <w:p w:rsidR="00CF03FA" w:rsidRDefault="00CF03FA" w:rsidP="00CF03FA">
      <w:pPr>
        <w:pStyle w:val="TextoNormal"/>
      </w:pPr>
      <w:r>
        <w:t>Finalmente, por lo que se refiere a la responsabilidad personal subsidiaria para el caso de impago de la multa impuesta, no cabe tampoco acordar su suspensión, pues se trata de una eventualidad futura que, de acaecer, podría dar lugar a nueva solicitud de suspensión y a la posibilidad de modificación de la decisión que ahora se adopta, en virtud del art. 57 LOTC (por todos, ATC 33/2008, de 31 de enero, FJ 2).</w:t>
      </w:r>
    </w:p>
    <w:p w:rsidR="00CF03FA" w:rsidRDefault="00CF03FA" w:rsidP="00CF03FA">
      <w:pPr>
        <w:pStyle w:val="TextoNormal"/>
      </w:pPr>
    </w:p>
    <w:p w:rsidR="00CF03FA" w:rsidRDefault="00CF03FA" w:rsidP="00CF03FA">
      <w:pPr>
        <w:pStyle w:val="TextoNormal"/>
      </w:pPr>
      <w:r>
        <w:t>En virtud de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Suspender la ejecución de la Sentencia dictada por la Sección Segunda de la Audiencia Provincial Barcelona de 22 de junio de 2005, exclusivamente en lo que se refiere a la pena de seis meses de prisión impuesta al demandante de amparo.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1" w:name="AUTO_2008_110"/>
      <w:r>
        <w:lastRenderedPageBreak/>
        <w:t>AUTO 110/2008, de 14 de abril de 2008</w:t>
      </w:r>
    </w:p>
    <w:bookmarkEnd w:id="171"/>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ECLI:ES:TC:2008:110A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Roberto García-Calvo y Montiel,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Extinción del incidente de suspensión en el recurso de amparo 7083-2005, promovido por Valentin Patrice en causa  por delito de robo con violencia.</w:t>
      </w:r>
    </w:p>
    <w:p w:rsidR="00CF03FA" w:rsidRDefault="00CF03FA" w:rsidP="00CF03FA">
      <w:pPr>
        <w:pStyle w:val="SntesisDescriptiva"/>
      </w:pPr>
    </w:p>
    <w:p w:rsidR="00CF03FA" w:rsidRDefault="00CF03FA" w:rsidP="00CF03FA">
      <w:pPr>
        <w:pStyle w:val="SntesisAnaltica"/>
      </w:pPr>
      <w:r>
        <w:t>Suspensión cautelar de sentencias penales: pérdida sobrevenida de objeto.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Una vez designada para representar de oficio al demandante de amparo en respuesta a su petición registrada en este Tribunal en fecha 10 de octubre de 2005, mediante escrito de fecha 6 de abril de 2006, la Procuradora de los Tribunales doña María Sonia Esquerdo Villodres, en nombre y representación de don Valentín Patrice, interpuso recurso de amparo contra el Auto de la Sección Tercera de la Audiencia Provincial de Madrid de 26 de septiembre de 2005, recaído en el rollo de apelación núm. 33-2005, que desestimaba la pretensión de designación de traductor de rumano para que tradujera al español una carta remitida por el propio demandante de amparo a su Letrado.</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otrosí, y de conformidad con el art. 56.1 LOTC, el demandante de amparo solicitó que se acordara la suspensión de la ejecución de la Sentencia condenatoria recurrida, afirmando que tal medida ocasionaría un perjuicio que haría perder al amparo su finalidad.</w:t>
      </w:r>
    </w:p>
    <w:p w:rsidR="00CF03FA" w:rsidRDefault="00CF03FA" w:rsidP="00CF03FA">
      <w:pPr>
        <w:pStyle w:val="TextoNormal"/>
      </w:pPr>
    </w:p>
    <w:p w:rsidR="00CF03FA" w:rsidRDefault="00CF03FA" w:rsidP="00CF03FA">
      <w:pPr>
        <w:pStyle w:val="TextoNormal"/>
      </w:pPr>
      <w:r w:rsidRPr="00CF03FA">
        <w:rPr>
          <w:rStyle w:val="NumeroAFNegritaCaracter"/>
        </w:rPr>
        <w:t>3</w:t>
      </w:r>
      <w:r>
        <w:t>. Por providencia de 26 de febrero de 2008 la Sección Segunda de este Tribunal acordó la admisión a trámite del recurso de amparo y ordenó que se formase la oportuna pieza separada para la tramitación del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4</w:t>
      </w:r>
      <w:r>
        <w:t>. El Ministerio Fiscal evacuó el trámite de alegaciones conferido mediante escrito registrado el 10 de marzo de 2008. En dicho escrito afirma que los términos genéricos en que es solicitada la suspensión en la demanda de amparo, habida cuenta que el demandante se limita a reproducir la literalidad del art. 56 LOTC sin proyección al caso concreto y sin especificar las razones por las que se pierde la finalidad de amparo o se produce un perjuicio irreparable, impiden, a falta de otros argumentos o pruebas aportadas con posterioridad, otorgar la suspensión.</w:t>
      </w:r>
    </w:p>
    <w:p w:rsidR="00CF03FA" w:rsidRDefault="00CF03FA" w:rsidP="00CF03FA">
      <w:pPr>
        <w:pStyle w:val="TextoNormal"/>
      </w:pPr>
    </w:p>
    <w:p w:rsidR="00CF03FA" w:rsidRDefault="00CF03FA" w:rsidP="00CF03FA">
      <w:pPr>
        <w:pStyle w:val="TextoNormal"/>
      </w:pPr>
      <w:r w:rsidRPr="00CF03FA">
        <w:rPr>
          <w:rStyle w:val="NumeroAFNegritaCaracter"/>
        </w:rPr>
        <w:t>5</w:t>
      </w:r>
      <w:r>
        <w:t>. La representación procesal del demandante realizó sus alegaciones en la presente pieza de suspensión mediante escrito registrado el día 6 de marzo de 2008. En la mismas el demandante se limita a ratificar la petición de suspensión por los argumentos expuestos en las alegaciones de la propia demanda de amparo, y porque de no llevarse a efecto se produciría un claro perjuicio al demandante.</w:t>
      </w:r>
    </w:p>
    <w:p w:rsidR="00CF03FA" w:rsidRDefault="00CF03FA" w:rsidP="00CF03FA">
      <w:pPr>
        <w:pStyle w:val="TextoNormal"/>
      </w:pPr>
    </w:p>
    <w:p w:rsidR="00CF03FA" w:rsidRDefault="00CF03FA" w:rsidP="00CF03FA">
      <w:pPr>
        <w:pStyle w:val="TextoNormal"/>
      </w:pPr>
      <w:r w:rsidRPr="00CF03FA">
        <w:rPr>
          <w:rStyle w:val="NumeroAFNegritaCaracter"/>
        </w:rPr>
        <w:t>6</w:t>
      </w:r>
      <w:r>
        <w:t>. Consta en las actuaciones que en la causa penal recayó Sentencia de fecha 16 de febrero de 2006, dictada por la Sección Tercera de la Audiencia Provincial de Madrid, condenando al demandante de amparo como autor responsable de un delito de robo con violencia, un delito de detención ilegal, un delito de agresión sexual agravado por la especial vulnerabilidad de la víctima y una falta de lesiones, con la concurrencia en los dos primeros delitos de las circunstancias agravantes de abuso de superioridad y abuso de confianza, a las penas de prisión de cuatro años y seis meses por el delito de robo, prisión de cinco años y seis meses por el delito de detención ilegal, prisión de doce años por el delito de agresión sexual y multa de dos meses con una cuota diaria de 6 euros por la falta de lesiones, accesorias, indemnización y costas. Interpuesto recurso de casación para ante la Sala de lo Penal del Tribunal Supremo, se dictó Sentencia de fecha 15 de marzo de 2007 declarando no haber lugar al mismo. El recurso fue formalizado por tres motivos: en el primero de ellos se denunció infracción de ley por aplicación indebida del art. 28 CP al haber sido condenado como cooperador necesario del delito de agresión sexual. En el segundo motivo se denunció la indebida aplicación de los arts. 15, 16 y 62 CP, pues entiende que el Tribunal omite pronunciarse sobre el grado de ejecución del delito de robo con violencia. En el tercero se denunció la indebida aplicación del art. 21.6 CP, al considerar el recurrente que colaboró con la Policía facilitando datos relevantes para la identificación.</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Consta en las actuaciones que en el presente caso se celebró juicio oral y dictó Sentencia en primera instancia con el resultado reflejado en los antecedentes de esta resolución así como que, interpuesto recurso de casación, también ha sido</w:t>
      </w:r>
    </w:p>
    <w:p w:rsidR="00CF03FA" w:rsidRDefault="00CF03FA" w:rsidP="00CF03FA">
      <w:pPr>
        <w:pStyle w:val="TextoNormal"/>
      </w:pPr>
      <w:r>
        <w:t>dictada Sentencia declarando no haber lugar al mismo.</w:t>
      </w:r>
    </w:p>
    <w:p w:rsidR="00CF03FA" w:rsidRDefault="00CF03FA" w:rsidP="00CF03FA">
      <w:pPr>
        <w:pStyle w:val="TextoNormal"/>
      </w:pPr>
      <w:r>
        <w:t>Hemos sostenido en anteriores ocasiones (AATC 61/1996, de 11 de marzo; 205/1997, de 4 de junio, FJ 2; 375/1997, de 24 de noviembre; 193/2000 de 24 de julio; 308/2000, 18 de noviembre; 213/2004, de 2 de junio, y 257/2005, de 20 de junio) que la ejecución de la resolución cuya suspensión se solicita conlleva la pérdida de objeto de la solicitud de suspensión haciendo improcedente cualquier decisión al respecto.</w:t>
      </w:r>
    </w:p>
    <w:p w:rsidR="00CF03FA" w:rsidRDefault="00CF03FA" w:rsidP="00CF03FA">
      <w:pPr>
        <w:pStyle w:val="TextoNormal"/>
      </w:pPr>
      <w:r>
        <w:t>En este caso, la suspensión solicitada era la del propio curso del procedimiento, al considerar que en otro caso se habría perdido la finalidad del recurso, es decir, la de la adecuada defensa en la instrucción del proceso y, posteriormente, en la fase de calificación y proposición de prueba para el juicio oral. Habiéndose celebrado dicho juicio y recaído Sentencia tanto en la primera instancia como en el ulterior recurso de casación, es claro que la solicitud de suspensión aquí formulada ha perdido objeto, por lo que procede el archivo de la presente pieza de suspensión.</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lastRenderedPageBreak/>
        <w:t>ACUERDA</w:t>
      </w:r>
    </w:p>
    <w:p w:rsidR="00CF03FA" w:rsidRDefault="00CF03FA" w:rsidP="00CF03FA">
      <w:pPr>
        <w:pStyle w:val="TextoNormalCentrado"/>
      </w:pPr>
    </w:p>
    <w:p w:rsidR="00CF03FA" w:rsidRDefault="00CF03FA" w:rsidP="00CF03FA">
      <w:pPr>
        <w:pStyle w:val="TextoNormal"/>
      </w:pPr>
      <w:r>
        <w:t>Archivar las actuaciones del presente incidente de suspensión por pérdida de objeto.</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2" w:name="AUTO_2008_111"/>
      <w:r>
        <w:lastRenderedPageBreak/>
        <w:t>AUTO 111/2008, de 14 de abril de 2008</w:t>
      </w:r>
    </w:p>
    <w:bookmarkEnd w:id="172"/>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ECLI:ES:TC:2008:111A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don Ramón Rodríguez Arribas y don Pascual Sala Sánchez.</w:t>
      </w:r>
    </w:p>
    <w:p w:rsidR="00CF03FA" w:rsidRDefault="00CF03FA" w:rsidP="00CF03FA">
      <w:pPr>
        <w:pStyle w:val="SntesisDescriptiva"/>
      </w:pPr>
    </w:p>
    <w:p w:rsidR="00CF03FA" w:rsidRDefault="00CF03FA" w:rsidP="00CF03FA">
      <w:pPr>
        <w:pStyle w:val="SntesisDescriptiva"/>
      </w:pPr>
      <w:r>
        <w:t>Acuerda la suspensión parcial en el recurso de amparo 8056-2005, promovido por don Manuel Martos Leal en causa por delito de violencia doméstica.</w:t>
      </w:r>
    </w:p>
    <w:p w:rsidR="00CF03FA" w:rsidRDefault="00CF03FA" w:rsidP="00CF03FA">
      <w:pPr>
        <w:pStyle w:val="SntesisDescriptiva"/>
      </w:pPr>
    </w:p>
    <w:p w:rsidR="00CF03FA" w:rsidRDefault="00CF03FA" w:rsidP="00CF03FA">
      <w:pPr>
        <w:pStyle w:val="SntesisAnaltica"/>
      </w:pPr>
      <w:r>
        <w:t>Suspensión cautelar de sentencias penales: arresto de fin de semana, inhabilitación especial del derecho de sufragio pasivo y prisión de dos años, suspende; indemnización, prohibición de aproximación a la víctima y tenencia y uso de armas,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presentado en el Registro General de este Tribunal el día 14 de noviembre de 2005 el Procurador de los Tribunales don Pedro Antonio González Sánchez, en representación de don Manuel Martos Leal, interpuso recurso de amparo contra la Sentencia de la Audiencia Provincial de Córdoba de 6 de octubre de 2005 recaída en el rollo de apelación 270-2005, que revoca la absolución acordada por la Sentencia de 19 de mayo de 2005 dictada por el Juzgado de lo Penal núm. 1 de Córdoba en procedimiento abreviado 50-2004, condenando por delito de maltrato habitual del artículo 173.2 CP a una pena de dos años de prisión, privación del derecho a tenencia de armas por tres años y prohibición de aproximación, comunicación o acercamiento a su ex esposa, su domicilio o su lugar de trabajo por tiempo de cuatro años; y por una falta de amenazas y otra de vejaciones a la pena de arresto de cuatro fines de semana por cada una de ellas. Se le condenó también a una indemnización de 6.000 euros en concepto de responsabilidad civil.</w:t>
      </w:r>
    </w:p>
    <w:p w:rsidR="00CF03FA" w:rsidRDefault="00CF03FA" w:rsidP="00CF03FA">
      <w:pPr>
        <w:pStyle w:val="TextoNormal"/>
      </w:pPr>
    </w:p>
    <w:p w:rsidR="00CF03FA" w:rsidRDefault="00CF03FA" w:rsidP="00CF03FA">
      <w:pPr>
        <w:pStyle w:val="TextoNormal"/>
      </w:pPr>
      <w:r w:rsidRPr="00CF03FA">
        <w:rPr>
          <w:rStyle w:val="NumeroAFNegritaCaracter"/>
        </w:rPr>
        <w:t>2</w:t>
      </w:r>
      <w:r>
        <w:t>. La Sala Segunda de este Tribunal, por providencia de 26 de febrero de 2008,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CF03FA" w:rsidRDefault="00CF03FA" w:rsidP="00CF03FA">
      <w:pPr>
        <w:pStyle w:val="TextoNormal"/>
      </w:pPr>
    </w:p>
    <w:p w:rsidR="00CF03FA" w:rsidRDefault="00CF03FA" w:rsidP="00CF03FA">
      <w:pPr>
        <w:pStyle w:val="TextoNormal"/>
      </w:pPr>
      <w:r w:rsidRPr="00CF03FA">
        <w:rPr>
          <w:rStyle w:val="NumeroAFNegritaCaracter"/>
        </w:rPr>
        <w:t>3</w:t>
      </w:r>
      <w:r>
        <w:t>.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4</w:t>
      </w:r>
      <w:r>
        <w:t>. El Ministerio Fiscal evacuó el trámite de alegaciones conferido mediante escrito presentado en el Registro general de este Tribunal el 7 de marzo de 2008, en el que interesó la suspensión de las penas privativa de libertad de prisión y de arresto de fin de semana, considerando que, con arreglo a la doctrina de este Tribunal, no debían suspenderse el pronunciamiento relativo a la responsabilidad civil ni tampoco la privación del derecho a la tenencia de armas y la medida de alejamiento. Respecto de estas últimas manifiesta que, de una parte, el recurrente no ha acreditado los perjuicios derivados de la no suspensión de tales penas, ni si resultarían en modo alguno irreparables. De otra parte, enfatizando el carácter excepcional y de aplicación restrictiva de la suspensión, considera que, aun cuando hayan de considerarse penas accesorias a la privativa de libertad, ello no justificaría la suspensión, ni está aconsejada ésta al ser medidas orientadas a la protección de la víctima que al mismo tiempo no conllevan un grave perjuicio para el recurrente.</w:t>
      </w:r>
    </w:p>
    <w:p w:rsidR="00CF03FA" w:rsidRDefault="00CF03FA" w:rsidP="00CF03FA">
      <w:pPr>
        <w:pStyle w:val="TextoNormal"/>
      </w:pPr>
    </w:p>
    <w:p w:rsidR="00CF03FA" w:rsidRDefault="00CF03FA" w:rsidP="00CF03FA">
      <w:pPr>
        <w:pStyle w:val="TextoNormal"/>
      </w:pPr>
      <w:r w:rsidRPr="00CF03FA">
        <w:rPr>
          <w:rStyle w:val="NumeroAFNegritaCaracter"/>
        </w:rPr>
        <w:t>5</w:t>
      </w:r>
      <w:r>
        <w:t>. La representación procesal del demandante de amparo evacuó el trámite de alegaciones conferido mediante escrito presentado en el Registro General de este Tribunal el día 5 de marzo de 2008, en el que reiteró la petición de suspensión de la Sentencia recurrida, afirmando que de lo contrario se le causaría un grave perjuicio que haría perder la finalidad del amparo.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F03FA" w:rsidRDefault="00CF03FA" w:rsidP="00CF03FA">
      <w:pPr>
        <w:pStyle w:val="TextoNormal"/>
      </w:pPr>
      <w:r>
        <w:t>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CF03FA" w:rsidRDefault="00CF03FA" w:rsidP="00CF03FA">
      <w:pPr>
        <w:pStyle w:val="TextoNormal"/>
      </w:pPr>
      <w:r>
        <w:t xml:space="preserve">Por lo tanto, como regla general, la admisión de un recurso de amparo no suspende la ejecución de los actos recurridos, dada la presunción de legitimidad que alcanza a todas las actuaciones de los Poderes públicos, si bien, dado el carácter cautelar de la suspensión, debe ponderarse la concurrencia de los requisitos establecidos para su adopción atendiendo en primer lugar a determinar su presupuesto: esto es, que en caso de no adoptarse se ocasionará </w:t>
      </w:r>
      <w:r>
        <w:lastRenderedPageBreak/>
        <w:t>al actor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a su vez la lesión de un derecho fundamental, siendo el potencial perjudicado quien ha de justificar el eventual perjuicio.</w:t>
      </w:r>
    </w:p>
    <w:p w:rsidR="00CF03FA" w:rsidRDefault="00CF03FA" w:rsidP="00CF03FA">
      <w:pPr>
        <w:pStyle w:val="TextoNormal"/>
      </w:pPr>
    </w:p>
    <w:p w:rsidR="00CF03FA" w:rsidRDefault="00CF03FA" w:rsidP="00CF03FA">
      <w:pPr>
        <w:pStyle w:val="TextoNormal"/>
      </w:pPr>
      <w:r w:rsidRPr="00CF03FA">
        <w:rPr>
          <w:rStyle w:val="NumeroAFNegritaCaracter"/>
        </w:rPr>
        <w:t>2</w:t>
      </w:r>
      <w:r>
        <w:t>. Expuesta esta doctrina general hemos de examinar las circunstancias particulares del presente caso, en que se solicita por el demandante de amparo la suspensión respecto de los pronunciamientos condenatorios de la Sentencia recurrida, si bien de la lectura tanto de la demanda de amparo como del posterior escrito presentado en la pieza del incidente de suspensión, parece ceñir su petición a la pena privativa de libertad de dos años de prisión. En cualquier caso, resulta procedente pronunciarse sobre el conjunto de los pronunciamientos de la Sentencia impugnada.</w:t>
      </w:r>
    </w:p>
    <w:p w:rsidR="00CF03FA" w:rsidRDefault="00CF03FA" w:rsidP="00CF03FA">
      <w:pPr>
        <w:pStyle w:val="TextoNormal"/>
      </w:pPr>
    </w:p>
    <w:p w:rsidR="00CF03FA" w:rsidRDefault="00CF03FA" w:rsidP="00CF03FA">
      <w:pPr>
        <w:pStyle w:val="TextoNormal"/>
      </w:pPr>
      <w:r w:rsidRPr="00CF03FA">
        <w:rPr>
          <w:rStyle w:val="NumeroAFNegritaCaracter"/>
        </w:rPr>
        <w:t>3</w:t>
      </w:r>
      <w:r>
        <w:t>. Respecto de ésta, y de las dos penas de arresto de cuatro fines de semana, resulta de plena aplicación al supuesto examinado la doctrina general y reiterada de este Tribunal de que la ejecución de las penas privativas de libertad puede ocasionar al recurrente perjuicios irreparables que harían perder al amparo su finalidad, porque la pérdida de la libertad es irreparable y no puede restituirse (AATC 98/1983, 179/1984, 574/1985, 301/1995, 321/1995, 152/1996, 163/1996 y otros muchos). En su virtud procede, sin más, y en consonancia con lo solicitado por el Ministerio Fiscal, estimar la pretensión de suspensión de la Sentencia en cuanto al cumplimiento de las citadas penas privativas de libertad impuestas al recurrente.</w:t>
      </w:r>
    </w:p>
    <w:p w:rsidR="00CF03FA" w:rsidRDefault="00CF03FA" w:rsidP="00CF03FA">
      <w:pPr>
        <w:pStyle w:val="TextoNormal"/>
      </w:pPr>
    </w:p>
    <w:p w:rsidR="00CF03FA" w:rsidRDefault="00CF03FA" w:rsidP="00CF03FA">
      <w:pPr>
        <w:pStyle w:val="TextoNormal"/>
      </w:pPr>
      <w:r w:rsidRPr="00CF03FA">
        <w:rPr>
          <w:rStyle w:val="NumeroAFNegritaCaracter"/>
        </w:rPr>
        <w:t>4</w:t>
      </w:r>
      <w:r>
        <w:t>. En cuanto a la prohibición de aproximación, comunicación o acercamiento a su ex esposa, y a la privación del derecho y porte de armas, debe matizarse el criterio antes expuesto de irreparabilidad del perjuicio derivado de la pérdida o restricción de libertad, no sólo porque en este caso no tiene el mismo alcance que la pena de prisión, sino también atendiendo al bien jurídico protegido de evitar la posible desprotección de las víctimas, circunstancias que han sido tomadas en cuenta por este Tribunal para atemperar aquél criterio (AATC 4/2005, de 17 de enero; 247/2003, de 14 de julio, 53/2003, de 10 de febrero). Así, en el citado ATC 53/2003, hemos fundado tal conclusión en que “la imposición en la Sentencia de la pena de alejamiento de la víctima tiene por objeto proteger la integridad física de aquélla —que constituye, asimismo, un derecho fundamental— frente a eventuales nuevos ataques, y que la restricción de la libertad ambulatoria del actor a dicha pena es mínima”. Por tanto no procede la estimación de la suspensión de la pena de alejamiento, ni de la prohibición de tenencia de armas, a la que pueden hacerse extensivos los anteriores razonamientos.</w:t>
      </w:r>
    </w:p>
    <w:p w:rsidR="00CF03FA" w:rsidRDefault="00CF03FA" w:rsidP="00CF03FA">
      <w:pPr>
        <w:pStyle w:val="TextoNormal"/>
      </w:pPr>
    </w:p>
    <w:p w:rsidR="00CF03FA" w:rsidRDefault="00CF03FA" w:rsidP="00CF03FA">
      <w:pPr>
        <w:pStyle w:val="TextoNormal"/>
      </w:pPr>
      <w:r w:rsidRPr="00CF03FA">
        <w:rPr>
          <w:rStyle w:val="NumeroAFNegritaCaracter"/>
        </w:rPr>
        <w:t>5</w:t>
      </w:r>
      <w:r>
        <w:t>. Por último, en relación con la indemnización civil, este Tribunal viene manteniendo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Conceder la suspensión solicitada en lo que se refiere a la pena privativa de libertad de dos años de prisión y a su accesoria legal de inhabilitación del derecho de sufragio pasivo. Denegando la suspensión de los restantes pronunciamientos.</w:t>
      </w:r>
    </w:p>
    <w:p w:rsidR="00CF03FA" w:rsidRDefault="00CF03FA" w:rsidP="00CF03FA">
      <w:pPr>
        <w:pStyle w:val="TextoNormal"/>
      </w:pPr>
    </w:p>
    <w:p w:rsidR="00CF03FA" w:rsidRDefault="00CF03FA" w:rsidP="00CF03FA">
      <w:pPr>
        <w:pStyle w:val="TextoNormal"/>
      </w:pPr>
      <w:r>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3" w:name="AUTO_2008_112"/>
      <w:r>
        <w:lastRenderedPageBreak/>
        <w:t>AUTO 112/2008, de 14 de abril de 2008</w:t>
      </w:r>
    </w:p>
    <w:bookmarkEnd w:id="173"/>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ECLI:ES:TC:2008:112A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Inadmite a trámite el recurso de amparo 5911-2006, promovido por doña Eumelia de la Cruz Morales y otro en contencioso sobre reconocimiento de trienios.</w:t>
      </w:r>
    </w:p>
    <w:p w:rsidR="00CF03FA" w:rsidRDefault="00CF03FA" w:rsidP="00CF03FA">
      <w:pPr>
        <w:pStyle w:val="SntesisDescriptiva"/>
      </w:pPr>
    </w:p>
    <w:p w:rsidR="00CF03FA" w:rsidRDefault="00CF03FA" w:rsidP="00CF03FA">
      <w:pPr>
        <w:pStyle w:val="SntesisAnaltica"/>
      </w:pPr>
      <w:r>
        <w:t>Igualdad en la ley: funcionarios interinos, respetado. Principio de igualdad: diferencias salariales. Inadmisión de recurso de amparo: carencia de contenido que justifique una decisión sobre el fondo del asunto.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31 de mayo de 2004, doña Eumelia de la Cruz Morales y don Luis Miguel Solano González, representados por la Procuradora de los Tribunales doña Isabel Cañedo Vega y asistidos por el Letrado don Carlos Slepoy Prada, interpusieron recurso de amparo contra la Sentencia número 211/2006 de la Sección Tercera de la Sala de lo Contencioso-Administrativo del Tribunal Superior de Justicia de Madrid, de fecha 24 de abril de 2006 y recaída en el recurso de apelación 683-2005, seguido contra Sentencia del Juzgado de lo Contencioso-Administrativo núm. 15 de Madrid de 10 de junio de 2005, en el procedimiento abreviado núm. 327-2004.</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relevantes para el enjuiciamiento del presente recurso de amparo son, en esencia, los siguientes: </w:t>
      </w:r>
    </w:p>
    <w:p w:rsidR="00CF03FA" w:rsidRDefault="00CF03FA" w:rsidP="00CF03FA">
      <w:pPr>
        <w:pStyle w:val="TextoNormal"/>
      </w:pPr>
      <w:r>
        <w:t xml:space="preserve">a) Mediante decisión de fecha 25 de mayo de 2004, adoptada por el Director General de Recursos Humanos de la Consejería de Educación de la Comunidad de Madrid, fue desestimado el recurso de alzada que había sido interpuesto el 7 de enero de 2004 contra la denegación de reconocimiento del derecho a la percepción de trienios a los recurrentes en amparo, doña. Eumelia de la Cruz Morales y don Luis Miguel Solano González, quienes en unión de otros interesados y en su condición de funcionarios interinos así lo habían solicitado. </w:t>
      </w:r>
    </w:p>
    <w:p w:rsidR="00CF03FA" w:rsidRDefault="00CF03FA" w:rsidP="00CF03FA">
      <w:pPr>
        <w:pStyle w:val="TextoNormal"/>
      </w:pPr>
      <w:r>
        <w:t xml:space="preserve">b) Contra dicha Resolución, los interesados interpusieron recurso contencioso-administrativo dando lugar a la incoación del procedimiento abreviado núm. 327-2004 seguido ante el Juzgado de lo Contencioso-Administrativo núm. 15 de Madrid. En la demanda formulada se invocó la existencia de infracción al principio de igualdad del art.14 CE., argumentando que la no percepción de trienios por los funcionarios interinos constituye una ilícita diferencia de trato ante situaciones idénticas y que la Ley de funcionarios civiles de 1964 no excluía a los funcionarios de empleo interino del reconocimiento del cobro de trienios. </w:t>
      </w:r>
    </w:p>
    <w:p w:rsidR="00CF03FA" w:rsidRDefault="00CF03FA" w:rsidP="00CF03FA">
      <w:pPr>
        <w:pStyle w:val="TextoNormal"/>
      </w:pPr>
      <w:r>
        <w:lastRenderedPageBreak/>
        <w:t xml:space="preserve">c) Con fecha 10 de junio de 2005, el órgano judicial reseñado dictó Sentencia desestimando el recurso y estimando conforme a Derecho la resolución recurrida. El FJ 5 de esta Sentencia expresa que “no se puede hablar de vulneración del Art. 14 CE dado que la situación en la prestación de los servicios es distinta en uno y otro colectivo; y tampoco, por la misma razón, se puede hablar de inconstitucionalidad de las leyes en la medida en que, sólo con el acceso a la Función pública, después de haber acreditado los méritos exigidos para ello a través de los distintos sistemas de provisión, se adquiere la plenitud de los derechos económicos que les son reconocidos”. Y añade que la “[s]ituación de los interinos, que no queda del todo en el olvido o desasistida, y que por lo tanto no genera discriminación, desde el momento en que también, si finalmente llegan a acceder a la Función pública, si así les interesa, verán reconocidos los servicios que antes prestaron a la Administración”. </w:t>
      </w:r>
    </w:p>
    <w:p w:rsidR="00CF03FA" w:rsidRDefault="00CF03FA" w:rsidP="00CF03FA">
      <w:pPr>
        <w:pStyle w:val="TextoNormal"/>
      </w:pPr>
      <w:r>
        <w:t xml:space="preserve">d) Contra la anterior Sentencia los interesados interpusieron recurso de apelación que fue seguido con el núm. 683-2005 ante la Sección Tercera de la Sala de lo Contencioso-Administrativo del Tribunal Superior de Justicia de Madrid. En el mismo los recurrentes, volvieron a solicitar que se les reconociera el derecho a percibir el complemento salarial por trienios de antigüedad, o subsidiariamente que se plantease cuestión de constitucionalidad por vulneración del derecho de igualdad proclamado en el art. 14 CE. </w:t>
      </w:r>
    </w:p>
    <w:p w:rsidR="00CF03FA" w:rsidRDefault="00CF03FA" w:rsidP="00CF03FA">
      <w:pPr>
        <w:pStyle w:val="TextoNormal"/>
      </w:pPr>
      <w:r>
        <w:t xml:space="preserve">Mediante Sentencia de 24 de abril de 2006 el recurso de apelación fue desestimado. El FJ 2 de la misma expresa en relación con las alegaciones de los recurrentes que “[p]ara poder apreciar la existencia de ese trato discriminatorio injustificado, es imprescindible: 1) Que el recurrente ofrezca un término de comparación idéntico, no simplemente semejante o análogo. 2) Que la desigualdad de trato o consecuencia jurídica, de existir justificadamente, no sea desproporcionada. 3) Que esa desigualdad de rato carece de una justificación objetiva y razonable. 4) Que siempre y en todo caso la actuación administrativa ofrecida como término de comparación, sea lealmente irreprochable...” </w:t>
      </w:r>
    </w:p>
    <w:p w:rsidR="00CF03FA" w:rsidRDefault="00CF03FA" w:rsidP="00CF03FA">
      <w:pPr>
        <w:pStyle w:val="TextoNormal"/>
      </w:pPr>
      <w:r>
        <w:t xml:space="preserve">Pues bien, en relación con estos requisitos, considera que el término de comparación aportado por los recurrentes no es idéntico, basándose para ello en la distinta naturaleza jurídica de la situación de los funcionarios de carrera y de los interinos, apoyándose en la jurisprudencia al respecto del Tribunal Supremo, así como en anteriores Sentencias de la propia Sala de lo Contencioso-Administrativo, de 12 de julio de 1988 y 7 de enero de 1990. </w:t>
      </w:r>
    </w:p>
    <w:p w:rsidR="00CF03FA" w:rsidRDefault="00CF03FA" w:rsidP="00CF03FA">
      <w:pPr>
        <w:pStyle w:val="TextoNormal"/>
      </w:pPr>
      <w:r>
        <w:t xml:space="preserve">Recuerda en el mismo FJ 2 “que las diferencias entre quienes son funcionarios de carrera y quienes no lo son, encuentran su razón de ser […] en el ámbito del sistema de selección, acceso, traslados, procedimiento organizativo interino, régimen de permanencia, etc.”Y considera que el funcionario interino es una especie funcionarial diferenciada sustancialmente del funcionario de carrera, caracterizada por su naturaleza jurídica temporal y precaria, y por conexión con dicho rasgo esencial, con un régimen jurídico diferenciable, tal y como establece el artículo 105 del Decreto 315/l964, de 7 de febrero. Deduce que los funcionarios interinos tienen un régimen estatutario propio, que incide necesariamente en el marco de sus derechos, en su régimen retributivo y, por ello, según la legislación vigente los funcionarios interinos no tienen derecho a percibir trienios. </w:t>
      </w:r>
    </w:p>
    <w:p w:rsidR="00CF03FA" w:rsidRDefault="00CF03FA" w:rsidP="00CF03FA">
      <w:pPr>
        <w:pStyle w:val="TextoNormal"/>
      </w:pPr>
      <w:r>
        <w:t xml:space="preserve">Entiende el Tribunal Superior de Justicia que el elemento de diferenciación tiene entidad suficiente para dar lugar a una valoración diferenciada de situaciones y regularlas distintamente mediante un trato desigual, cumpliéndose el principio de igualdad jurídica y la doctrina general que sobre el principio de igualdad mantiene el Tribunal Constitucional. Concluye observando que la conculcación del principio de igualdad, exige la previa demostración de que ante situaciones idénticas, comparativamente hablando, la solución normativa o la aplicación de la norma por la Administración son diferentes, sin que existan razones </w:t>
      </w:r>
      <w:r>
        <w:lastRenderedPageBreak/>
        <w:t>objetivas para el distinto tratamiento, lo que no ocurre en el supuesto debatido, al no existir identidad entre funcionarios de carrera e interinos.</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La representación procesal de los ahora recurrentes dirige su recurso ante este Tribunal, tal y como resulta del encabezamiento y del suplico de la demanda de amparo, contra las citadas resoluciones, indicando que las mismas vulneran el derecho a la igualdad proclamado en art. 14 CE, por resultar insostenible la diferencia de trato en materia retributiva —en concreto con relación al complemento salarial por trienio devengado— que reciben los profesores que son funcionarios interinos respecto de aquellos que son funcionarios de carrera, pues ambos prestan idénticos servicios docentes, en idénticos períodos de tiempo y para idéntica empleadora, con la única diferencia del período vacacional en el que son despedidos para volver a ser contratados en el siguiente período lectivo. Añaden que en el caso de los actores cuya situación de interinidad se “cronifica”, adquiriendo el carácter de “interinidad estable” deberían tener los mismos derechos que los funcionarios. </w:t>
      </w:r>
    </w:p>
    <w:p w:rsidR="00CF03FA" w:rsidRDefault="00CF03FA" w:rsidP="00CF03FA">
      <w:pPr>
        <w:pStyle w:val="TextoNormal"/>
      </w:pPr>
      <w:r>
        <w:t xml:space="preserve">En opinión de los recurrentes, sólo se encontraría racionalidad y justificación a la diferencia de trato ignorándose que la figura del funcionario interino encuentra su razón de ser en necesidades eventuales o urgentes de la Administración. Si el funcionario interino permanece durante años en el ejercicio de sus funciones es de toda evidencia que se desnaturaliza el motivo por el que fue contratado y se produce una situación agraviante y peyorativa para el mismo al serle desconocidos derechos que, de acuerdo a la naturaleza de sus funciones, deberían serles reconocidos y ese es el caso de los actores demandantes de amparo, que afirman contar con 13 años, 6 meses y 18 días de servicio, en el supuesto de doña Eumelia de la Cruz Morales, y con 4 años, 6 meses y 16 días, en el supuesto de Miguel Solano González. </w:t>
      </w:r>
    </w:p>
    <w:p w:rsidR="00CF03FA" w:rsidRDefault="00CF03FA" w:rsidP="00CF03FA">
      <w:pPr>
        <w:pStyle w:val="TextoNormal"/>
      </w:pPr>
      <w:r>
        <w:t>En apoyo de su pretensión los demandantes de amparo citan una Sentencia dictada por el Juzgado de lo Contencioso-Administrativo núm. 2 de Granada, de fecha 19 de septiembre de 2003, que, a su vez utiliza la cita de la STC de 24 de julio de 2000, recaída en un supuesto de excedencia para el cuidado de hijos solicitada por una funcionaria interina. Asimismo se refieren a Acuerdos Administración-Sindicatos orientados en dirección a la equiparación en este concepto retributivo y denuncia supuestas prácticas de perpetuación de situaciones de interinidad que provocan un “enriquecimiento injusto de la Administración”.</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Cuarta de este Tribunal de 17 de diciembre de 2007, se acordó, a tenor de lo dispuesto en el art. 50.3 LOTC, conceder un plazo común de diez días al Ministerio Fiscal y a la parte solicitante de amparo para que formulasen, con las aportaciones documentales que procedieren, las alegaciones que estimaren pertinentes en relación con lo dispuesto en el art. 50.1 LOTC.</w:t>
      </w:r>
    </w:p>
    <w:p w:rsidR="00CF03FA" w:rsidRDefault="00CF03FA" w:rsidP="00CF03FA">
      <w:pPr>
        <w:pStyle w:val="TextoNormal"/>
      </w:pPr>
    </w:p>
    <w:p w:rsidR="00CF03FA" w:rsidRDefault="00CF03FA" w:rsidP="00CF03FA">
      <w:pPr>
        <w:pStyle w:val="TextoNormal"/>
      </w:pPr>
      <w:r w:rsidRPr="00CF03FA">
        <w:rPr>
          <w:rStyle w:val="NumeroAFNegritaCaracter"/>
        </w:rPr>
        <w:t>5</w:t>
      </w:r>
      <w:r>
        <w:t>. La parte recurrente, mediante escrito registrado en este Tribunal Constitucional el 14 de enero de 2008 dio por reproducidos los fundamentos fácticos, legales y constitucionales contenidos en su demanda de amparo y añadió que la discriminación denunciada había sido eliminada de nuestro ordenamiento con la aprobación de la Ley 7/2007, de 12 de abril, el estatuto del empleado público (BOE de 14 de abril de 2007), si bien sus efectos sólo se proyectan hacia el futuro, de modo que no había reparado la desigualdad de trato que se había producido a los demandantes de amparo. Concluyen los recurrentes que la igualdad de trato que hoy reconoce el legislador no constituye una opción del legislador, sino una obligación derivada del respeto a los derechos fundamentales recogidos en la Constitución.</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Fiscal presentó sus alegaciones mediante escrito registrado en este Tribunal el 24 de enero de 2008, en el que interesa que este Tribunal dicte Auto mediante el que se acuerde la inadmisión a trámite de la demanda por falta de contenido constitucional. En apoyo de esta conclusión, y tras hacer un repaso de los antecedentes fácticos del presente proceso constitucional y de los motivos de amparo alegados en la demanda de amparo, el Ministerio público, considera que la respuesta del Tribunal debe partir de la doctrina constitucional elaborada respecto de la vulneración del art. 14 CE, para evidenciar la falta de contenido constitucional, citando para ello las SSTC 214/2006, de 3 de julio, FFJJ 2 y 3; y 253/2004, de 22 de diciembre, FJ 5. </w:t>
      </w:r>
    </w:p>
    <w:p w:rsidR="00CF03FA" w:rsidRDefault="00CF03FA" w:rsidP="00CF03FA">
      <w:pPr>
        <w:pStyle w:val="TextoNormal"/>
      </w:pPr>
      <w:r>
        <w:t xml:space="preserve">Añade (con cita expresa de la STC 7/1984, de 18 de enero) que este Tribunal Constitucional ha venido declarando que los diversos cuerpos y categorías funcionariales al servicio de las Administraciones Públicas son estructuras creadas por el Derecho, entre las que, en principio, no puede exigirse ex art. 14 CE un absoluto tratamiento igualitario, resultando así admisible, que el legislador reconozca el disfrute de determinados derechos al personal vinculado a la Administración de forma estable, y, en cambio, lo niegue a las personas que por motivos de urgencia y necesidad lo desempeñen de forma provisional en tanto no se provean las plazas así cubiertas por funcionarios de carrera, pues el interés público de la prestación urgente del servicio puede, en hipótesis, justificar un trato diferenciado entre el personal estable e interino al servicio de la Administración. </w:t>
      </w:r>
    </w:p>
    <w:p w:rsidR="00CF03FA" w:rsidRDefault="00CF03FA" w:rsidP="00CF03FA">
      <w:pPr>
        <w:pStyle w:val="TextoNormal"/>
      </w:pPr>
      <w:r>
        <w:t xml:space="preserve">Observa que el Tribunal Constitucional ha admitido en algunas ocasiones, relacionadas con interinidades de larga duración, que no existía justificación para dispensar un trato diferenciado, pero cuando lo ha hecho (STC 240/1999, de 20 de diciembre o STC 203/2000, de 24 de julio —denegación de la excedencia para el cuidado de hijos—) ha sido estando implicado un interés constitucional especialmente relevante en relación con la igualdad, concretamente, la protección de la familia y la no discriminación por razón del sexo, y en ambos casos dejando claro que con ello no se trataba de afirmar, “que ante situaciones de interinidad de larga duración las diferencias de trato resulten en todo caso injustificadas desde la perspectiva del art. 14 CE, sino de destacar que pueden serlo en atención a las circunstancias del caso y, muy especialmente, a la transcendencia constitucional del derecho que recibe un tratamiento desigual” (SSTC 240/1999, FJ 4 y 203/2000, FJ3 in fine). </w:t>
      </w:r>
    </w:p>
    <w:p w:rsidR="00CF03FA" w:rsidRDefault="00CF03FA" w:rsidP="00CF03FA">
      <w:pPr>
        <w:pStyle w:val="TextoNormal"/>
      </w:pPr>
      <w:r>
        <w:t xml:space="preserve">El Ministerio público asume la tesis expresada en las Sentencias recurridas y afirma que, en este caso, estamos ante un trato diferenciado en materia de retribuciones en el que no se advierte la utilización de criterios arbitrarios, irracionales, artificiosos e injustificados sino que el tratamiento desigual entre funcionarios públicos de carrera e interinos está justificado por la distinta naturaleza de su vinculación a la Administración. Conforme a sus rasgos distintivos el art. 105 de la Ley de funcionarios civiles del Estado ya estableció la habilitación de un trato diferente en lo que afecta a cuestiones retributivas y esta diferenciación tiene una justificación objetiva y razonable. El fin a que responden es legítimo y, por lo demás, la trascendencia del derecho implicado no exige una reprobación constitucional, ni del criterio diferenciador del legislador en la concreta opción legislativa vigente al tiempo de la formulación de la reclamación de origen, ni de la aplicación del derecho por los órganos judiciales en esta concreta materia conforme a la normativa en vigor. </w:t>
      </w:r>
    </w:p>
    <w:p w:rsidR="00CF03FA" w:rsidRDefault="00CF03FA" w:rsidP="00CF03FA">
      <w:pPr>
        <w:pStyle w:val="TextoNormal"/>
      </w:pPr>
      <w:r>
        <w:t xml:space="preserve">Termina observando el Fiscal que el cambio operado en materia de retribuciones de los funcionarios en virtud del art. 25 de la Ley 7/2007, del estatuto básico del empleado público, que reconoce el derecho de percepción por los funcionarios interinos de trienios, no altera el estado de la cuestión y que del mismo nada cabe extraer en orden a afirmar que la anterior </w:t>
      </w:r>
      <w:r>
        <w:lastRenderedPageBreak/>
        <w:t>diferenciación carecía de justificación objetiva y razonable o era desproporcionada y que, por ello, infringía el principio de igualdad del art. 14 CE.</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La parte procesal recurrente en amparo interpone su recurso de amparo contra la Sentencia del Juzgado de lo Contencioso-Administrativo núm. 15 de Madrid de 10 de junio de 2005, en el procedimiento abreviado núm. 327-2004 —que desestimó el recurso contencioso-administrativo formulado por los recurrentes, considerando que la decisión adoptada por el Director General de Recursos Humanos de la Consejería de Educación de la Comunidad de Madrid de 25 de mayo de 2004 era conforme a derecho— y contra la Sentencia número 211/2006 de la Sección Tercera de la Sala de lo Contencioso-Administrativo del Tribunal Superior de Justicia de Madrid, de fecha 24 de abril de 2006 y recaída en el recurso de apelación 683-2005 por resultar contrarias al principio de igualdad proclamado en el art. 14 CE. Dicha vulneración se habría producido porque la denegación del derecho a percibir los trienios solicitados por los funcionarios interinos constituye una ilícita diferencia de trato respecto de los funcionarios de carrera, a pesar de encontrarse ante una situación idéntica.</w:t>
      </w:r>
    </w:p>
    <w:p w:rsidR="00CF03FA" w:rsidRDefault="00CF03FA" w:rsidP="00CF03FA">
      <w:pPr>
        <w:pStyle w:val="TextoNormal"/>
      </w:pPr>
    </w:p>
    <w:p w:rsidR="00CF03FA" w:rsidRDefault="00CF03FA" w:rsidP="00CF03FA">
      <w:pPr>
        <w:pStyle w:val="TextoNormal"/>
      </w:pPr>
      <w:r w:rsidRPr="00CF03FA">
        <w:rPr>
          <w:rStyle w:val="NumeroAFNegritaCaracter"/>
        </w:rPr>
        <w:t>2</w:t>
      </w:r>
      <w:r>
        <w:t>. El Ministerio público interesó la inadmisión del recurso por falta de contenido constitucional que justifique una decisión sobre el fondo con base en el art. 50.1 c) LOTC y no podemos hacer otra cosas que compartir las conclusiones a las que llega, y que resultan del análisis pormenorizado de la doctrina dictada hasta la fecha por este Tribunal Constitucional respecto a la situación retributiva de los funcionarios en relación con el derecho a la igualdad.</w:t>
      </w:r>
    </w:p>
    <w:p w:rsidR="00CF03FA" w:rsidRDefault="00CF03FA" w:rsidP="00CF03FA">
      <w:pPr>
        <w:pStyle w:val="TextoNormal"/>
      </w:pPr>
      <w:r>
        <w:t>En el presente caso no puede admitirse, ciertamente, que exista una violación del principio de igualdad por los órganos judiciales que no hacen más que confirmar la adecuación a derecho del acto administrativo recurrido y, en definitiva, afirman la juridicidad de la actuación administrativa denegando el derecho al abono de las correspondientes cantidades retributivas reclamadas en concepto de trienios.</w:t>
      </w:r>
    </w:p>
    <w:p w:rsidR="00CF03FA" w:rsidRDefault="00CF03FA" w:rsidP="00CF03FA">
      <w:pPr>
        <w:pStyle w:val="TextoNormal"/>
      </w:pPr>
      <w:r>
        <w:t>Constituye doctrina consolidada de este Tribunal que el juicio de igualdad es de carácter relacional (STC 200/2001, de 4 de octubre, FJ 5, por todas) y que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w:t>
      </w:r>
    </w:p>
    <w:p w:rsidR="00CF03FA" w:rsidRDefault="00CF03FA" w:rsidP="00CF03FA">
      <w:pPr>
        <w:pStyle w:val="TextoNormal"/>
      </w:pPr>
      <w:r>
        <w:t xml:space="preserve">Pues bien, hemos de remitirnos a lo manifestado en el ATC 183/2005, de 9 de mayo, FJ 3, donde con ocasión de analizar un supuesto prácticamente idéntico al planteado ahora -la denegación del derecho a la percepción de trienios por la Administración de la Comunidad de Castilla y León a los veterinarios interinos-, negamos que el término de comparación propuesto, entonces y ahora por la parte recurrente, esto es, el funcionariado de carrera fuera, en modo alguno, adecuado para poder apreciar una eventual violación del principio de igualdad, puesto que el funcionariado o “personal” interino presenta unas importantes peculiaridades con respecto al funcionariado de carrera “que hacen objetivo y razonable un </w:t>
      </w:r>
      <w:r>
        <w:lastRenderedPageBreak/>
        <w:t>tratamiento diferenciado en materia retributiva entre una y otra categoría de personal al servicio de la Administración” y “ello tanto más en un tipo específico de concepto retributivo esencialmente ligado a la propia carrera funcionarial como es el referido a los trienios”.</w:t>
      </w:r>
    </w:p>
    <w:p w:rsidR="00CF03FA" w:rsidRDefault="00CF03FA" w:rsidP="00CF03FA">
      <w:pPr>
        <w:pStyle w:val="TextoNormal"/>
      </w:pPr>
      <w:r>
        <w:t>Este Tribunal Constitucional desde sus más tempranos pronunciamientos (STC 7/1984, de 25 de enero y más tarde en la STC 9/1995, de 16 de enero, FJ 3) cuando ha examinado la igualdad o desigualdad entre estructuras funcionariales, ha sostenido que “son —prescindiendo de su sustrato sociológico real— creación del Derecho, es resultado de la definición que éste haga de ellas; esto es, de su configuración jurídica que puede quedar delimitada por la presencia de muy diversos factores. Por tanto, al amparo del principio de igualdad no es lícito tratar de asimilar situaciones que en origen no han sido equiparadas por las normas jurídicas que las crean”.</w:t>
      </w:r>
    </w:p>
    <w:p w:rsidR="00CF03FA" w:rsidRDefault="00CF03FA" w:rsidP="00CF03FA">
      <w:pPr>
        <w:pStyle w:val="TextoNormal"/>
      </w:pPr>
      <w:r>
        <w:t>Más específicamente respecto de la constitucionalidad de las diferencias retributivas entre el funcionariado de carrera y el personal interino al servicio de la Administración, hemos dicho que “no es posible concluir pronunciando en sede constitucional un reproche a la diferencia de trato normativo discutida, al tratarse de categorías funcionariales configuradas como estructuras diferenciadas y definidas con características propias, con sistemas de acceso distintos y con una relación funcionarial o estatutaria de contenido diverso; estos criterios de diferenciación son todos ellos objetivos y generales y legítimamente pueden ser tomados en consideración por el legislador para fijar las retribuciones correspondientes a cada una de las categorías funcionariales” (ATC 63/1996,de 12 de marzo, FJ 5 in fine).</w:t>
      </w:r>
    </w:p>
    <w:p w:rsidR="00CF03FA" w:rsidRDefault="00CF03FA" w:rsidP="00CF03FA">
      <w:pPr>
        <w:pStyle w:val="TextoNormal"/>
      </w:pPr>
    </w:p>
    <w:p w:rsidR="00CF03FA" w:rsidRDefault="00CF03FA" w:rsidP="00CF03FA">
      <w:pPr>
        <w:pStyle w:val="TextoNormal"/>
      </w:pPr>
      <w:r w:rsidRPr="00CF03FA">
        <w:rPr>
          <w:rStyle w:val="NumeroAFNegritaCaracter"/>
        </w:rPr>
        <w:t>3</w:t>
      </w:r>
      <w:r>
        <w:t>. Resta añadir, y estamos de nuevo en sintonía con las alegaciones del Ministerio Fiscal, que la doctrina contenida en la STC de 24 de julio de 2000 y en otros pronunciamientos, como ya tuvimos ocasión manifestar en el ATC 183/2005, de 9 de mayo, (FJ 4), aunque considerase que un tratamiento diferenciado entre los funcionarios de carrera y los interinos de larga duración con respecto reconocimiento específicamente del “derecho a la excedencia para el cuidado de los hijos menores” pudiese ser contrario al art. 14 CE , no conduce a afirmar “que ante situaciones de interinidad de larga duración las diferencias de trato resulten en todo caso injustificadas desde la perspectiva del art. 14 CE, sino de destacar que pueden serlo en atención a las circunstancias del caso y, muy especialmente, a la trascendencia constitucional que recibe un tratamiento desigual”. Por ello, “el diferente tratamiento dispensado en el caso concreto en materia retributiva entre el funcionariado de carrera y el personal interino resulta plenamente objetivo y razonable”(ATC 183/2005, de 9 de mayo, FJ 4).</w:t>
      </w:r>
    </w:p>
    <w:p w:rsidR="00CF03FA" w:rsidRDefault="00CF03FA" w:rsidP="00CF03FA">
      <w:pPr>
        <w:pStyle w:val="TextoNormal"/>
      </w:pPr>
    </w:p>
    <w:p w:rsidR="00CF03FA" w:rsidRDefault="00CF03FA" w:rsidP="00CF03FA">
      <w:pPr>
        <w:pStyle w:val="TextoNormal"/>
      </w:pPr>
      <w:r w:rsidRPr="00CF03FA">
        <w:rPr>
          <w:rStyle w:val="NumeroAFNegritaCaracter"/>
        </w:rPr>
        <w:t>4</w:t>
      </w:r>
      <w:r>
        <w:t>. Las precedentes consideraciones permiten concluir que el recurso de amparo interpuesto contra las resoluciones judiciales enunciadas en el fundamento de derecho primero de este Auto debe ser inadmitido en este trámite dada la carencia manifiesta de contenido de las quejas formuladas por la parte recurrente que pudiera justificar una decisión sobre el fondo en el presente proceso constitucional [art. 50.1 c) LOTC].</w:t>
      </w:r>
    </w:p>
    <w:p w:rsidR="00CF03FA" w:rsidRDefault="00CF03FA" w:rsidP="00CF03FA">
      <w:pPr>
        <w:pStyle w:val="TextoNormal"/>
      </w:pPr>
    </w:p>
    <w:p w:rsidR="00CF03FA" w:rsidRDefault="00CF03FA" w:rsidP="00CF03FA">
      <w:pPr>
        <w:pStyle w:val="TextoNormal"/>
      </w:pPr>
      <w:r>
        <w:t>Por todo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La inadmisión del presente recurso de amparo</w:t>
      </w:r>
    </w:p>
    <w:p w:rsidR="00CF03FA" w:rsidRDefault="00CF03FA" w:rsidP="00CF03FA">
      <w:pPr>
        <w:pStyle w:val="TextoNormal"/>
      </w:pPr>
    </w:p>
    <w:p w:rsidR="00CF03FA" w:rsidRDefault="00CF03FA" w:rsidP="00CF03FA">
      <w:pPr>
        <w:pStyle w:val="TextoNormal"/>
      </w:pPr>
      <w:r>
        <w:lastRenderedPageBreak/>
        <w:t>Madrid, a catorce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4" w:name="AUTO_2008_113"/>
      <w:r>
        <w:lastRenderedPageBreak/>
        <w:t>AUTO 113/2008, de 23 de abril de 2008</w:t>
      </w:r>
    </w:p>
    <w:bookmarkEnd w:id="174"/>
    <w:p w:rsidR="00CF03FA" w:rsidRDefault="00CF03FA" w:rsidP="00CF03FA">
      <w:pPr>
        <w:pStyle w:val="TtuloResolucin"/>
      </w:pPr>
      <w:r>
        <w:t>Sección Primera</w:t>
      </w:r>
    </w:p>
    <w:p w:rsidR="00CF03FA" w:rsidRDefault="00CF03FA" w:rsidP="00CF03FA">
      <w:pPr>
        <w:pStyle w:val="TtuloResolucin"/>
      </w:pPr>
    </w:p>
    <w:p w:rsidR="00CF03FA" w:rsidRDefault="00CF03FA" w:rsidP="00CF03FA">
      <w:pPr>
        <w:pStyle w:val="SntesisDescriptiva"/>
      </w:pPr>
      <w:r>
        <w:t>ECLI:ES:TC:2008:113A</w:t>
      </w:r>
    </w:p>
    <w:p w:rsidR="00CF03FA" w:rsidRDefault="00CF03FA" w:rsidP="00CF03FA">
      <w:pPr>
        <w:pStyle w:val="SntesisDescriptiva"/>
      </w:pPr>
    </w:p>
    <w:p w:rsidR="00CF03FA" w:rsidRDefault="00CF03FA" w:rsidP="00CF03FA">
      <w:pPr>
        <w:pStyle w:val="SntesisDescriptiva"/>
      </w:pPr>
      <w:r>
        <w:t>Excms. Srs. don Javier Delgado Barrio, don Roberto García-Calvo y Montiel y don Manuel Aragón Reyes.</w:t>
      </w:r>
    </w:p>
    <w:p w:rsidR="00CF03FA" w:rsidRDefault="00CF03FA" w:rsidP="00CF03FA">
      <w:pPr>
        <w:pStyle w:val="SntesisDescriptiva"/>
      </w:pPr>
    </w:p>
    <w:p w:rsidR="00CF03FA" w:rsidRDefault="00CF03FA" w:rsidP="00CF03FA">
      <w:pPr>
        <w:pStyle w:val="SntesisDescriptiva"/>
      </w:pPr>
      <w:r>
        <w:t>Acepta una abstención en el recurso de amparo 3934-2005, promovido por Pelayo Mutua de seguros y reaseguros a prima fija.</w:t>
      </w:r>
    </w:p>
    <w:p w:rsidR="00CF03FA" w:rsidRDefault="00CF03FA" w:rsidP="00CF03FA">
      <w:pPr>
        <w:pStyle w:val="SntesisDescriptiva"/>
      </w:pPr>
    </w:p>
    <w:p w:rsidR="00CF03FA" w:rsidRDefault="00CF03FA" w:rsidP="00CF03FA">
      <w:pPr>
        <w:pStyle w:val="SntesisAnaltica"/>
      </w:pPr>
      <w:r>
        <w:t>Abstención de magistrados del Tribunal Constitucional, acepta.</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presentado en este Tribunal el 30 de mayo de 2005, la Procuradora de los Tribunales doña María Asunción Miquel Aguado, en nombre y representación de Pelayo Mutua de seguros y reaseguros a prima fija, interpuso recurso de amparo contra la Sentencia de 2 de febrero de 2005 de la Sección Primera de la Audiencia Provincial de Ourense, recaída en el rollo de apelación núm. 177-2004. Dicho recurso de amparo fue registrado con el núm. 3934-2005 y su conocimiento correspondió por turno de reparto a la Sección Primera de este Tribunal.</w:t>
      </w:r>
    </w:p>
    <w:p w:rsidR="00CF03FA" w:rsidRDefault="00CF03FA" w:rsidP="00CF03FA">
      <w:pPr>
        <w:pStyle w:val="TextoNormal"/>
      </w:pPr>
    </w:p>
    <w:p w:rsidR="00CF03FA" w:rsidRDefault="00CF03FA" w:rsidP="00CF03FA">
      <w:pPr>
        <w:pStyle w:val="TextoNormal"/>
      </w:pPr>
      <w:r w:rsidRPr="00CF03FA">
        <w:rPr>
          <w:rStyle w:val="NumeroAFNegritaCaracter"/>
        </w:rPr>
        <w:t>2</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00CF03FA" w:rsidRDefault="00CF03FA" w:rsidP="00CF03FA">
      <w:pPr>
        <w:pStyle w:val="TextoNormal"/>
      </w:pPr>
    </w:p>
    <w:p w:rsidR="00CF03FA" w:rsidRDefault="00CF03FA" w:rsidP="00CF03FA">
      <w:pPr>
        <w:pStyle w:val="TextoNormal"/>
      </w:pPr>
      <w:r w:rsidRPr="00CF03FA">
        <w:rPr>
          <w:rStyle w:val="NumeroAFNegritaCaracter"/>
        </w:rPr>
        <w:t>3</w:t>
      </w:r>
      <w:r>
        <w:t>. Mediante escrito fechado el 28 de noviembre de 2007, la Excma. Sra. doña María Emilia Casas Baamonde, Presidenta del Tribunal y de la Sección Primera, comunicó su voluntad de abstenerse de intervenir en el recurso de amparo núm. 3934-2005, por entender que concurre en su persona la causa prevista en el art. 219.9 de la Ley Orgánica del Poder Judicial, por su relación de amistad con representantes de la entidad Pelayo Mutua de seguros y reaseguros a prima fija.</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Asimismo, por escrito de la misma fecha, y de conformidad con lo dispuesto en el art. 15, en relación con los arts. 7 y 8, todos ellos de la de la Ley Orgánica del Tribunal Constitucional y el Acuerdo de 20 de enero de 2005, del Pleno del Tribunal Constitucional (Boletín Oficial del Estado núm. 21, de 25 de enero de 2005), por el que se regula la sustitución de Magistrados a los efectos previstos en el art. 14 de la Ley Orgánica del Tribunal Constitucional, la Excma. Sra. doña María Emilia Casas Baamonde, Presidenta del Tribunal y de la </w:t>
      </w:r>
      <w:r>
        <w:lastRenderedPageBreak/>
        <w:t>Sección Primera, acordó designar como sustituto de sí misma al Magistrado Excmo. Sr. don Roberto García-Calvo y Montiel, para completar dicha Sección, al objeto de resolver sobre la abstención planteada y, en su caso, sobre la admisibilidad del recurso de amparo núm. 3934-2005.</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Vista la comunicación efectuada por la Excma. Sra. Presidenta doña María Emilia Casas Baamonde y de conformidad de lo previsto en los arts. 80 de la Ley Orgánica del Tribunal Constitucional y 219.9 de la Ley Orgánica del Poder Judicial, procede</w:t>
      </w:r>
    </w:p>
    <w:p w:rsidR="00CF03FA" w:rsidRDefault="00CF03FA" w:rsidP="00CF03FA">
      <w:pPr>
        <w:pStyle w:val="TextoNormal"/>
      </w:pPr>
      <w:r>
        <w:t>estimar justificada la causa de abstención formulada, en atención a su relación de amistad con representantes de la demandante de amparo Pelayo Mutua de seguros y reaseguros a prima fija.</w:t>
      </w:r>
    </w:p>
    <w:p w:rsidR="00CF03FA" w:rsidRDefault="00CF03FA" w:rsidP="00CF03FA">
      <w:pPr>
        <w:pStyle w:val="TextoNormal"/>
      </w:pPr>
      <w:r>
        <w:t>A este respecto debe señalarse que “la imparcialidad subjetiva, entendiendo este concepto en el sentido que lo emplea el Tribunal Europeo de Derechos Humanos, [ha de concebirse] como la convicción personal del juez, lo que piensa en su fuero interno” (ATC 178/2005, de 9 de mayo, FJ 1). Por ello, al igual que hemos apreciado en algún caso similar anterior, ante la duda —implícitamente formulada por la propia Presidenta al manifestar su voluntad de abstenerse por este motivo— de que su relación de amistad con representantes de la entidad Pelayo Mutua de seguros y reaseguros a prima fija, recurrente en amparo, le impida ejercer su función imparcialmente, la abstención debe entenderse justificada. Conclusión por completo pertinente en un proceso constitucional, como el de amparo, donde las partes defienden intereses propios.</w:t>
      </w:r>
    </w:p>
    <w:p w:rsidR="00CF03FA" w:rsidRDefault="00CF03FA" w:rsidP="00CF03FA">
      <w:pPr>
        <w:pStyle w:val="TextoNormal"/>
      </w:pPr>
    </w:p>
    <w:p w:rsidR="00CF03FA" w:rsidRDefault="00CF03FA" w:rsidP="00CF03FA">
      <w:pPr>
        <w:pStyle w:val="TextoNormal"/>
      </w:pPr>
      <w:r>
        <w:t>En virtud de todo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Estimar la causa de abstención formulada por la Excma. Sra. doña María Emilia Casas Baamonde, Presidenta del Tribunal, en el recurso de amparo núm. 3934-2005, apartándola definitivamente del referido recurso.</w:t>
      </w:r>
    </w:p>
    <w:p w:rsidR="00CF03FA" w:rsidRDefault="00CF03FA" w:rsidP="00CF03FA">
      <w:pPr>
        <w:pStyle w:val="TextoNormal"/>
      </w:pPr>
    </w:p>
    <w:p w:rsidR="00CF03FA" w:rsidRDefault="00CF03FA" w:rsidP="00CF03FA">
      <w:pPr>
        <w:pStyle w:val="TextoNormal"/>
      </w:pPr>
      <w:r>
        <w:t>Madrid, a veintitrés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5" w:name="AUTO_2008_114"/>
      <w:r>
        <w:lastRenderedPageBreak/>
        <w:t>AUTO 114/2008, de 28 de abril de 2008</w:t>
      </w:r>
    </w:p>
    <w:bookmarkEnd w:id="175"/>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ECLI:ES:TC:2008:114A</w:t>
      </w:r>
    </w:p>
    <w:p w:rsidR="00CF03FA" w:rsidRDefault="00CF03FA" w:rsidP="00CF03FA">
      <w:pPr>
        <w:pStyle w:val="SntesisDescriptiva"/>
      </w:pPr>
    </w:p>
    <w:p w:rsidR="00CF03FA" w:rsidRDefault="00CF03FA" w:rsidP="00CF03FA">
      <w:pPr>
        <w:pStyle w:val="SntesisDescriptiva"/>
      </w:pPr>
      <w:r>
        <w:t>Excms. Srs. don Javier Delgado Barrio,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Acepta una abstención en el recurso de amparo 3013-2004, promovido por Pelayo Mutua de seguros y reaseguros a prima fija.</w:t>
      </w:r>
    </w:p>
    <w:p w:rsidR="00CF03FA" w:rsidRDefault="00CF03FA" w:rsidP="00CF03FA">
      <w:pPr>
        <w:pStyle w:val="SntesisDescriptiva"/>
      </w:pPr>
    </w:p>
    <w:p w:rsidR="00CF03FA" w:rsidRDefault="00CF03FA" w:rsidP="00CF03FA">
      <w:pPr>
        <w:pStyle w:val="SntesisAnaltica"/>
      </w:pPr>
      <w:r>
        <w:t>Abstención de magistrados del Tribunal Constitucional, acepta.</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Por escrito presentado en este Tribunal el 12 de mayo de de 2004, “Pelayo Mutua de seguros a prima fija”, representada por la Procuradora de los Tribunales doña María Asunción Miquel Aguado y asistida por el Abogado don Alberto Martín Antón, interpone recurso de amparo contra las Sentencias de 18 de diciembre de 2000 y de 29 de octubre de 2001 del Juzgado de Instrucción núm. 2 de Colmenar Viejo y contra la Sentencia de la Sección Decimoséptima de la Audiencia Provincial de Madrid de 15 de marzo de 2004.</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comunicación de fecha 21 de marzo de 2007, la Presidenta Excma. Sra. doña María Emilia Casas Baamonde expone: “Que conforme a lo previsto en el art. 217 LOPJ, manifiesto mi voluntad de abstenerme en el conocimiento del recurso de amparo núm. 3013-2004, por entender que concurre la causa establecida legalmente en el art. 219.9 LOPJ, por mi relación de amistad con representantes de la entidad ‘Pelayo Mutua de seguros y reaseguros a prima fija’ ”.</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F10479">
        <w:rPr>
          <w:rStyle w:val="NumeroAFNegritaCaracter"/>
        </w:rPr>
        <w:t>Único.</w:t>
      </w:r>
      <w:r>
        <w:t xml:space="preserve"> Vista la comunicación efectuada por la Excma. Sra. doña María Emilia Casas Baamonde y de conformidad de lo previsto en el art. 80 de la Ley Orgánica del Tribunal Constitucional y el art. 219.9 de la Ley Orgánica del Poder Judicial, procede estimar</w:t>
      </w:r>
    </w:p>
    <w:p w:rsidR="00CF03FA" w:rsidRDefault="00CF03FA" w:rsidP="00CF03FA">
      <w:pPr>
        <w:pStyle w:val="TextoNormal"/>
      </w:pPr>
      <w:r>
        <w:t>justificada la causa de abstención formulada en atención a la relación de amistad con representantes de la demandante de amparo “Pelayo Mutua de seguros a prima fija”.</w:t>
      </w:r>
    </w:p>
    <w:p w:rsidR="00CF03FA" w:rsidRDefault="00CF03FA" w:rsidP="00CF03FA">
      <w:pPr>
        <w:pStyle w:val="TextoNormal"/>
      </w:pPr>
      <w:r>
        <w:t xml:space="preserve">A este respecto debe señalarse que “la imparcialidad subjetiva, entendiendo este concepto en el sentido que lo emplea el Tribunal Europeo de Derechos Humanos, [ha de concebirse] como la convicción personal del juez, lo que piensa en su fuero interno” (ATC 178/2005, de 9 de mayo, FJ 1). Por ello, al igual que hemos apreciado en un caso similar anterior, ante la duda de que la relación de amistad con representantes de la entidad Pelayo Mutua de seguros y reaseguros a prima fija, parte demandante en este proceso, manifestada </w:t>
      </w:r>
      <w:r>
        <w:lastRenderedPageBreak/>
        <w:t>por la Presidenta de este Tribunal “le impida ejercer su función imparcialmente —duda implícitamente formulada por [la propia Presidente] al manifestar su voluntad de abstenerse por este motivo—, la abstención debe entenderse justificada” (ATC antes citado, FJ 2).</w:t>
      </w:r>
    </w:p>
    <w:p w:rsidR="00CF03FA" w:rsidRDefault="00CF03FA" w:rsidP="00CF03FA">
      <w:pPr>
        <w:pStyle w:val="TextoNormal"/>
      </w:pPr>
    </w:p>
    <w:p w:rsidR="00CF03FA" w:rsidRDefault="00CF03FA" w:rsidP="00CF03FA">
      <w:pPr>
        <w:pStyle w:val="TextoNormal"/>
      </w:pPr>
      <w:r>
        <w:t>Por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Estimar la causa de abstención formulada por la Excma. Sra. doña María Emilia Casas Baamonde en el recurso de amparo núm. 3013-2004, apartándola definitivamente del referido recurso.</w:t>
      </w:r>
    </w:p>
    <w:p w:rsidR="00CF03FA" w:rsidRDefault="00CF03FA" w:rsidP="00CF03FA">
      <w:pPr>
        <w:pStyle w:val="TextoNormal"/>
      </w:pPr>
    </w:p>
    <w:p w:rsidR="00CF03FA" w:rsidRDefault="00CF03FA" w:rsidP="00CF03FA">
      <w:pPr>
        <w:pStyle w:val="TextoNormal"/>
      </w:pPr>
      <w:r>
        <w:t>Madrid, a veintiocho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6" w:name="AUTO_2008_115"/>
      <w:r>
        <w:lastRenderedPageBreak/>
        <w:t>AUTO 115/2008, de 28 de abril de 2008</w:t>
      </w:r>
    </w:p>
    <w:bookmarkEnd w:id="176"/>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ECLI:ES:TC:2008:115A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Inadmite a trámite el recurso de amparo 3797-2004, promovido por don Manuel de la Concha López-Isla en causa por delito de falsedad en documento público.</w:t>
      </w:r>
    </w:p>
    <w:p w:rsidR="00CF03FA" w:rsidRDefault="00CF03FA" w:rsidP="00CF03FA">
      <w:pPr>
        <w:pStyle w:val="SntesisDescriptiva"/>
      </w:pPr>
    </w:p>
    <w:p w:rsidR="00CF03FA" w:rsidRDefault="00CF03FA" w:rsidP="00CF03FA">
      <w:pPr>
        <w:pStyle w:val="SntesisAnaltica"/>
      </w:pPr>
      <w:r>
        <w:t>Carga de la prueba: prueba de una vulneración de derechos fundamentales. Derecho a la intimidad personal y familiar: intimidad económica. Derecho a la libre información: relevancia pública de la noticia y derecho a la intimidad. Derecho a la presunción de inocencia: prueba indiciaria. Derecho a la prueba: práctica de prueba documental. Derecho a un proceso con todas las garantías: juez instructor. Derecho a un proceso sin dilaciones: derecho no invocado en la vía judicial previa; proceso judicial finalizado. Doble instancia penal: recurso de casación penal. Inadmisión de recurso de amparo: causas de inadmisión. Invocación del derecho vulnerado: alegación per saltum en amparo. Principio de proporcionalidad: intimidad personal versus intereses públicos. Prueba indiciaria: inferencia razonable.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día 11 de junio de 2004, la Procuradora de los Tribunales doña María Jesús González Díaz, en nombre y representación de don Manuel de la Concha López-Isla, interpuso demanda de amparo contra la Sentencia de la Sala de lo Penal del Tribunal Supremo 499/2004, de 23 de abril, recaída en el recurso de casación 2257-2002, interpuesto contra la Sentencia de la Sección Tercera de la Audiencia Provincial de Madrid 230/2002, de 24 de junio.</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El recurso tiene su origen en los siguientes antecedentes de hecho, que se exponen sintéticamente: </w:t>
      </w:r>
    </w:p>
    <w:p w:rsidR="00CF03FA" w:rsidRDefault="00CF03FA" w:rsidP="00CF03FA">
      <w:pPr>
        <w:pStyle w:val="TextoNormal"/>
      </w:pPr>
      <w:r>
        <w:t xml:space="preserve">a) Mediante Sentencia de la Sección Tercera de la Audiencia Provincial de Madrid, de fecha 24 de junio de 2002, se condenó al ahora demandante de amparo, como autor de un delito continuado de falsedad en documento público cometido por funcionario público, a la pena de seis años y un día de prisión mayor, multa de 6.000 euros y accesoria de suspensión de la profesión de Notario durante el tiempo de la condena. </w:t>
      </w:r>
    </w:p>
    <w:p w:rsidR="00CF03FA" w:rsidRDefault="00CF03FA" w:rsidP="00CF03FA">
      <w:pPr>
        <w:pStyle w:val="TextoNormal"/>
      </w:pPr>
      <w:r>
        <w:t xml:space="preserve">La Sentencia considera probado que el recurrente, en su calidad de Agente de cambio y bolsa, gestionaba en su despacho profesional una cuenta de valores identificada con la clave 431/07 MM-RU, cuyo titular era don Mariano Rubio, entonces Gobernador del Banco de España y amigo personal del Sr. de la Concha. Con la finalidad de evitar que fuese conocida la identidad del Sr. Rubio como inversor en bolsa, las operaciones de compra y venta de los </w:t>
      </w:r>
      <w:r>
        <w:lastRenderedPageBreak/>
        <w:t>títulos se llevaban a cabo utilizando, al menos desde el año 1986, el nombre de la sociedad Nalvi S.A. (sociedad familiar constituida por el padre de don Manuel de la Concha y que había sido liquidada y cancelada en 1980). A tal fin, con conocimiento y consentimiento del acusado, en la mayoría de las órdenes de compra de valores con cargo a esa cuenta se hacía figurar el nombre de Nalvi S.A. o, lo que solía ser más habitual, se omitía el nombre del comprador, expidiéndose las pólizas de operaciones al contado con el nombre en blanco, que se completaba posteriormente en el despacho. No obstante, en el libro de operaciones al contado sobre títulos valores que el recurrente tenía la obligación de llevar en su condición de Agente de cambio y bolsa, y que era elaborado por los Servicios de contratación y liquidación de la Junta Sindical de Madrid, se participaba a la misma que el adquirente de los títulos era Nalvi S.A. De esta forma, se realizaron 88 operaciones de compra en 1986; 13 operaciones al año siguiente y 7 entre los meses de enero y febrero de 1988. b) Contra la anterior resolución se interpuso recurso de casación, desestimado por Sentencia de la Sala de lo Penal del Tribunal Supremo de 23 de abril de 2004.</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El recurrente fundamenta su demanda de amparo en la lesión de los derechos fundamentales a un proceso con todas las garantías (art. 24.2 CE) en relación con el derecho a la intimidad (art. 18.1 CE), a la presunción de inocencia (art. 24.2 CE), a un proceso sin dilaciones indebidas (art. 24.2 CE) y a la revisión de la condena en segunda instancia (art. 24.2 CE en relación con el art. 14.5 PIDCP. </w:t>
      </w:r>
    </w:p>
    <w:p w:rsidR="00CF03FA" w:rsidRDefault="00CF03FA" w:rsidP="00CF03FA">
      <w:pPr>
        <w:pStyle w:val="TextoNormal"/>
      </w:pPr>
      <w:r>
        <w:t xml:space="preserve">a) Se denuncia, en primer lugar, que los documentos publicados por el diario “El Mundo” y aportados posteriormente a la Fiscalía, a requerimiento de ésta, por el periodista don Casimiro García Abadillo, fueron obtenidos ilícitamente y con vulneración del derecho a la intimidad (art. 18.1 CE) del coprocesado don Mariano Rubio. En efecto, se trataba de documentos relativos a la relación contractual entre don Mariano Rubio y don Manuel de la Concha, respecto de los que éste tenía obligación de guardar secreto, y cuya publicación y posterior aportación a la Fiscalía supone una intromisión ilegítima en el ámbito protegido por el art. 18.1 CE, en la medida en que estas actuaciones no fueron ni consentidas por los legítimos titulares de los documentos, ni autorizadas por autoridad competente. La citada documental sólo puede ser fruto de un apoderamiento ilegítimo o sustracción de los citados documentos, ya que sólo pudieron obtenerse al margen del derecho. Y los citados documentos son el origen de toda la investigación, contaminando todas las demás pruebas practicadas, pues todas ellas son fruto del irregular origen del procedimiento. Al no haberlo considerado así los órganos judiciales, y utilizar como sustento de la condena pruebas derivadas directa o indirectamente de un acto radicalmente nulo, se ha vulnerado su derecho a la tutela judicial efectiva y a un proceso con todas las garantías (art. 24.1 y 24.2 CE). </w:t>
      </w:r>
    </w:p>
    <w:p w:rsidR="00CF03FA" w:rsidRDefault="00CF03FA" w:rsidP="00CF03FA">
      <w:pPr>
        <w:pStyle w:val="TextoNormal"/>
      </w:pPr>
      <w:r>
        <w:t xml:space="preserve">Además, se denuncian otras irregularidades en las pruebas derivadas que determinarían autónomamente su nulidad. En concreto, respecto de la documental aportada por la CNMV tras la investigación a la que sometió a la sociedad Ibercorp Bolsa, se sostiene que su obtención supuso una vulneración del derecho a la intimidad, al secreto de las comunicaciones y a la protección de datos reconocidos en el art. 18 CE, y que la CNMV no tenía competencia para investigar hechos anteriores a su creación, no le notificó la investigación, ni le dio audiencia en el procedimiento administrativo, lo que también convertiría la prueba en nula, por la indefensión generada. </w:t>
      </w:r>
    </w:p>
    <w:p w:rsidR="00CF03FA" w:rsidRDefault="00CF03FA" w:rsidP="00CF03FA">
      <w:pPr>
        <w:pStyle w:val="TextoNormal"/>
      </w:pPr>
      <w:r>
        <w:t xml:space="preserve">b) Como segundo motivo de amparo, se denuncia la vulneración del derecho a la presunción de inocencia (art. 24.1 CE) por inexistencia de prueba de cargo de la autoría dolosa, ni directa, ni mediata, por parte del recurrente de los hechos que se le imputan. Tras reconocer ambas Sentencias que no existe prueba directa de la autoría, recurren a la prueba indiciaria, </w:t>
      </w:r>
      <w:r>
        <w:lastRenderedPageBreak/>
        <w:t xml:space="preserve">señalando la demanda que los indicios tomados en consideración se seleccionan arbitrariamente, ignorando muchos otros, y que las inferencias a partir de ellos son excesivamente abiertas, débiles o indeterminadas. El recurrente analiza posteriormente los indicios por separado, afirmando la insuficiencia de cada uno de ellos; analiza igualmente otros datos acreditados documentalmente; e insiste en que el coimputado don Carlos Jaime Pittaluga Jiménez, primo hermano de don Mariano Rubio, era copartícipe de la cuenta y el encargado de la gestión, siendo a raíz de la entrada del mismo en el despacho cuando aparece por vez primera el nombre de Nalvi SA en el libro registro. </w:t>
      </w:r>
    </w:p>
    <w:p w:rsidR="00CF03FA" w:rsidRDefault="00CF03FA" w:rsidP="00CF03FA">
      <w:pPr>
        <w:pStyle w:val="TextoNormal"/>
      </w:pPr>
      <w:r>
        <w:t xml:space="preserve">c) En tercer lugar, y con carácter subsidiario respecto de los motivos anteriores, se denuncia la vulneración del derecho a un proceso sin dilaciones indebidas (art. 24.2 CE) que, de apreciarse por el Tribunal, podría dar lugar a la anulación parcial de la condena y a la aplicación de la atenuante analógica. Se pone de relieve que desde la fecha de los hechos hasta que se celebró el juicio pasaron de 14 a 16 años, y de 16 a 18 hasta que la condena fue confirmada por el Tribunal Supremo; que la instrucción comenzó en mayo de 1994 y finalizó respecto de los hechos enjuiciados en septiembre de ese año, sin que desde entonces se practicara ninguna diligencia relevante, salvo la entrega de un informe pericial de tres folios, solicitado en 1994 y entregado en 1998; también se denuncia que se remitió una comisión rogatoria a Suiza que se considera dilatoria y se amplió la investigación a todo tipo de personas y entidades con las que el recurrente había tenido relación. Posteriormente se analiza que ni la complejidad de la causa era extraordinaria o inusual y que se produjeron paralizaciones en la instrucción de casi cincuenta meses en total (detallando los periodos concretos de paralización) y que en casación, tras la formalización del recurso y el traslado a las partes, el Tribunal Supremo tardó doce meses en proveer los escritos y conceder nuevos traslados, demoras que en todos los casos entiende absolutamente injustificadas. </w:t>
      </w:r>
    </w:p>
    <w:p w:rsidR="00CF03FA" w:rsidRDefault="00CF03FA" w:rsidP="00CF03FA">
      <w:pPr>
        <w:pStyle w:val="TextoNormal"/>
      </w:pPr>
      <w:r>
        <w:t xml:space="preserve">En la demanda se señala que la cuestión se planteó por primera vez en el acto del juicio y se reiteró en casación, por lo que entiende que fue correctamente planteado en el proceso, sin que la denuncia durante la instrucción le sea exigible al imputado, pues el deber de impulsar el procedimiento corresponde al juez y el imputado podría beneficiarse de la prescripción del delito. </w:t>
      </w:r>
    </w:p>
    <w:p w:rsidR="00CF03FA" w:rsidRDefault="00CF03FA" w:rsidP="00CF03FA">
      <w:pPr>
        <w:pStyle w:val="TextoNormal"/>
      </w:pPr>
      <w:r>
        <w:t>d) Finalmente, como cuarto motivo de amparo, se denuncia la vulneración del derecho a un proceso con todas las garantías (art. 24.2 CE), en relación al derecho a la revisión de la condena y el art. 14.5 PIDCP. Entiende el recurrente que el Tribunal Supremo no ha practicado una plena revisión de su condena, dado que no procedió a una nueva valoración de la prueba, limitándose a revisar la llevada a cabo por el Tribunal de instancia con parámetros externos y abstractos de racionalidad.</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26 de abril de 2005, la Sección Cuarta de este Tribunal acordó conceder al demandante de amparo y al Ministerio Fiscal, en virtud del art. 50.3 LOTC, un plazo de diez días para presentar alegaciones, en relación con la causa de inadmisión prevista en el art. 50.1 c) LOTC, esto es, la carencia manifiesta de contenido constitucional de la demanda.</w:t>
      </w:r>
    </w:p>
    <w:p w:rsidR="00CF03FA" w:rsidRDefault="00CF03FA" w:rsidP="00CF03FA">
      <w:pPr>
        <w:pStyle w:val="TextoNormal"/>
      </w:pPr>
    </w:p>
    <w:p w:rsidR="00CF03FA" w:rsidRDefault="00CF03FA" w:rsidP="00CF03FA">
      <w:pPr>
        <w:pStyle w:val="TextoNormal"/>
      </w:pPr>
      <w:r w:rsidRPr="00CF03FA">
        <w:rPr>
          <w:rStyle w:val="NumeroAFNegritaCaracter"/>
        </w:rPr>
        <w:t>5</w:t>
      </w:r>
      <w:r>
        <w:t>. Mediante escrito registrado en este Tribunal el 17 de mayo de 2005, la representación procesal del recurrente formuló alegaciones, reiterando resumidamente los motivos y argumentos ya deducidos en el escrito de interposición del recurso y solicitando finalmente que se admitiese a trámite la demanda y se resolviese sobre el fondo de la misma.</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6</w:t>
      </w:r>
      <w:r>
        <w:t xml:space="preserve">. El día 18 de mayo de 2005 tuvo entrada en el Registro de este Tribunal el escrito de alegaciones del Ministerio Fiscal, en las que solicita la inadmisión del recurso, por carecer de contenido constitucional. </w:t>
      </w:r>
    </w:p>
    <w:p w:rsidR="00CF03FA" w:rsidRDefault="00CF03FA" w:rsidP="00CF03FA">
      <w:pPr>
        <w:pStyle w:val="TextoNormal"/>
      </w:pPr>
      <w:r>
        <w:t xml:space="preserve">a) En cuanto a la denunciada vulneración del derecho a la intimidad (art. 18.1 CE), comienza destacando el Fiscal que los documentos en cuestión se refieren a operaciones de compra de valores en bolsa, ámbito ajeno a lo propio y reservado, pues el derecho a la intimidad no protege los datos de carácter puramente económico (SSTC 110/1984, de 26 de noviembre, y 76/1990, de 26 de abril), sin que en la demanda se especifique qué aspecto de la vida privada, personal o familiar habría sido desvelado con la publicación de esos documentos. En todo caso, y aunque la publicación de esos datos hubiera afectado a la intimidad, habría de ponderarse este derecho con el derecho a la libertad de información, para analizar si la información divulgada fue o no “rectamente obtenida” (STC 54/2004, de 15 de abril, FJ 6), dado el indiscutido interés público de la misma, lo que no pudo hacerse en el proceso por no instar el recurrente prueba alguna al respecto. E incluso si con la publicación de tales documentos se hubiere vulnerado el derecho a la intimidad, su recepción jurisdiccional no podría afectar a este derecho, dado el público conocimiento de los datos cuando se incorporan a la investigación criminal. </w:t>
      </w:r>
    </w:p>
    <w:p w:rsidR="00CF03FA" w:rsidRDefault="00CF03FA" w:rsidP="00CF03FA">
      <w:pPr>
        <w:pStyle w:val="TextoNormal"/>
      </w:pPr>
      <w:r>
        <w:t xml:space="preserve">La cuestión, por tanto, se reduce a analizar si la incorporación de los documentos a la causa puede entrañar una vulneración del derecho a un proceso con todas las garantías (art. 24.2 CE), lo que ha sido rechazado por el Tribunal Supremo en la Sentencia de casación, sobre la base de la doctrina establecida en la STC 69/2001, de 17 de marzo, FJ 26: no consta acreditada la sustracción de los documentos, ni que su obtención haya vulnerado derecho fundamental sustantivo alguno. Siendo así, tanto la documentación inicial como las pruebas practicadas posteriormente no pueden considerarse nulas. Añade el Fiscal que el hecho de que un periodista, en virtud de un mecanismo que el recurrente no ha tenido interés en aclarar, llegase al conocimiento de que dos personas de relevancia pública podían haber cometido graves ilícitos penales y lo publicase, no puede imposibilitar su investigación por las autoridades que tienen el deber legal de hacerlo. Aun en la hipótesis de que la notitia criminis hubiera llegado a las autoridades tras una actuación inconstitucional de un particular, tal comportamiento no puede imposibilitar la investigación del delito. Ciertamente la prueba ilegítimamente obtenida no podría sustentar la condena, pero ello no impediría la obtención de otras pruebas lícitas. </w:t>
      </w:r>
    </w:p>
    <w:p w:rsidR="00CF03FA" w:rsidRDefault="00CF03FA" w:rsidP="00CF03FA">
      <w:pPr>
        <w:pStyle w:val="TextoNormal"/>
      </w:pPr>
      <w:r>
        <w:t xml:space="preserve">Por otra parte, respecto de la validez como prueba de la documentación hallada en la antigua sede de Ibercorp en la investigación realizada por la CNMV, señala el Fiscal, por una parte, que la pretendida vulneración del derecho a la intimidad en la obtención de dicha prueba que ahora se denuncia en amparo no fue sostenida en el proceso, lo que hace incurrir a esta queja en la causa de inadmisión de falta de agotamiento de la vía judicial previa. Y en relación con su incorporación al proceso, se destaca que son documentos hallados en el curso de una investigación a esta sociedad, para la que claramente tenía competencia la CNMV, y que tras su hallazgo fueron puestos a disposición judicial, por lo que aparecen desconectados de las diligencias practicadas anteriormente contra el demandante, ya que hasta su hallazgo se desconocía su existencia. </w:t>
      </w:r>
    </w:p>
    <w:p w:rsidR="00CF03FA" w:rsidRDefault="00CF03FA" w:rsidP="00CF03FA">
      <w:pPr>
        <w:pStyle w:val="TextoNormal"/>
      </w:pPr>
      <w:r>
        <w:t xml:space="preserve">b) En relación con el segundo motivo de amparo, tras reproducir parcialmente la STC 163/2004, de 4 de octubre, FJ 9, destaca el Fiscal que en la demanda no se cuestiona que cada uno de los indicios sobre los que se sustenta la condena estén acreditados por prueba directa. Tampoco se cuestiona que las operaciones de compra y venta de valores a las que se refería el procedimiento se realizasen en el despacho del que era titular y responsable; que todas las operaciones se referían a un mismo cliente, don Mariano Rubio; y que en el </w:t>
      </w:r>
      <w:r>
        <w:lastRenderedPageBreak/>
        <w:t xml:space="preserve">libro de operaciones al contado que tenía la obligación de llevar el recurrente y que era elaborado por los Servicios de contratación y liquidación de la Junta Sindical de Madrid, con las informaciones remitidas por su despacho, no se hacía constar la identidad del adquirente de los valores, sino la de una sociedad vinculada a la familia del Sr. de la Concha y que había sido liquidada años atrás. Todos estos datos, acreditados documentalmente, no se cuestionan en la demanda, sino tan sólo que el demandante diera las órdenes para que se comunicara la identidad falsa del adquirente de los valores. Ello se infiere por los órganos judiciales a partir de una serie de extremos (antigua amistad con el cliente; su relevancia pública; que el demandante era quien indicaba contra qué cuenta debían extenderse los talones, lo que revela su conocimiento de la cuenta; su conocimiento indiscutible de la mecánica de la contratación y de los sistemas informáticos utilizados; la imposibilidad de atribuir los datos erróneos a fallos del sistema) a partir de los cuales no puede tildarse a la inferencia de su autoría de contraria a las reglas de la lógica, ni de excesivamente abierta, siendo el demandante el titular del despacho y el encargado de la llevanza de los libros y tratándose de operaciones que eran objeto de especial atención por su parte. Por otra parte, este Tribunal carece de competencia para ponderar la razonabilidad de otras posibles inferencias sugeridas por el recurrente, o para sustituir a los órganos judiciales en su valoración de las pruebas, como si fuera una tercera instancia. </w:t>
      </w:r>
    </w:p>
    <w:p w:rsidR="00CF03FA" w:rsidRDefault="00CF03FA" w:rsidP="00CF03FA">
      <w:pPr>
        <w:pStyle w:val="TextoNormal"/>
      </w:pPr>
      <w:r>
        <w:t xml:space="preserve">c) La denunciada vulneración del derecho a un proceso sin dilaciones indebidas (art. 24.2 CE) es también rechazada porque ni fueron alegadas en el momento oportuno para que pudieran ser reparadas por los órganos judiciales (absteniéndose de realizar gestión alguna tendente a neutralizar las paralizaciones de la causa que ahora denuncia), ni denunciadas ante este Tribunal antes de que el proceso penal finalizase en ambas instancias. Cita las SSTC 237/2001, de 18 de diciembre, FJ 3; 7/2002, de 14 de enero, FJ 7, y 63/2005, de 14 de marzo, FJ 12. </w:t>
      </w:r>
    </w:p>
    <w:p w:rsidR="00CF03FA" w:rsidRDefault="00CF03FA" w:rsidP="00CF03FA">
      <w:pPr>
        <w:pStyle w:val="TextoNormal"/>
      </w:pPr>
      <w:r>
        <w:t>d) Finalmente, y respecto de la denunciada falta de revisión de la condena en una segunda instancia, tras transcribir parcialmente la STC 70/2002, de 3 de abril, FJ 7, se destaca que la condena de instancia (sustentada fundamentalmente en prueba documental y pericial practicada sobre los documentos) fue objeto de un profundo análisis por parte del Tribunal Supremo, al cuestionarse en el recurso de casación tanto la legitimidad como la suficiencia de la prueba, así como la razonabilidad de las inferencias practicadas, analizando igualmente la prueba de descargo y su particular versión de los hechos, lo que se viene a reconocer en la propia demanda. Por tanto, puede afirmarse que hubo revisión íntegra de la condena por un Tribunal superior.</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El presente recurso de amparo se interpone contra la Sentencia de la Sala de lo Penal del Tribunal Supremo, de 23 de abril, recaída en el recurso de casación interpuesto contra la Sentencia de la Sección Tercera de la Audiencia Provincial de Madrid, de 24 de junio, que condenó al ahora demandante de amparo como autor de un delito continuado de falsedad en documento público cometido por funcionario público.</w:t>
      </w:r>
    </w:p>
    <w:p w:rsidR="00CF03FA" w:rsidRDefault="00CF03FA" w:rsidP="00CF03FA">
      <w:pPr>
        <w:pStyle w:val="TextoNormal"/>
      </w:pPr>
      <w:r>
        <w:t>Como con detalle se ha expuesto en los antecedentes fácticos de esta resolución, el demandante denuncia que las citadas resoluciones habrían vulnerado su derecho a un proceso con todas las garantías (art. 24.2 CE), en relación con el derecho a la intimidad (art. 18.1 CE), en la medida en que toda la prueba que sustenta la condena derivaría de unos docu</w:t>
      </w:r>
      <w:r>
        <w:lastRenderedPageBreak/>
        <w:t>mentos obtenidos con vulneración de este derecho fundamental. También se considera vulnerado su derecho a la presunción de inocencia (art. 24.2 CE), por considerar la inferencia de su autoría de los hechos excesivamente abierta; su derecho a un proceso sin dilaciones indebidas (art. 24.2 CE) y su derecho a la revisión íntegra de la condena por un Tribunal superior (art. 24.2 CE en relación con el art. 14.5 del Pacto internacional de derechos civiles y políticos: PIDCP).</w:t>
      </w:r>
    </w:p>
    <w:p w:rsidR="00CF03FA" w:rsidRDefault="00CF03FA" w:rsidP="00CF03FA">
      <w:pPr>
        <w:pStyle w:val="TextoNormal"/>
      </w:pPr>
      <w:r>
        <w:t>El Fiscal se opone a la admisión a trámite de la demanda, por entender que ninguna de las vulneraciones denunciadas tiene contenido constitucional.</w:t>
      </w:r>
    </w:p>
    <w:p w:rsidR="00CF03FA" w:rsidRDefault="00CF03FA" w:rsidP="00CF03FA">
      <w:pPr>
        <w:pStyle w:val="TextoNormal"/>
      </w:pPr>
    </w:p>
    <w:p w:rsidR="00CF03FA" w:rsidRDefault="00CF03FA" w:rsidP="00CF03FA">
      <w:pPr>
        <w:pStyle w:val="TextoNormal"/>
      </w:pPr>
      <w:r w:rsidRPr="00CF03FA">
        <w:rPr>
          <w:rStyle w:val="NumeroAFNegritaCaracter"/>
        </w:rPr>
        <w:t>2</w:t>
      </w:r>
      <w:r>
        <w:t>. Sostiene el recurrente, en su primer motivo de amparo, que toda la prueba practicada es nula, por cuanto deriva de otra obtenida con vulneración del derecho a la intimidad: unos documentos —relativos a la relación contractual entre él y don Mariano Rubio—, publicados por el diario “El Mundo” y posteriormente aportados al proceso, que sólo pudieron obtenerse al margen del derecho y que fueron el origen de todas la investigación.</w:t>
      </w:r>
    </w:p>
    <w:p w:rsidR="00CF03FA" w:rsidRDefault="00CF03FA" w:rsidP="00CF03FA">
      <w:pPr>
        <w:pStyle w:val="TextoNormal"/>
      </w:pPr>
      <w:r>
        <w:t>Una primera precisión parece necesaria. La denunciada vulneración del derecho a la intimidad (art. 18.1 CE) no resultaría directa e inmediatamente imputable a los órganos judiciales conforme a lo exigido en el art. 44.1 b) LOTC, al no haberse producido en el seno del proceso penal, sino como consecuencia de la actuación extraprocesal previa de un particular (STC 114/1984, de 29 de noviembre, FJ 1). En palabras de las STC 114/1984, FJ 5, recogidas también en la STC 69/2001, de 17 de marzo, FJ 26, en relación con un problema muy similar al aquí planteado “no cabe entender que el derecho violado por la recepción jurisdiccional de la prueba es el que ya lo fue extraprocesalmente con ocasión de la obtención de ésta”. Como destaca el Ministerio Fiscal, una vez que esos datos ya son públicos y se divulgan a través de diversos medios de comunicación, su recepción jurisdiccional y la investigación desencadenada a partir de ellos no afecta ya a este derecho, dado el público conocimiento de los datos cuando se incorporan al proceso.</w:t>
      </w:r>
    </w:p>
    <w:p w:rsidR="00CF03FA" w:rsidRDefault="00CF03FA" w:rsidP="00CF03FA">
      <w:pPr>
        <w:pStyle w:val="TextoNormal"/>
      </w:pPr>
      <w:r>
        <w:t>Sentado lo anterior, es cierto que de la jurisprudencia de este Tribunal se desprende una prohibición de valoración de las pruebas obtenidas con vulneración de derechos fundamentales sustantivos susceptibles de amparo, también en supuestos en que la vulneración del derecho fundamental se imputaba a la actuación extraprocesal de un particular, sobre la base de que la recepción procesal de pruebas así obtenidas implica una ignorancia de las garantías propias del proceso (art. 24.2 CE) y una inaceptable confirmación institucional de la desigualdad entre las partes en el juicio, desigualdad que se habría procurado antijurídicamente en su provecho quien recabara instrumentos probatorios con desprecio a los derechos fundamentales de otro. Así lo venimos afirmando desde la STC 114/1984, de 29 de noviembre, FJ 5 y lo hemos reiterado, entre otras, en la STC 69/2001, de 17 de marzo, FJ 26.</w:t>
      </w:r>
    </w:p>
    <w:p w:rsidR="00CF03FA" w:rsidRDefault="00CF03FA" w:rsidP="00CF03FA">
      <w:pPr>
        <w:pStyle w:val="TextoNormal"/>
      </w:pPr>
      <w:r>
        <w:t>Ahora bien, en el presente caso, la premisa fáctica de la que parte la queja (la ilícita obtención de los documentos que están en el origen de la investigación, con vulneración de su derecho a la intimidad) no se ha acreditado en el proceso; y hemos de recordar que, de conformidad con lo establecido en el art. 44.1 b) LOTC, este Tribunal, en ningún caso, entrará a conocer de los hechos que dieron lugar al proceso. En efecto, la afirmación de que los documentos en cuestión fueron sustraídos a sus legítimos titulares es sólo eso, una afirmación, que no sólo no se considera un hecho probado por las resoluciones judiciales, sino que ni siquiera se intentó probar, puesto que —como le reprocha la Sentencia de instancia, en su FJ 4— el recurrente ni siquiera propuso como testigo al periodista que aportó los citados documentos, ni trató de acreditar de algún modo la sustracción o la ilícita obtención de los mismos.</w:t>
      </w:r>
    </w:p>
    <w:p w:rsidR="00CF03FA" w:rsidRDefault="00CF03FA" w:rsidP="00CF03FA">
      <w:pPr>
        <w:pStyle w:val="TextoNormal"/>
      </w:pPr>
      <w:r>
        <w:lastRenderedPageBreak/>
        <w:t>Por lo demás, la posible sustracción de los documentos podría dar lugar, como afirmáramos en la STC 69/2001, de 17 de marzo, FJ 26, a la exigencia de las responsabilidades correspondientes al autor del hecho, pero no implica, en sí misma la violación del derecho a la intimidad. Y la eventual vulneración que —al margen de la ilícita obtención de los documentos— derivaría de la publicación de los mismos, tampoco puede considerarse acreditada. Por una parte, porque aunque este Tribunal haya declarado que los datos relativos a la situación económica de una persona pueden incidir en el ámbito de la intimidad constitucionalmente protegida (SSTC 110/1984, de 26 de noviembre, FFJJ 5 y 6; 233/1999, de 16 de diciembre, FJ 7; FJ 9; 47/2001, de 15 de febrero, FJ 8; y 233/2005, de 26 de septiembre, FJ 4), nunca hemos afirmado que ello sea así en todo caso. Y en el presente, como destaca también el Tribunal Supremo (FJ 3 de la Sentencia de casación), los documentos en cuestión tienen un contenido estrictamente económico, referido a compras y ventas de valores con cargo a determinada cuenta, sin que el recurrente haya acreditado ni en el proceso ni ahora en amparo de qué modo los datos en ellos contenidos pudieran afectar a la intimidad personal y familiar, de un tercero, el Sr. Rubio (STC 110/1984, de 26 de noviembre, FJ 5; ATC 30/1998, de 28 de enero, FJ 2 b). Por otra, porque aún admitiendo como hipótesis el carácter íntimo de los datos publicados, de ello no deriva necesariamente una vulneración del derecho a la intimidad, pues al tratarse de datos con una indiscutible relevancia pública, en todo caso, habría que ponderar este derecho con el derecho a la libertad de información y decidir cuál de los dos prevalece. Una cuestión que excede del ámbito del presente recurso de amparo, dado que tampoco ha sido planteada en el proceso.</w:t>
      </w:r>
    </w:p>
    <w:p w:rsidR="00CF03FA" w:rsidRDefault="00CF03FA" w:rsidP="00CF03FA">
      <w:pPr>
        <w:pStyle w:val="TextoNormal"/>
      </w:pPr>
      <w:r>
        <w:t>En definitiva, no se constata una lesión del derecho a la intimidad (art. 18.1 CE), por lo que decae igualmente la pretensión relativa a la nulidad de la prueba practicada y carece de contenido la denunciada vulneración del derecho a un proceso con todas las garantías (art. 24.2 CE).</w:t>
      </w:r>
    </w:p>
    <w:p w:rsidR="00CF03FA" w:rsidRDefault="00CF03FA" w:rsidP="00CF03FA">
      <w:pPr>
        <w:pStyle w:val="TextoNormal"/>
      </w:pPr>
    </w:p>
    <w:p w:rsidR="00CF03FA" w:rsidRDefault="00CF03FA" w:rsidP="00CF03FA">
      <w:pPr>
        <w:pStyle w:val="TextoNormal"/>
      </w:pPr>
      <w:r w:rsidRPr="00CF03FA">
        <w:rPr>
          <w:rStyle w:val="NumeroAFNegritaCaracter"/>
        </w:rPr>
        <w:t>3</w:t>
      </w:r>
      <w:r>
        <w:t>. Dentro del primero de los motivos de amparo, se denuncia también la nulidad de la prueba documental remitida por la CNMV y hallada en el curso de una investigación en la antigua sede social de Ibercorp Bolsa, tanto por haberse obtenido con vulneración del art. 18 CE, como por una serie de irregularidades en el procedimiento administrativo (falta de competencia, falta de notificación, falta de audiencia), que le habrían generado indefensión.</w:t>
      </w:r>
    </w:p>
    <w:p w:rsidR="00CF03FA" w:rsidRDefault="00CF03FA" w:rsidP="00CF03FA">
      <w:pPr>
        <w:pStyle w:val="TextoNormal"/>
      </w:pPr>
      <w:r>
        <w:t>Al respecto hemos de afirmar, con el Ministerio Fiscal, que la pretendida vulneración del art. 18 CE también en la obtención de esta prueba documental no ha sido planteada en el proceso previo, trayéndose per saltum y sin ninguna fundamentación en amparo, lo que determina que deba ser inadmitida por incumplimiento del requisito procesal de haber agotado la vía judicial previa, exigido en el art. 44.1 a) LOTC.</w:t>
      </w:r>
    </w:p>
    <w:p w:rsidR="00CF03FA" w:rsidRDefault="00CF03FA" w:rsidP="00CF03FA">
      <w:pPr>
        <w:pStyle w:val="TextoNormal"/>
      </w:pPr>
      <w:r>
        <w:t>Y respecto de las anomalías en el proceso administrativo seguido por la CNMV, como señala el Tribunal Supremo (FJ 3), podrán tener relevancia en su caso en dicho procedimiento administrativo, pero no en el penal, en el que los documentos remitidos por el citado organismo a la Fiscalía del Tribunal Superior de Justicia de Madrid fueron correctamente incorporados a la causa durante la instrucción, teniendo las partes acceso a ellos con anterioridad al acto del juicio, y habiendo podido alegar y proponer prueba en relación con los mismos en defensa de sus propios intereses, lo que excluye la existencia de indefensión material y la pretendida nulidad de dicha prueba.</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Como segundo motivo de amparo, se denuncia la vulneración del derecho a la presunción de inocencia (art. 24.2 CE), por entender el recurrente que la inferencia a través de </w:t>
      </w:r>
      <w:r>
        <w:lastRenderedPageBreak/>
        <w:t>la cual se considera probada su autoría dolosa del delito es excesivamente abierta, sugiriendo otras posibles.</w:t>
      </w:r>
    </w:p>
    <w:p w:rsidR="00CF03FA" w:rsidRDefault="00CF03FA" w:rsidP="00CF03FA">
      <w:pPr>
        <w:pStyle w:val="TextoNormal"/>
      </w:pPr>
      <w:r>
        <w:t>Antes de abordar esta queja, conviene precisar que, descartada la ilicitud de la prueba en los términos expuestos en los fundamentos jurídicos anteriores, en la demanda no se cuestiona que ésta sea de cargo y suficiente para acreditar los elementos del delito de falsedad que se le imputa. Tampoco se discute —como destaca el Ministerio Fiscal— que las operaciones de compra y venta de valores a las que se refería el procedimiento se realizasen en el despacho de Agente de cambio y bolsa de Madrid del que era titular y responsable; que todas las operaciones se referían a un mismo cliente, don Mariano Rubio; que la orden de compra se cursaba sin identificar a la persona para la que se adquirían los títulos valores, redactándose las pólizas timbradas con dicho espacio en blanco, siendo en el despacho donde se hacía constar el nombre de Mariano Rubio; y que en el libro de operaciones al contado que tenía la obligación de llevar el recurrente y que era elaborado por los Servicios de contratación y liquidación de la Junta Sindical de Madrid, con las informaciones remitidas por su despacho, no se hacía constar la identidad real del adquirente de los valores, sino la de una sociedad vinculada a la familia del Sr. de la Concha y que había sido liquidada años atrás. Todos estos datos, plenamente acreditados documentalmente, no se cuestionan en la demanda, sino tan sólo la autoría y el dolo del demandante de amparo, esto es, que fuera él quien daba las instrucciones correspondientes a los empleados de su despacho.</w:t>
      </w:r>
    </w:p>
    <w:p w:rsidR="00CF03FA" w:rsidRDefault="00CF03FA" w:rsidP="00CF03FA">
      <w:pPr>
        <w:pStyle w:val="TextoNormal"/>
      </w:pPr>
      <w:r>
        <w:t xml:space="preserve">Ello se infiere por los órganos judiciales a partir de una serie de indicios consignados en el FJ 8 de la Sentencia de instancia y el FJ 5 de la Sentencia de casación (fundamentalmente, la antigua amistad existente entre el recurrente y don Mariano Rubio; la relevancia pública de éste, como Gobernador del Banco de España; su conocimiento indiscutible, debido a su profesión, de la mecánica de la contratación y de los sistemas informáticos utilizados en la Bolsa; la imposibilidad de atribuir los datos erróneos a fallos del sistema; que el demandante era quien indicaba contra qué cuenta bancaria de las de don Mariano Rubio debían extenderse los talones, lo que revela su conocimiento de la cuenta; que la sociedad Nalvi SA, cuyo nombre se utilizaba en lugar del de don Mariano Rubio era una sociedad de la familia del recurrente, liquidada y cancelada en el Registro Mercantil años antes), cuya acreditación por prueba directa tampoco se cuestiona en la demanda. Y, al margen de que algunos de los indicios por sí solos fueran insuficientes para sustentar la condena, de la apreciación de todos ellos en su conjunto llevada a cabo por los órganos judiciales, a través de un razonamiento explicitado en las resoluciones judiciales, se concluye que el recurrente fue el autor doloso del delito continuado de falsedad en documento público que se le imputa. Una inferencia que no puede calificarse de irrazonable, ni desde el punto de vista de su lógica o coherencia interna, ni desde la óptica del grado de solidez requerido, ya que se apoya en datos suficientemente concluyentes, por lo que la conclusión del Tribunal sentenciador no resulta excesivamente abierta o indeterminada. Como afirma el Tribunal Supremo, “parece lógico entender, en el ámbito de esas relaciones de amistad de muchos años entre tales dos personas que tenían cargos tan importantes, que don Manuel quisiera favorecer a don Mariano, ambos en la convicción de que esto no habría de descubrirse”, insistiendo en la contundencia de dos datos para valorar como razonable la inferencia: el uso del nombre de Nalvi SA y su vinculación con el recurrente; y el hecho, extraído de la testifical de uno de los empleados del despacho, de que era el propio don Manuel quien personalmente indicaba a qué cuenta de don Mariano debían cargarse los talones en las respectivas operaciones, indicando que los mismos permitieron a la Audiencia Provincial “excluir cualquier duda que pudiera haber tenido sobre la circunstancia de que don Manuel conocía la mecánica a </w:t>
      </w:r>
      <w:r>
        <w:lastRenderedPageBreak/>
        <w:t>través de la cual se operaba para ocultar que era su amigo, el Gobernador del Banco de España, el titular de esas compras y ventas de valores en Bolsa”.</w:t>
      </w:r>
    </w:p>
    <w:p w:rsidR="00CF03FA" w:rsidRDefault="00CF03FA" w:rsidP="00CF03FA">
      <w:pPr>
        <w:pStyle w:val="TextoNormal"/>
      </w:pPr>
      <w:r>
        <w:t>Ningún otro juicio compete a este Tribunal, pues conviene recordar, de un lado, que el juicio de amparo constitucional versa acerca de la razonabilidad del nexo establecido por la jurisdicción ordinaria, sin que podamos entrar a examinar otras posibles inferencias propuestas por quien solicita el amparo, ni sustituir la valoración efectuada por los órganos judiciales ante otras alternativas igualmente lógicas, ni siquiera afirmar que fuera significativamente más probable un acaecimiento alternativo de los hechos (SSTC 220/1998, de 16 de noviembre, FJ 3; 135/2003, de 30 de junio, FJ 3; 239/2006, de 17 de julio, FJ 7; 73/2007, de 16 de abril, FJ 6; 196/2007, de 11 de septiembre, FJ 6; y 206/2007, de 24 de septiembre, FJ 9).</w:t>
      </w:r>
    </w:p>
    <w:p w:rsidR="00CF03FA" w:rsidRDefault="00CF03FA" w:rsidP="00CF03FA">
      <w:pPr>
        <w:pStyle w:val="TextoNormal"/>
      </w:pPr>
    </w:p>
    <w:p w:rsidR="00CF03FA" w:rsidRDefault="00CF03FA" w:rsidP="00CF03FA">
      <w:pPr>
        <w:pStyle w:val="TextoNormal"/>
      </w:pPr>
      <w:r w:rsidRPr="00CF03FA">
        <w:rPr>
          <w:rStyle w:val="NumeroAFNegritaCaracter"/>
        </w:rPr>
        <w:t>5</w:t>
      </w:r>
      <w:r>
        <w:t>. La denunciada vulneración del derecho a un proceso sin dilaciones indebidas (art. 24.2 CE) no puede ser acogida, con independencia de cualquier otra consideración, por dos razones:</w:t>
      </w:r>
    </w:p>
    <w:p w:rsidR="00CF03FA" w:rsidRDefault="00CF03FA" w:rsidP="00CF03FA">
      <w:pPr>
        <w:pStyle w:val="TextoNormal"/>
      </w:pPr>
      <w:r>
        <w:t>En primer lugar, porque conforme a reiterada doctrina de este Tribunal, 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Esta exigencia, lejos de ser un mero formalismo, tiene por finalidad ofrecer a los órganos judiciales la oportunidad de pronunciarse sobre la violación constitucional invocada, haciendo posible su reparación al poner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233/2005, de 26 de septiembre, FJ 12; y 73/2007, de 16 de abril, FJ 2). Y en el presente caso, en la propia demanda se reconoce no haber cumplido con tal carga respecto de las denunciadas paralizaciones de la instrucción, alegando que el deber de impulsar el proceso corresponde al Juez y que ello le habría impedido beneficiarse de la eventual prescripción del delito. Tan sólo afirma haberse opuesto en el trámite de alegaciones a la solicitud de una comisión rogatoria a Suiza, manifestando que ello retrasaría la tramitación de la causa, pero ni ésta es la única paralización que ahora se denuncia, ni ello puede equipararse a una denuncia expresa de concretas paralizaciones de la causa imputables al órgano judicial y constitutivas de dilaciones indebidas. Tampoco se acredita haber realizado actividad procesal alguna en orden a agilizar la tramitación del recurso de casación, cuya paralización denuncia ahora en amparo.</w:t>
      </w:r>
    </w:p>
    <w:p w:rsidR="00CF03FA" w:rsidRDefault="00CF03FA" w:rsidP="00CF03FA">
      <w:pPr>
        <w:pStyle w:val="TextoNormal"/>
      </w:pPr>
      <w:r>
        <w:t xml:space="preserve">En segundo lugar, porque la denunciada vulneración carece de viabilidad cuando el proceso penal ya ha finalizado en ambas instancias, dado que la apreciación en esta sede de las pretendidas dilaciones no podría conducir a que se adoptase medida alguna para hacerlas cesar. Y, no siendo posible la restitutio in integrum del derecho fundamental, el restablecimiento de la recurrente en la integridad de su derecho con la adopción de las medidas apropiadas, en su caso, para su conservación [art. 55.1 c) LOTC] sólo podrá venir por la vía indemnizatoria (SSTC 237/2001, de 18 de diciembre, FJ 3; 167/2002, de 18 de septiembre, </w:t>
      </w:r>
      <w:r>
        <w:lastRenderedPageBreak/>
        <w:t>FJ 13; 263/2005, de 24 de octubre, FJ 8; y 73/2007, de 16 de abril, FJ 2). En consecuencia, carecen de viabilidad las demandas de amparo por dilaciones indebidas formuladas una vez que el proceso ya ha finalizado y han venido siendo rechazadas por este Tribunal por falta de objeto, circunstancia que también debe de apreciarse en este caso.</w:t>
      </w:r>
    </w:p>
    <w:p w:rsidR="00CF03FA" w:rsidRDefault="00CF03FA" w:rsidP="00CF03FA">
      <w:pPr>
        <w:pStyle w:val="TextoNormal"/>
      </w:pPr>
      <w:r>
        <w:t>A ello hemos de añadir, en relación con el efecto atenuatorio de la pena que la eventual apreciación de las dilaciones y de una atenuante analógica derivada de las mismas hubiera podido tener, que —como destaca el Tribunal Supremo, FJ 11— la Sentencia de instancia, a la hora de individualizar la pena (FJ 11) tiene en cuenta el tiempo transcurrido desde la comisión de los hechos delictivos hasta la fecha en que se celebró el acto del juicio y se dictó Sentencia (trece años), razón por la cual, y pese a la gravedad de los hechos, impone “la pena privativa de libertad menor posible”. Por tanto, el efecto práctico que en la determinación de la cuantía de la pena podría tener la apreciación de la existencia de dilaciones indebidas, ya se ha producido de facto.</w:t>
      </w:r>
    </w:p>
    <w:p w:rsidR="00CF03FA" w:rsidRDefault="00CF03FA" w:rsidP="00CF03FA">
      <w:pPr>
        <w:pStyle w:val="TextoNormal"/>
      </w:pPr>
    </w:p>
    <w:p w:rsidR="00CF03FA" w:rsidRDefault="00CF03FA" w:rsidP="00CF03FA">
      <w:pPr>
        <w:pStyle w:val="TextoNormal"/>
      </w:pPr>
      <w:r w:rsidRPr="00CF03FA">
        <w:rPr>
          <w:rStyle w:val="NumeroAFNegritaCaracter"/>
        </w:rPr>
        <w:t>6</w:t>
      </w:r>
      <w:r>
        <w:t>. Finalmente, tampoco cabe apreciar vulneración del derecho a un proceso con todas las garantías (art. 24.2 CE), en relación con el derecho a la revisión de la condena por un Tribunal superior (art. 14.5 PIDCP).</w:t>
      </w:r>
    </w:p>
    <w:p w:rsidR="00CF03FA" w:rsidRDefault="00CF03FA" w:rsidP="00CF03FA">
      <w:pPr>
        <w:pStyle w:val="TextoNormal"/>
      </w:pPr>
      <w:r>
        <w:t>Ciertamente, el Tribunal Supremo, en el ámbito de sus competencias en la resolución de un recurso de casación, no procede a realizar una nueva valoración de la prueba practicada, sino a revisar la valoración llevada a cabo por el Tribunal de instancia.  Pero debemos recordar, en palabras de la STC 70/2002, de 3 de abril, FJ 7,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w:t>
      </w:r>
    </w:p>
    <w:p w:rsidR="00CF03FA" w:rsidRDefault="00CF03FA" w:rsidP="00CF03FA">
      <w:pPr>
        <w:pStyle w:val="TextoNormal"/>
      </w:pPr>
      <w:r>
        <w:t xml:space="preserve">Y precisando las posibilidades de revisión en sede casacional y, en concreto, la posibilidad de examinar los hechos probados, hemos recordado que nuestro sistema casacional no se limita al análisis de cuestiones jurídicas y formales, sino que “actualmente, en virtud del art. 852 de la Ley de enjuiciamiento criminal (LECrim), en todo caso el recurso de casación podrá interponerse fundándose en la infracción de un precepto constitucional. Y a través de la invocación del art. 24.2 CE (tanto del proceso con todas las garantías como, fundamentalmente, de la presunción de inocencia), es posible que el Tribunal Supremo controle tanto la licitud de la prueba practicada en la que se fundamenta el fallo, como su suficiencia para desvirtuar la presunción de inocencia y la razonabilidad de las inferencias realizadas. En definitiva, mediante la alegación como motivo de casación de la infracción del derecho a la presunción de inocencia, el recurrente puede cuestionar no solo el cumplimiento de las garantías legales y constitucionales de la prueba practicada, sino la declaración de culpabilidad que el Juzgador de instancia dedujo de su contenido (STC 2/2002, de 14 de enero, FJ 2). Por tanto, tiene abierta una vía que permite al Tribunal Supremo la ‘revisión íntegra’, entendida en el sentido de posibilidad de acceder no sólo a las cuestiones jurídicas, sino también a las fácticas en que se fundamenta la declaración de culpabilidad, a través del control </w:t>
      </w:r>
      <w:r>
        <w:lastRenderedPageBreak/>
        <w:t>de la aplicación de las reglas procesales y de valoración de la prueba” (SSTC 70/2002, de 3 de abril, FJ 7; y 116/2006, de 24 de abril, FJ 5).</w:t>
      </w:r>
    </w:p>
    <w:p w:rsidR="00CF03FA" w:rsidRDefault="00CF03FA" w:rsidP="00CF03FA">
      <w:pPr>
        <w:pStyle w:val="TextoNormal"/>
      </w:pPr>
      <w:r>
        <w:t>Esto es lo que ha sucedido en el presente caso, puesto que el Tribunal Supremo ha revisado tanto la licitud de las pruebas practicadas (FFJJ 3 y 4), como su suficiencia para desvirtuar la presunción de inocencia (FJ 5), e incluso la correcta aplicación del tipo penal y la pena en él prevista a los hechos declarados probados (FFJJ 7, 8 y 9), dando respuesta a cada una de las cuestiones planteadas en el recurso de casación, e incluso analizando —como destaca el Ministerio Fiscal— la prueba de descargo y la particular versión de los hechos del recurrente, a través de una amplísima argumentación, tras la que llega a las mismas conclusiones del Tribunal de instancia, cuya condena confirma. En definitiva, el Tribunal Supremo ha procedido a una revisión de la Sentencia condenatoria en términos constitucionalmente conformes a las exigencias del art. 24.2 CE, interpretado a la luz del art. 14.5 del Pacto, realizando un análisis detallado de la prueba practicada, de su validez y de la valoración de la misma llevada a cabo por la Audiencia, para concluir que no se había producido ningún error de valoración, que la misma era válida y suficiente para fundamentar la condena y que las inferencias realizadas eran conformes a las reglas de la lógica y a las máximas de la experiencia, sin incurrir en arbitrariedad alguna. De modo que pueden entenderse suficientemente colmadas las exigencias derivadas del derecho a que la condena y la pena sean revisadas por un Tribunal superior.</w:t>
      </w:r>
    </w:p>
    <w:p w:rsidR="00CF03FA" w:rsidRDefault="00CF03FA" w:rsidP="00CF03FA">
      <w:pPr>
        <w:pStyle w:val="TextoNormal"/>
      </w:pPr>
    </w:p>
    <w:p w:rsidR="00CF03FA" w:rsidRDefault="00CF03FA" w:rsidP="00CF03FA">
      <w:pPr>
        <w:pStyle w:val="TextoNormal"/>
      </w:pPr>
      <w:r>
        <w:t>Por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Inadmitir el presente recurso de amparo promovido por don Manuel de la Concha López-Isla.</w:t>
      </w:r>
    </w:p>
    <w:p w:rsidR="00CF03FA" w:rsidRDefault="00CF03FA" w:rsidP="00CF03FA">
      <w:pPr>
        <w:pStyle w:val="TextoNormal"/>
      </w:pPr>
    </w:p>
    <w:p w:rsidR="00CF03FA" w:rsidRDefault="00CF03FA" w:rsidP="00CF03FA">
      <w:pPr>
        <w:pStyle w:val="TextoNormal"/>
      </w:pPr>
      <w:r>
        <w:t>Madrid, a veintiocho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7" w:name="AUTO_2008_116"/>
      <w:r>
        <w:lastRenderedPageBreak/>
        <w:t>AUTO 116/2008, de 28 de abril de 2008</w:t>
      </w:r>
    </w:p>
    <w:bookmarkEnd w:id="177"/>
    <w:p w:rsidR="00CF03FA" w:rsidRDefault="00CF03FA" w:rsidP="00CF03FA">
      <w:pPr>
        <w:pStyle w:val="TtuloResolucin"/>
      </w:pPr>
      <w:r>
        <w:t>Sala Segunda</w:t>
      </w:r>
    </w:p>
    <w:p w:rsidR="00CF03FA" w:rsidRDefault="00CF03FA" w:rsidP="00CF03FA">
      <w:pPr>
        <w:pStyle w:val="TtuloResolucin"/>
      </w:pPr>
    </w:p>
    <w:p w:rsidR="00CF03FA" w:rsidRDefault="00CF03FA" w:rsidP="00CF03FA">
      <w:pPr>
        <w:pStyle w:val="SntesisDescriptiva"/>
      </w:pPr>
      <w:r>
        <w:t>ECLI:ES:TC:2008:116A</w:t>
      </w:r>
    </w:p>
    <w:p w:rsidR="00CF03FA" w:rsidRDefault="00CF03FA" w:rsidP="00CF03FA">
      <w:pPr>
        <w:pStyle w:val="SntesisDescriptiva"/>
      </w:pPr>
    </w:p>
    <w:p w:rsidR="00CF03FA" w:rsidRDefault="00CF03FA" w:rsidP="00CF03FA">
      <w:pPr>
        <w:pStyle w:val="SntesisDescriptiva"/>
      </w:pPr>
      <w:r>
        <w:t>Excms. Srs. don Guillermo Jiménez Sánchez, don Vicente Conde Martín de Hijas, doña Elisa Pérez Vera, don Eugeni Gay Montalvo y don Pascual Sala Sánchez.</w:t>
      </w:r>
    </w:p>
    <w:p w:rsidR="00CF03FA" w:rsidRDefault="00CF03FA" w:rsidP="00CF03FA">
      <w:pPr>
        <w:pStyle w:val="SntesisDescriptiva"/>
      </w:pPr>
    </w:p>
    <w:p w:rsidR="00CF03FA" w:rsidRDefault="00CF03FA" w:rsidP="00CF03FA">
      <w:pPr>
        <w:pStyle w:val="SntesisDescriptiva"/>
      </w:pPr>
      <w:r>
        <w:t>Deniega la suspensión en el recurso de amparo 6988-2004, promovido por don Rafael Vera Fernández-Huidobro en causa por delito de malversación de caudales públicos.</w:t>
      </w:r>
    </w:p>
    <w:p w:rsidR="00CF03FA" w:rsidRDefault="00CF03FA" w:rsidP="00CF03FA">
      <w:pPr>
        <w:pStyle w:val="SntesisDescriptiva"/>
      </w:pPr>
    </w:p>
    <w:p w:rsidR="00CF03FA" w:rsidRDefault="00CF03FA" w:rsidP="00CF03FA">
      <w:pPr>
        <w:pStyle w:val="SntesisAnaltica"/>
      </w:pPr>
      <w:r>
        <w:t>Suspensión cautelar de sentencias penales: contenido patrimonial; prueba de irreparabilidad de los perjuicios; responsabilidad personal subsidiaria, no suspende.</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presentado en este Tribunal el 22 de noviembre de 2004, don Tomás Alonso Ballesteros, en nombre y representación de don Rafael Vera Fernández-Huidobro, interpuso recurso de amparo contra la Sentencia de la Sala de lo Penal del Tribunal Supremo, de 18 de octubre de 2004, dictada en el recurso de casación núm. 717-2002.</w:t>
      </w:r>
    </w:p>
    <w:p w:rsidR="00CF03FA" w:rsidRDefault="00CF03FA" w:rsidP="00CF03FA">
      <w:pPr>
        <w:pStyle w:val="TextoNormal"/>
      </w:pPr>
    </w:p>
    <w:p w:rsidR="00CF03FA" w:rsidRDefault="00CF03FA" w:rsidP="00CF03FA">
      <w:pPr>
        <w:pStyle w:val="TextoNormal"/>
      </w:pPr>
      <w:r w:rsidRPr="00CF03FA">
        <w:rPr>
          <w:rStyle w:val="NumeroAFNegritaCaracter"/>
        </w:rPr>
        <w:t>2</w:t>
      </w:r>
      <w:r>
        <w:t>. Mediante escritos registrados en este Tribunal con fecha, respectivamente, de 3 y 23 de agosto de 2005, el recurrente solicitó la suspensión de la ejecución de la Sentencia impugnada, que fue denegada por la Sala Segunda de este Tribunal mediante Auto 343/2005, de 26 de septiembre.</w:t>
      </w:r>
    </w:p>
    <w:p w:rsidR="00CF03FA" w:rsidRDefault="00CF03FA" w:rsidP="00CF03FA">
      <w:pPr>
        <w:pStyle w:val="TextoNormal"/>
      </w:pPr>
    </w:p>
    <w:p w:rsidR="00CF03FA" w:rsidRDefault="00CF03FA" w:rsidP="00CF03FA">
      <w:pPr>
        <w:pStyle w:val="TextoNormal"/>
      </w:pPr>
      <w:r w:rsidRPr="00CF03FA">
        <w:rPr>
          <w:rStyle w:val="NumeroAFNegritaCaracter"/>
        </w:rPr>
        <w:t>3</w:t>
      </w:r>
      <w:r>
        <w:t>. Por nuevo escrito, registrado el 31 de octubre de 2007, el recurrente solicitó la suspensión de la ejecución de la responsabilidad civil a la que fue condenado o, más precisamente, según se dice en el citado escrito, de las llamadas consecuencias accesorias previstas por el nuevo Código penal de 1995, a fin de impedir la causación de un daño difícilmente reversible. Concretamente, no sólo al propio recurrente, sino también a los herederos del Sr. don Enrique Esquiva, suegro del demandante de amparo y al que le fueron asimismo decomisadas dos de sus fincas por considerar la Sentencia condenatoria que su titularidad era ficticia y concluir, en consecuencia, que dichas fincas pertenecían en realidad al recurrente.</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6 de noviembre de 2007 la Sala Segunda de este Tribunal acordó formar la presente pieza separada de suspensión y conceder, de conformidad con lo dispuesto en el art. 56 LOTC, plazo común de tres días al Ministerio Fiscal y a las partes personadas para que alegaran lo que estimasen pertinente en relación con la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5</w:t>
      </w:r>
      <w:r>
        <w:t>. Con fecha de 13 de noviembre de 2007 el Abogado del Estado presentó sus alegaciones oponiéndose a la suspensión interesada, por considerar que entretanto, desde el dictado del ATC 434/2005, de 26 de septiembre, no se había producido ninguna circunstancia sobrevenida que fuerce la modificación de lo entonces resuelto, sin que, por otra parte, el hecho subrayado por el recurrente acerca del carácter irreparable de los perjuicios que habría de ocasionar la venta en subasta de los bienes decomisados sea un criterio relevante, toda vez que esos eventuales perjuicios se fundan en un simple temor que no está respaldado en ninguna resolución judicial que ordene su temida enajenación.</w:t>
      </w:r>
    </w:p>
    <w:p w:rsidR="00CF03FA" w:rsidRDefault="00CF03FA" w:rsidP="00CF03FA">
      <w:pPr>
        <w:pStyle w:val="TextoNormal"/>
      </w:pPr>
    </w:p>
    <w:p w:rsidR="00CF03FA" w:rsidRDefault="00CF03FA" w:rsidP="00CF03FA">
      <w:pPr>
        <w:pStyle w:val="TextoNormal"/>
      </w:pPr>
      <w:r w:rsidRPr="00CF03FA">
        <w:rPr>
          <w:rStyle w:val="NumeroAFNegritaCaracter"/>
        </w:rPr>
        <w:t>6</w:t>
      </w:r>
      <w:r>
        <w:t>. Mediante escrito registrado el 20 de noviembre de 2007 la Procuradora doña Beatriz Sánchez-Vera Gómez-Trelles, en nombre y representación de los herederos de don Enrique Esquiva, se adhirió a la petición de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7</w:t>
      </w:r>
      <w:r>
        <w:t>. El Ministerio Fiscal, mediante escrito registrado el 26 de noviembre de 2007, manifestó su opinión contraria a la suspensión, por considerar que nada había cambiado sustantivamente desde el ATC 343/2005, de 26 de septiembre, y que por consiguiente no hay ninguna razón para modificar esa decisión, toda vez que los perjuicios ahora invocados por el recurrente —la posibilidad de que las fincas sean enajenadas en subasta pública— aluden a un daño temido sin corroboración documental alguna y, en consecuencia, a un acontecimiento futuro e incierto que es insuficiente para justificar fundadamente la petición de suspensión interesada.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Conforme se ha expuesto en los antecedentes de esta resolución, el demandante solicita la suspensión de los pronunciamientos civiles de la Sentencia condenatoria recurrida en amparo. De modo principal porque, en su criterio, de no acordarse la suspensión interesada se consolidaría una situación difícilmente reversible y que cifra en la posibilidad de que las fincas decomisadas sean enajenadas en pública subasta. A esta petición se adhieren los herederos de don Enrique Esquiva, personados en este proceso. Por su parte el Abogado del Estado y el Ministerio Fiscal se pronuncian en contra de la suspensión solicitada, por considerar prácticamente de consuno que, aparte de que la no suspensión de los pronunciamientos civiles no puede causar, por definición, dados sus efectos meramente patrimoniales o económicos, perjuicios irreparables, los daños invocados por el recurrente son, además, hipotéticos y futuros, y por tanto claramente insuficientes para justificar la suspensión solicitada</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En una consolidada doctrina constitucional, que arranca al menos del ATC 275/1990, de 2 de julio, y confirman, entre otros muchos, los más recientes AATC 40/2008, de 11 de febrero, y 66/2008, de 25 de febrero, este Tribunal ha declarado la improcedencia de la suspensión de la ejecución de aquellos fallos judiciales que admiten la restitución íntegra de lo ejecutado, como por regla general sucede con los pronunciamientos judiciales de efectos meramente patrimoniales que, por su contenido económico, no causan perjuicios de imposible reparación ni, por lo mismo, hacen perder al recurso de amparo su finalidad, salvo que por su importancia o cuantía, o por las especiales circunstancias concurrentes, su cumplimiento pueda causar daños no susceptibles de reparación, y siempre, además, que en esos </w:t>
      </w:r>
      <w:r>
        <w:lastRenderedPageBreak/>
        <w:t>supuestos el demandante de amparo acredite o cuando menos justifique mediante un principio de prueba razonable el carácter efectivamente irreparable del perjuicio aducido.</w:t>
      </w:r>
    </w:p>
    <w:p w:rsidR="00CF03FA" w:rsidRDefault="00CF03FA" w:rsidP="00CF03FA">
      <w:pPr>
        <w:pStyle w:val="TextoNormal"/>
      </w:pPr>
    </w:p>
    <w:p w:rsidR="00CF03FA" w:rsidRDefault="00CF03FA" w:rsidP="00CF03FA">
      <w:pPr>
        <w:pStyle w:val="TextoNormal"/>
      </w:pPr>
      <w:r>
        <w:t>3. Con arreglo a esta doctrina constitucional no procede en el presente asunto acordar la suspensión interesada, habida cuenta de que el recurrente en amparo no ha satisfecho la carga que le incumbía de justificar y acreditar el carácter irreparable o</w:t>
      </w:r>
    </w:p>
    <w:p w:rsidR="00CF03FA" w:rsidRDefault="00CF03FA" w:rsidP="00CF03FA">
      <w:pPr>
        <w:pStyle w:val="TextoNormal"/>
      </w:pPr>
      <w:r>
        <w:t>difícilmente reparable de los perjuicios que invoca y que cifra, según se ha señalado, en la necesidad de prevenir la posible venta en subasta de las fincas decomisadas. Pues, conforme acertadamente señalan el Fiscal y el Abogado del Estado en sus</w:t>
      </w:r>
    </w:p>
    <w:p w:rsidR="00CF03FA" w:rsidRDefault="00CF03FA" w:rsidP="00CF03FA">
      <w:pPr>
        <w:pStyle w:val="TextoNormal"/>
      </w:pPr>
      <w:r>
        <w:t>respectivos escritos de alegaciones, esa posibilidad, cuya existencia no está en efecto respaldada por ningún elemento de prueba, constituye una eventualidad incierta y futura y, por tanto, incapaz en este momento de justificar la suspensión, sin</w:t>
      </w:r>
    </w:p>
    <w:p w:rsidR="00CF03FA" w:rsidRDefault="00CF03FA" w:rsidP="00CF03FA">
      <w:pPr>
        <w:pStyle w:val="TextoNormal"/>
      </w:pPr>
      <w:r>
        <w:t>perjuicio de que, caso de verificarse, la misma pudiera dar lugar a la modificación de la decisión que ahora se adopta, en virtud de lo dispuesto en el art. 57 LOTC.  Por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 por don Rafael Vera Fernández-Huidobro en el recurso de amparo núm. 6988-2004.</w:t>
      </w:r>
    </w:p>
    <w:p w:rsidR="00CF03FA" w:rsidRDefault="00CF03FA" w:rsidP="00CF03FA">
      <w:pPr>
        <w:pStyle w:val="TextoNormal"/>
      </w:pPr>
    </w:p>
    <w:p w:rsidR="00CF03FA" w:rsidRDefault="00CF03FA" w:rsidP="00CF03FA">
      <w:pPr>
        <w:pStyle w:val="TextoNormal"/>
      </w:pPr>
      <w:r>
        <w:t>Madrid, a veintiocho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8" w:name="AUTO_2008_117"/>
      <w:r>
        <w:lastRenderedPageBreak/>
        <w:t>AUTO 117/2008, de 28 de abril de 2008</w:t>
      </w:r>
    </w:p>
    <w:bookmarkEnd w:id="178"/>
    <w:p w:rsidR="00CF03FA" w:rsidRDefault="00CF03FA" w:rsidP="00CF03FA">
      <w:pPr>
        <w:pStyle w:val="TtuloResolucin"/>
      </w:pPr>
      <w:r>
        <w:t>Sección Cuarta</w:t>
      </w:r>
    </w:p>
    <w:p w:rsidR="00CF03FA" w:rsidRDefault="00CF03FA" w:rsidP="00CF03FA">
      <w:pPr>
        <w:pStyle w:val="TtuloResolucin"/>
      </w:pPr>
    </w:p>
    <w:p w:rsidR="00CF03FA" w:rsidRDefault="00CF03FA" w:rsidP="00CF03FA">
      <w:pPr>
        <w:pStyle w:val="SntesisDescriptiva"/>
      </w:pPr>
      <w:r>
        <w:t>ECLI:ES:TC:2008:117A</w:t>
      </w:r>
    </w:p>
    <w:p w:rsidR="00CF03FA" w:rsidRDefault="00CF03FA" w:rsidP="00CF03FA">
      <w:pPr>
        <w:pStyle w:val="SntesisDescriptiva"/>
      </w:pPr>
    </w:p>
    <w:p w:rsidR="00CF03FA" w:rsidRDefault="00CF03FA" w:rsidP="00CF03FA">
      <w:pPr>
        <w:pStyle w:val="SntesisDescriptiva"/>
      </w:pPr>
      <w:r>
        <w:t>Excms. Srs. don Vicente Conde Martín de Hijas, doña Elisa Pérez Vera y don Ramón Rodríguez Arribas.</w:t>
      </w:r>
    </w:p>
    <w:p w:rsidR="00CF03FA" w:rsidRDefault="00CF03FA" w:rsidP="00CF03FA">
      <w:pPr>
        <w:pStyle w:val="SntesisDescriptiva"/>
      </w:pPr>
    </w:p>
    <w:p w:rsidR="00CF03FA" w:rsidRDefault="00CF03FA" w:rsidP="00CF03FA">
      <w:pPr>
        <w:pStyle w:val="SntesisDescriptiva"/>
      </w:pPr>
      <w:r>
        <w:t>Inadmite a trámite el recurso de amparo 862-2006, promovido por Obrascón Huarte Laín, S.A., en contencioso sobre bonificación tributaria por las obras del Teatro Real.</w:t>
      </w:r>
    </w:p>
    <w:p w:rsidR="00CF03FA" w:rsidRDefault="00CF03FA" w:rsidP="00CF03FA">
      <w:pPr>
        <w:pStyle w:val="SntesisDescriptiva"/>
      </w:pPr>
    </w:p>
    <w:p w:rsidR="00CF03FA" w:rsidRDefault="00CF03FA" w:rsidP="00CF03FA">
      <w:pPr>
        <w:pStyle w:val="SntesisAnaltica"/>
      </w:pPr>
      <w:r>
        <w:t>Inadmisión de recurso de amparo: carencia de contenido que justifique una decisión sobre el fondo del asunto. Derecho a la tutela judicial efectiva: ejecución de sentencias, respetado.</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Mediante escrito registrado en este Tribunal el 27 de enero de 2006, la Sociedad Obrascon Huarte Lain, S. A. , representada por el Procurador de los Tribunales don Adolfo Morales Hernández-Sanjuán y asistida por los Letrados José Luis Roldán y Miguel López Pardo, interpusieron recurso de amparo contra la Sentencia de 7 de octubre de 2005 dictada por la Sección Cuarta de la Sala de lo Contencioso-Administrativo del Tribunal Superior de Justicia de Madrid en el recurso de apelación número 221-2005, por la que se desestimó el recurso de apelación interpuesto contra el Auto de 26 de enero de 2005, dictado por el Juzgado de lo Contencioso-Administrativo núm. 1 de Madrid en la pieza separada de incidente de ejecución de la Sentencia, dimanante del procedimiento ordinario número 106-2002.</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relevantes para el enjuiciamiento del presente recurso de amparo son, en esencia, los siguientes: </w:t>
      </w:r>
    </w:p>
    <w:p w:rsidR="00CF03FA" w:rsidRDefault="00CF03FA" w:rsidP="00CF03FA">
      <w:pPr>
        <w:pStyle w:val="TextoNormal"/>
      </w:pPr>
      <w:r>
        <w:t xml:space="preserve">a) El Instituto Nacional de Artes Escénicas y de la Música (INAEM), Organismo Autónomo dependiente del Ministerio de Cultura, solicitó el día 14 de febrero de 1996 al Excmo. Ayuntamiento de Madrid el otorgamiento de una licencia municipal de obras para la ejecución de la tercera fase de las obras de reconversión del Teatro Real en Teatro de la Ópera y, al mismo tiempo, el reconocimiento de la bonificación del 95 por 100 de la cuota tributaria en la autoliquidación del impuesto sobre construcciones, instalaciones y obras que había sido establecida en el art. 11.2 de la Ley 30/1990, de 27 de diciembre, de beneficios fiscales correspondientes a “Madrid-Capital Europea de la Cultura 1992”. Mediante Resolución de 22 de febrero de 1996 del Excmo. Ayuntamiento de Madrid se denegó la solicitud formulada por el INAEM relativa a dicha bonificación tributaria, debido a que las obras que se habían autorizado se iban a realizar en 1996 y el periodo de vigencia de la ley que amparó la solicitud terminó el 31 de diciembre de 1992. </w:t>
      </w:r>
    </w:p>
    <w:p w:rsidR="00CF03FA" w:rsidRDefault="00CF03FA" w:rsidP="00CF03FA">
      <w:pPr>
        <w:pStyle w:val="TextoNormal"/>
      </w:pPr>
      <w:r>
        <w:t xml:space="preserve">Fue el contratista adjudicatario que iba a desarrollar las correspondientes obras, la empresa Huarte, S.A., quien en concepto de sustituto del contribuyente, impugnó la Resolución </w:t>
      </w:r>
      <w:r>
        <w:lastRenderedPageBreak/>
        <w:t xml:space="preserve">de 22 de febrero de 1996 denegatoria de la bonificación, en el recurso número 773-1996 ante la Sección Cuarta de la Sala de lo Contencioso-Administrativo del Tribunal Superior de Justicia de Madrid. Dicho procedimiento concluyó mediante Sentencia de 23 de enero de 1998, que desestimó el recurso contencioso-administrativo interpuesto, declarando la conformidad a derecho de la Resolución del Ayuntamiento de Madrid de fecha 22 de febrero de 1996 desestimatoria de la petición de bonificación del 95 por 100 en el impueto para las obras de la III fase de la reconversión del Teatro Real en Teatro de la Ópera de Madrid. </w:t>
      </w:r>
    </w:p>
    <w:p w:rsidR="00CF03FA" w:rsidRDefault="00CF03FA" w:rsidP="00CF03FA">
      <w:pPr>
        <w:pStyle w:val="TextoNormal"/>
      </w:pPr>
      <w:r>
        <w:t xml:space="preserve">Contra dicha Sentencia, la mercantil Huarte, S. A., interpuso recurso de casación, del cual conoció la Sección Segunda de la Sala de lo Contencioso-Administrativo del Tribunal Supremo, que en su recurso de casación núm. 7005-1998 dictó Sentencia de 29 de mayo de 2003, acordando la desestimación del recurso de casación. </w:t>
      </w:r>
    </w:p>
    <w:p w:rsidR="00CF03FA" w:rsidRDefault="00CF03FA" w:rsidP="00CF03FA">
      <w:pPr>
        <w:pStyle w:val="TextoNormal"/>
      </w:pPr>
      <w:r>
        <w:t xml:space="preserve">b) Paralelamente al recurso que acabamos de mencionar, la mercantil Obrascon Huarte Lain, S.A., interpuso un nuevo recurso contencioso-administrativo, en esta ocasión contra el Decreto del Excmo. Ayuntamiento de Madrid de 21 de octubre de 2001, referente al Acta de liquidación número 30878-1997, incoada a Huarte, S. A., por el impuesto con motivo de las mismas obras de reconversión del Teatro Real-Fase III. </w:t>
      </w:r>
    </w:p>
    <w:p w:rsidR="00CF03FA" w:rsidRDefault="00CF03FA" w:rsidP="00CF03FA">
      <w:pPr>
        <w:pStyle w:val="TextoNormal"/>
      </w:pPr>
      <w:r>
        <w:t xml:space="preserve">Dicho recurso correspondió al Juzgado de lo Contencioso-Administrativo núm. 1 de Madrid, en procedimiento ordinario número 182-2002, y concluyó mediante Sentencia de 18 de marzo de 2003, en la que se estimó en parte la pretensión de la recurrente (reconocimiento de la minoración del 15,06 por 100 en concepto de corrección del coeficiente de adjudicación a la baja), pero —por lo que aquí interesa— se desestimó la pretensión relativa a la aplicación de la bonificación del 95por 100 en el impuesto que la recurrente había vuelto a plantear con motivo de la impugnación del acto de liquidación. </w:t>
      </w:r>
    </w:p>
    <w:p w:rsidR="00CF03FA" w:rsidRDefault="00CF03FA" w:rsidP="00CF03FA">
      <w:pPr>
        <w:pStyle w:val="TextoNormal"/>
      </w:pPr>
      <w:r>
        <w:t xml:space="preserve">Motivada por la denegación de la bonificación, la anterior Sentencia fue recurrida en apelación ante el Tribunal Superior de Justicia de Madrid, donde la Sección Cuarta de la Sala de lo Contencioso-Administrativo tramitó el recurso núm. 65-2003, y mediante Sentencia de fecha 20 de junio de 2003, estimó el recurso de apelación y revocó en parte la Sentencia apelada, y declaró el derecho de la recurrente a la bonificación del 95 por 100 en la cuota del impuesto, anulando como consecuencia los actos recurridos. </w:t>
      </w:r>
    </w:p>
    <w:p w:rsidR="00CF03FA" w:rsidRDefault="00CF03FA" w:rsidP="00CF03FA">
      <w:pPr>
        <w:pStyle w:val="TextoNormal"/>
      </w:pPr>
      <w:r>
        <w:t xml:space="preserve">c) Con fecha 3 de marzo de 2004 el Excmo. Ayuntamiento de Madrid, Sección del impuesto sobre construcciones, instalaciones y obras, en ejecución de la Sentencia del Tribunal Supremo citada en el apartado a) emitió una liquidación del impuesto por un importe total de 2.178.698.93 €. </w:t>
      </w:r>
    </w:p>
    <w:p w:rsidR="00CF03FA" w:rsidRDefault="00CF03FA" w:rsidP="00CF03FA">
      <w:pPr>
        <w:pStyle w:val="TextoNormal"/>
      </w:pPr>
      <w:r>
        <w:t xml:space="preserve">El día 5 de marzo de 2004 la sociedad Obrascon Huarte Lain, S. A., aportó al Excmo. Ayuntamiento de Madrid, Sección del impuesto sobre construcciones, instalaciones y obras, copia de la Sentencia dictada por la Sala de lo Contencioso-Administrativo del Tribunal Superior de Justicia de Madrid en fecha 20 de junio de 2003 y copia del Acta instruida por la Inspección de Tributos número 3087897. El Ayuntamiento, a la vista de la documentación citada, anuló la liquidación de 2.178.698,93 €. </w:t>
      </w:r>
    </w:p>
    <w:p w:rsidR="00CF03FA" w:rsidRDefault="00CF03FA" w:rsidP="00CF03FA">
      <w:pPr>
        <w:pStyle w:val="TextoNormal"/>
      </w:pPr>
      <w:r>
        <w:t xml:space="preserve">d) El día 17 de mayo de 2004 fue notificado por la Inspección de Tributos del Ayuntamiento de Madrid a Obrascon Huarte Lain, S. A el Decreto del Concejal de Gobierno de Hacienda y Administración Pública de 31 de marzo de 2004, dictado en aplicación de lo resuelto por la Sección Cuarta de la Sala de lo Contencioso-Administrativo del Tribunal Superior de Justicia de Madrid en Sentencia de fecha 20 de junio de 2003. En dicho decretó se acordó anular la liquidación derivada del Acta núm. 30878-1997, por el concepto de impuesto y por el importe de 1.697.048,59 €y aprobar simultáneamente una nueva liquidación, por los mismos conceptos y por importe de 12.275,58 €, todo ello “sin perjuicio de la </w:t>
      </w:r>
      <w:r>
        <w:lastRenderedPageBreak/>
        <w:t xml:space="preserve">ejecución correspondiente a la Sentencia de la Sala de lo Contencioso-Administrativo del Tribunal Supremo de fecha 29 de mayo de 2003." </w:t>
      </w:r>
    </w:p>
    <w:p w:rsidR="00CF03FA" w:rsidRDefault="00CF03FA" w:rsidP="00CF03FA">
      <w:pPr>
        <w:pStyle w:val="TextoNormal"/>
      </w:pPr>
      <w:r>
        <w:t xml:space="preserve">Esta liquidación por importe de 12.275,58 € fue inmediatamente abonada por la mercantil interesada, quedando así completamente ejecutado lo establecido por la Sentencia de 20 de junio de 2003 de la Sección Cuarta de la Sala de lo Contencioso-Administrativo del Tribunal Superior de Justicia de Madrid. </w:t>
      </w:r>
    </w:p>
    <w:p w:rsidR="00CF03FA" w:rsidRDefault="00CF03FA" w:rsidP="00CF03FA">
      <w:pPr>
        <w:pStyle w:val="TextoNormal"/>
      </w:pPr>
      <w:r>
        <w:t xml:space="preserve">e) El 19 de octubre de 2004 el Excmo. Ayuntamiento de Madrid, Sección del impuesto sobre construcciones, instalaciones y obras, emitió una nueva liquidación del impuesto, por el mismo hecho imponible —fase III de las obras del Teatro Real—, derivada del mismo Acta número 30878-1997, señalando que lo hacía en ejecución de la Sentencia del Tribunal Supremo de 29 de mayo de 2003 por un importe total de 1.976.922,10 €, sin aplicación por tanto de la bonificación del 95 por 100. </w:t>
      </w:r>
    </w:p>
    <w:p w:rsidR="00CF03FA" w:rsidRDefault="00CF03FA" w:rsidP="00CF03FA">
      <w:pPr>
        <w:pStyle w:val="TextoNormal"/>
      </w:pPr>
      <w:r>
        <w:t xml:space="preserve">f) Contra esta última liquidación del impuesto por importe de 1.976.922,10 € Obrascon Huarte Lain, S. A., promovió un incidente de ejecución de Sentencia ante el Juzgado de lo Contencioso-Administrativo núm.1 de Madrid, en el cual se solicitaba su nulidad. Dicho incidente fue desestimado mediante Auto de 26 de enero de 2005, por entender que no se trataba de un incidente de ejecución propiamente dicho, puesto que la Administración demandada había cumplido en todos sus extremos las sentencias recaídas en el procedimiento seguido ante el Juzgado, que tenían su origen en la Resolución de 23 de octubre de 2001, y añadía que no era competente para decretar la nulidad de la liquidación girada el 19 de octubre de 2001 porque la sentencia de la que traía causa había sido dictada por el Tribunal Superior de Justicia de Madrid, confirmada luego por el Tribunal Supremo. </w:t>
      </w:r>
    </w:p>
    <w:p w:rsidR="00CF03FA" w:rsidRDefault="00CF03FA" w:rsidP="00CF03FA">
      <w:pPr>
        <w:pStyle w:val="TextoNormal"/>
      </w:pPr>
      <w:r>
        <w:t>g) Dicho Auto de 26 de enero de 2005 fue recurrido en apelación, conociendo la Sección Cuarta de la Sala de lo Contencioso-Administrativo del Tribunal Superior de Justicia de Madrid (núm. de procedimiento 221-2005), que por Sentencia de 7 de octubre de 2005, notificada el 26 de diciembre de 2005, desestimó íntegramente el recurso de apelación confirmando dicha resolución íntegramente por considerarla conforme e derecho.</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Contra la Sentencia de 7 de octubre de 2005, Obrascon Huarte Lain, S. A., interpuso el presente recurso de amparo que, según consta en expresamente en el escrito de demanda, se fundamenta en los cinco siguientes motivos: </w:t>
      </w:r>
    </w:p>
    <w:p w:rsidR="00CF03FA" w:rsidRDefault="00CF03FA" w:rsidP="00CF03FA">
      <w:pPr>
        <w:pStyle w:val="TextoNormal"/>
      </w:pPr>
      <w:r>
        <w:t xml:space="preserve">El primero es la vulneración del derecho de la demandante de amparo a la tutela judicial efectiva del art. 24.1 CE en la doble vertiente del derecho a la invariabilidad de las resoluciones judiciales firmes y a la ejecución de las sentencias en sus propios términos. </w:t>
      </w:r>
    </w:p>
    <w:p w:rsidR="00CF03FA" w:rsidRDefault="00CF03FA" w:rsidP="00CF03FA">
      <w:pPr>
        <w:pStyle w:val="TextoNormal"/>
      </w:pPr>
      <w:r>
        <w:t xml:space="preserve">El segundo es la vulneración del derecho a la tutela judicial efectiva porque el Ayuntamiento de Madrid, el 19 de octubre de 2004, volvió a emitir una liquidación del impuesto sin aplicar la bonificación del 95 por 100, señalando que se trataba de la ejecución de la Sentencia dictada por el Tribunal Supremo de 29 de mayo de 2003 y sin embargo no cabía ni revisar la anterior liquidación ni emitir una nueva. Añade que en el auto dictado por el Juzgado de lo Contencioso-Administrativo núm. 1 de Madrid el día 26 de enero de 2005 se inhibió por considerar que era incompetente, a pesar de ser a éste a quien correspondía garantizar la ejecución y, finalmente, que la sentencia dictada por la Sección Cuarta de la Sala de lo Contencioso-Administrativo del Tribunal Superior de Justicia de Madrid el día 7 de octubre de 2005 desestimó el recurso de apelación, vulnerándose por ello el derecho de la demandante de amparo a la tutela judicial efectiva del art. 24.1 CE, por tratarse de un decisión arbitraria e irrazonable. </w:t>
      </w:r>
    </w:p>
    <w:p w:rsidR="00CF03FA" w:rsidRDefault="00CF03FA" w:rsidP="00CF03FA">
      <w:pPr>
        <w:pStyle w:val="TextoNormal"/>
      </w:pPr>
      <w:r>
        <w:lastRenderedPageBreak/>
        <w:t xml:space="preserve">En el tercer motivo, que la recurrente designa como “relevancia a efectos de recurso de amparo de la existencia de dos sentencias contradictorias”, se sostiene que la sentencia dictada por el Tribunal Supremo carecía de posible ejecución, por insuficiencia de datos para efectuar la oportuna liquidación y que, por su parte, la sentencia dictada por el Tribunal Superior de Justicia de Madrid tenía que haber reconocido que la liquidación de 19 de octubre de 2004 era nula. </w:t>
      </w:r>
    </w:p>
    <w:p w:rsidR="00CF03FA" w:rsidRDefault="00CF03FA" w:rsidP="00CF03FA">
      <w:pPr>
        <w:pStyle w:val="TextoNormal"/>
      </w:pPr>
      <w:r>
        <w:t xml:space="preserve">El cuarto motivo enumerado es que el incidente de ejecución no es el cauce adecuado para revisar alegatos no realizados o ya rechazados. Se defiende aquí que es totalmente inoportuna la afirmación efectuada en la sentencia del Tribunal Superior de Justicia de 7 de octubre de 2005 relativa a que, inexplicablemente, el Ayuntamiento de Madrid nunca hubiera invocado cuestión alguna de litispendencia o cosa juzgada ante esa Sala, habida cuenta de que el incidente de ejecución no puede servir para revisar eternamente el contenido de la Sentencia. </w:t>
      </w:r>
    </w:p>
    <w:p w:rsidR="00CF03FA" w:rsidRDefault="00CF03FA" w:rsidP="00CF03FA">
      <w:pPr>
        <w:pStyle w:val="TextoNormal"/>
      </w:pPr>
      <w:r>
        <w:t>El quinto y último motivo es que el incidente de ejecución no debe remitir a un nuevo proceso sobre lo ya resuelto. Critica aquí que la sentencia del Tribunal Superior de Justicia de 7 de octubre de 2005 dijera que, si la parte actora entendiera que el nuevo acto administrativo dictado era nulo, debería haber hecho uso de las correspondientes vías de impugnación del mismo, frente a lo que la parte interesada sostiene que es dentro del proceso donde hay que resolver los problemas relativos a la ejecución simulada o fraudulenta del fallo judicial, a cuyos fines invoca el art. 103. 4 y 5 LRJCA.</w:t>
      </w:r>
    </w:p>
    <w:p w:rsidR="00CF03FA" w:rsidRDefault="00CF03FA" w:rsidP="00CF03FA">
      <w:pPr>
        <w:pStyle w:val="TextoNormal"/>
      </w:pPr>
    </w:p>
    <w:p w:rsidR="00CF03FA" w:rsidRDefault="00CF03FA" w:rsidP="00CF03FA">
      <w:pPr>
        <w:pStyle w:val="TextoNormal"/>
      </w:pPr>
      <w:r w:rsidRPr="00CF03FA">
        <w:rPr>
          <w:rStyle w:val="NumeroAFNegritaCaracter"/>
        </w:rPr>
        <w:t>4</w:t>
      </w:r>
      <w:r>
        <w:t>. Por providencia de la Sección Cuarta de este Tribunal de 10 de diciembre de 2007,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formulasen, con las aportaciones documentales que procedieren, las alegaciones que estimaren pertinentes en relación con lo dispuesto en el art. 50.1 LOTC.</w:t>
      </w:r>
    </w:p>
    <w:p w:rsidR="00CF03FA" w:rsidRDefault="00CF03FA" w:rsidP="00CF03FA">
      <w:pPr>
        <w:pStyle w:val="TextoNormal"/>
      </w:pPr>
    </w:p>
    <w:p w:rsidR="00CF03FA" w:rsidRDefault="00CF03FA" w:rsidP="00CF03FA">
      <w:pPr>
        <w:pStyle w:val="TextoNormal"/>
      </w:pPr>
      <w:r w:rsidRPr="00CF03FA">
        <w:rPr>
          <w:rStyle w:val="NumeroAFNegritaCaracter"/>
        </w:rPr>
        <w:t>5</w:t>
      </w:r>
      <w:r>
        <w:t>. La parte recurrente, mediante escrito registrado en este Tribunal Constitucional el 16 de enero de 2008 reprodujo los fundamentos fácticos, legales y constitucionales contenidos en su demanda de amparo, añadiendo solamente abundantes citas de la jurisprudencia de este Tribunal Constitucional relativas a los derechos invocados.</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Fiscal ha presentado sus alegaciones mediante escrito registrado en este Tribunal el 24 de enero de 2008, en el que interesa que este Tribunal dicte Auto mediante el que se acuerde la inadmisión a trámite de la demanda. Para llegar a esta conclusión realiza un recorrido exhaustivo de los antecedentes fácticos del presente proceso constitucional y analiza separadamente las cinco alegaciones, tal como fueron enumeradas en la propia demanda de amparo. </w:t>
      </w:r>
    </w:p>
    <w:p w:rsidR="00CF03FA" w:rsidRDefault="00CF03FA" w:rsidP="00CF03FA">
      <w:pPr>
        <w:pStyle w:val="TextoNormal"/>
      </w:pPr>
      <w:r>
        <w:t xml:space="preserve">Comienza observando que las alegaciones que aparecen bajo los números 3, 4 y 5 en la demanda deben ser rechazadas porque no se desprende de las mismas qué derecho constitucional habría sido vulnerado y el Tribunal Constitucional no puede reconstruir las demandas de oficio ni suplir las deficiencias de argumentación; por ello sólo realiza consideraciones sobre los dos primeros motivos. </w:t>
      </w:r>
    </w:p>
    <w:p w:rsidR="00CF03FA" w:rsidRDefault="00CF03FA" w:rsidP="00CF03FA">
      <w:pPr>
        <w:pStyle w:val="TextoNormal"/>
      </w:pPr>
      <w:r>
        <w:t xml:space="preserve">Respecto del segundo motivo de impugnación aprecia que, en parte, debe ser reconducido al primer motivo, pues aunque se achaca la lesión a la propia administración que llevó a cabo la actuación liquidadora, no puede referirse sino a la actividad jurisdiccional, puesto </w:t>
      </w:r>
      <w:r>
        <w:lastRenderedPageBreak/>
        <w:t xml:space="preserve">que la violación del derecho fundamental a la tutela judicial efectiva por infracción del derecho a la ejecución de las resoluciones jurisdiccionales firmes -comprendido en aquél, según reiterada jurisprudencia de ese Tribunal- sólo cabe que sea imputada a los órganos judiciales y no a la Administración. </w:t>
      </w:r>
    </w:p>
    <w:p w:rsidR="00CF03FA" w:rsidRDefault="00CF03FA" w:rsidP="00CF03FA">
      <w:pPr>
        <w:pStyle w:val="TextoNormal"/>
      </w:pPr>
      <w:r>
        <w:t xml:space="preserve">Hecha esta aclaración, pasa a pronunciarse sobre los vicios de incongruencia, arbitrariedad e irrazonabilidad, todos ellos achacados —según dice el Fiscal— a la Sentencia dictada por la Sección Cuarta de la Sala de lo Contencioso-Administrativo del Tribunal Superior de Justicia de Madrid el día 7 de octubre de 2005, que desestimó el incidente de ejecución promovido por la sociedad demandante de amparo. </w:t>
      </w:r>
    </w:p>
    <w:p w:rsidR="00CF03FA" w:rsidRDefault="00CF03FA" w:rsidP="00CF03FA">
      <w:pPr>
        <w:pStyle w:val="TextoNormal"/>
      </w:pPr>
      <w:r>
        <w:t xml:space="preserve">Sostiene que, respecto del vicio de incongruencia, concurre la causa de inadmisión establecida en el art. 50.1 a) en relación con el art. 44.1 a) LOTC, en su redacción anterior a la aprobada por la Ley Orgánica 6/2007, de 24 de mayo, por no haberse agotado todos los recursos utilizables dentro de la vía judicial, habida cuenta no se entabló contra la sentencia dictada por la Sección Cuarta de la Sala de lo Contencioso-Administrativo del Tribunal Superior de Justicia de Madrid en fecha 7 de octubre de 2005 el oportuno incidente de nulidad de actuaciones con arreglo a lo establecido en el art. 241.1 LOPJ. </w:t>
      </w:r>
    </w:p>
    <w:p w:rsidR="00CF03FA" w:rsidRDefault="00CF03FA" w:rsidP="00CF03FA">
      <w:pPr>
        <w:pStyle w:val="TextoNormal"/>
      </w:pPr>
      <w:r>
        <w:t xml:space="preserve">Considera que tampoco puede apreciarse arbitrariedad, irrazonabilidad o error patente ni en el Auto dictado por el Juzgado de lo Contencioso-Administrativo número 1 de Madrid el día 26 de enero de 2005 ni en la Sentencia dictada por la Sección Cuarta de la Sala de lo Contencioso-Administrativo del Tribunal Superior de Justicia de Madrid el día 7 de octubre de 2005. Apoya su afirmación en que la liquidación del Excmo. Ayuntamiento de Madrid de fecha 19 de octubre de 2004 se dictó en ejecución de la Sentencia del Tribunal Supremo de 29 de mayo de 2003 y, por ello, la sociedad demandante de amparo tendría que haber hecho valer su pretensión en el procedimiento en el que el Tribunal Supremo dictó la sentencia de casación. Al no haber procedido de este modo, el Juzgado de lo Contencioso-Administrativo número 1 de Madrid era un órgano completamente inadecuado para resolver tal pretensión, máxime cuando el procedimiento contencioso-administrativo que se había seguido ante este Juzgado había quedado completamente ejecutado cuando la entidad demandante de amparo abonó, el 21 de mayo de 2004, la suma de 12.275,58 €. Por lo tanto, el Juzgado, al rechazar la pretensión de la sociedad Obrascon Huarte Lain, S.A., actuó dentro de la mayor lógica jurídica y, en realidad, no podía haber resuelto otra cosa. Lo mismo es extensible a la decisión de la Sección Cuarta de la Sala de lo Contencioso-Administrativo del Tribunal Superior de Justicia de Madrid, que en grado de apelación confirmó la resolución del Juzgado. </w:t>
      </w:r>
    </w:p>
    <w:p w:rsidR="00CF03FA" w:rsidRDefault="00CF03FA" w:rsidP="00CF03FA">
      <w:pPr>
        <w:pStyle w:val="TextoNormal"/>
      </w:pPr>
      <w:r>
        <w:t xml:space="preserve">Finalmente analiza la primera alegación del recurrente en amparo, la vulneración del derecho de la demandante de amparo a la tutela judicial efectiva del art. 24.1 CE, en la doble vertiente del derecho a la invariabilidad de las resoluciones judiciales firmes y a la ejecución de las sentencias en sus propios términos. </w:t>
      </w:r>
    </w:p>
    <w:p w:rsidR="00CF03FA" w:rsidRDefault="00CF03FA" w:rsidP="00CF03FA">
      <w:pPr>
        <w:pStyle w:val="TextoNormal"/>
      </w:pPr>
      <w:r>
        <w:t>Comienza para ello haciendo referencia a la doctrina constitucional relativa al derecho invocado y considera necesario tener en cuenta que, cuando la sociedad recurrente promovió el Incidente de Ejecución de Sentencia, las sentencias dictadas el 18 de marzo por el Juzgado de lo Contencioso-Administrativo número 1 de Madrid y 20 de junio de 2003 por la Sección Cuarta de la Sala de lo Contencioso-Administrativo del Tribunal Superior de Justicia de Madrid, ya habían quedado completamente ejecutadas y, en tales circunstancias, difícilmente podría hablarse de infracción del derecho a la tutela judicial efectiva de la sociedad demandante de amparo en su vertiente del derecho a la ejecución de las sentencias en sus propios términos. Y, de igual modo, esas mismas resoluciones en esas mismas circunstan</w:t>
      </w:r>
      <w:r>
        <w:lastRenderedPageBreak/>
        <w:t xml:space="preserve">cias tampoco pueden haber atacado la intangibilidad de las sentencias una vez completamente ejecutado lo resuelto en ellas. Por el contrario, sí podrían haber vulnerado la intangibilidad de la sentencia dictada en fecha 29 de mayo de 2003 por la Sección Segunda de la Sala de lo Contencioso-Administrativo del Tribunal Supremo si, en lugar de resolver como lo hicieron, hubieran accedido a lo solicitado por la representación procesal de la sociedad Obrascon Huarte Lain, S. A., en el incidente de ejecución de Sentencia. </w:t>
      </w:r>
    </w:p>
    <w:p w:rsidR="00CF03FA" w:rsidRDefault="00CF03FA" w:rsidP="00CF03FA">
      <w:pPr>
        <w:pStyle w:val="TextoNormal"/>
      </w:pPr>
      <w:r>
        <w:t xml:space="preserve">Termina diciendo que la recurrente, cuando le fue notificado el Decreto del Concejal de Gobierno de Hacienda y Administración Pública del Ayuntamiento de Madrid de 31 de marzo de 2004 (por el que se anulaba la liquidación por el importe de 1.697.048,59 €, y se aprobaba una nueva liquidación, por los mismos conceptos, por importe de 12.275,58 €), tuvo conocimiento de que todo ello se acordaba, según constaba en igual Decreto, “sin perjuicio de la ejecución correspondiente a la Sentencia de la Sala de lo Contencioso-Administrativo del Tribunal Supremo de fecha 29 de mayo de 2003”, y frente a esta concreta disposición no adoptó iniciativa alguna, habiendo podido entablar contra ella los recursos que hubiera entendido procedentes, incluso en vía administrativa, dando así al Ayuntamiento de Madrid la oportunidad de haber cambiado de criterio sobre tal particular, lo que a su vez probablemente hubiera evitado que se emitiera la liquidación de fecha 19 de octubre de 2004. Lo que implica que aquélla sociedad puede haber resultado víctima de su propia negligencia. </w:t>
      </w:r>
    </w:p>
    <w:p w:rsidR="00CF03FA" w:rsidRDefault="00CF03FA" w:rsidP="00CF03FA">
      <w:pPr>
        <w:pStyle w:val="TextoNormal"/>
      </w:pPr>
      <w:r>
        <w:t>Por todo ello la demanda resulta inadmisible con arreglo a lo establecido en el art. 50.1 c) LOTC (en su redacción anterior a la aprobada por la Ley Orgánica 6/2007, de 24 de mayo).</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La parte procesal recurrente en amparo interpone su demanda de amparo contra la Sentencia de 7 de octubre de 2005 dictada por la Sección Cuarta de la Sala de lo Contencioso-Administrativo del Tribunal Superior de Justicia de Madrid, que desestimó su recurso de apelación contra el Auto de 26 de enero de 2005 dictado por el Juzgado de lo Contencioso-Administrativo núm. 1 de Madrid en la pieza separada de incidente de ejecución de la Sentencia, por considerar que ha sido vulnerado su derecho a la tutela judicial efectiva del art. 24.1 CE en sus vertientes del derecho a la invariabilidad de las resoluciones judiciales firmes y a la ejecución de las sentencias en sus propios términos y, conectado con el anterior, que la Sentencia impugnada resulta arbitraria e irrazonable.</w:t>
      </w:r>
    </w:p>
    <w:p w:rsidR="00CF03FA" w:rsidRDefault="00CF03FA" w:rsidP="00CF03FA">
      <w:pPr>
        <w:pStyle w:val="TextoNormal"/>
      </w:pPr>
      <w:r>
        <w:t xml:space="preserve">Por su parte el Ministerio público pide la inadmisión del recurso y comienza poniendo de manifiesto que en la demanda de amparo, a pesar de enumerarse hasta cinco motivos de impugnación de las resoluciones impugnadas, sólo dos aparecen suficientemente argumentados y, por tanto, son los únicos que merecen ser tenidos en consideración. El primero de ellos se referiría a los vicios de incongruencia, arbitrariedad e irrazonabilidad en los que incurrirían las resoluciones judiciales y el segundo a la vulneración del derecho de la demandante de amparo a la tutela judicial efectiva del art. 24.1 CE, en la doble vertiente del derecho a la invariabilidad de las resoluciones judiciales firmes y a la ejecución de las sentencias en sus propios términos.  Respecto de ambos interesa el Ministerio Fiscal la inadmisión del recurso por un doble motivo, respecto de un pretendido vicio de incongruencia, concurre la causa de inadmisión establecida en el art. 50.1.a) en relación con el art. 44.1 a) LOTC (en su redacción anterior a la aprobada por la Ley Orgánica 6/2007, de 24 de mayo), por no haberse agotado todos los recursos utilizables dentro de la vía judicial; respecto del </w:t>
      </w:r>
      <w:r>
        <w:lastRenderedPageBreak/>
        <w:t>resto, la falta de todo contenido constitucional que justifique una decisión sobre el fondo determina su inadmisión con base en el art. 50.1 c) LOTC (en su redacción anterior a la aprobada por la Ley Orgánica 6/2007, de 24 de mayo).</w:t>
      </w:r>
    </w:p>
    <w:p w:rsidR="00CF03FA" w:rsidRDefault="00CF03FA" w:rsidP="00CF03FA">
      <w:pPr>
        <w:pStyle w:val="TextoNormal"/>
      </w:pPr>
    </w:p>
    <w:p w:rsidR="00CF03FA" w:rsidRDefault="00CF03FA" w:rsidP="00CF03FA">
      <w:pPr>
        <w:pStyle w:val="TextoNormal"/>
      </w:pPr>
      <w:r w:rsidRPr="00CF03FA">
        <w:rPr>
          <w:rStyle w:val="NumeroAFNegritaCaracter"/>
        </w:rPr>
        <w:t>2</w:t>
      </w:r>
      <w:r>
        <w:t>. Antes de entrar en la principal alegación de la recurrente, hemos de observar que, pese a lo que manifiesta el fiscal, la recurrente no ha alegado vicio de incongruencia, motivo por el cual no cabe admitir que concurra la causa de inadmisión contemplada en el art. 50.1 a) en relación con el art. 44.1 a) LOTC (en su redacción anterior a la aprobada por la Ley Orgánica 6/2007, de 24 de mayo).</w:t>
      </w:r>
    </w:p>
    <w:p w:rsidR="00CF03FA" w:rsidRDefault="00CF03FA" w:rsidP="00CF03FA">
      <w:pPr>
        <w:pStyle w:val="TextoNormal"/>
      </w:pPr>
    </w:p>
    <w:p w:rsidR="00CF03FA" w:rsidRDefault="00CF03FA" w:rsidP="00CF03FA">
      <w:pPr>
        <w:pStyle w:val="TextoNormal"/>
      </w:pPr>
      <w:r w:rsidRPr="00CF03FA">
        <w:rPr>
          <w:rStyle w:val="NumeroAFNegritaCaracter"/>
        </w:rPr>
        <w:t>3</w:t>
      </w:r>
      <w:r>
        <w:t>. Como ya se expuso ampliamente en los antecedentes, la propia parte recurrente inició dos procesos contencioso-administrativos distintos, que tenían una pretensión en común: el reconocimiento del derecho a la bonificación del 95 por 100 en la cuota del impuesto sobre construcciones, instalaciones y obras establecida en el marco de los beneficios fiscales correspondientes a “Madrid-Capital Europea de la Cultura 1992”. Dado que ninguna de las partes —ni la recurrente ni el propio Ayuntamiento de Madrid— puso de manifiesto la existencia de litispendencia, dichos procesos terminaron con dos Sentencias contradictorias, la primera del Tribunal Supremo que le fue desfavorable, pues no reconoció el pretendido derecho a la bonificación y, la segunda del Tribunal Superior de Justicia de Madrid que, tras haberle sido denegada en primera instancia por el Juzgado de lo contencioso administrativo núm.1 de Madrid, en apelación le reconoció la misma.</w:t>
      </w:r>
    </w:p>
    <w:p w:rsidR="00CF03FA" w:rsidRDefault="00CF03FA" w:rsidP="00CF03FA">
      <w:pPr>
        <w:pStyle w:val="TextoNormal"/>
      </w:pPr>
      <w:r>
        <w:t>Ello provocó que hubiera dos Sentencias que ejecutar y las dos fueron ejecutadas del siguiente modo. Primero se ejecutó la del Tribunal Supremo, de 29 de mayo de 2003, emitiendo el Ayuntamiento una liquidación de 2.178.698,93 € y el recurrente reaccionó aportando la Sentencia del Tribunal Superior de Justicia, de 20 de junio del mismo año, en la que se reconocían, entre otros extremos (reconocimiento de la minoración del 15,06 por 100 en concepto de corrección del coeficiente de adjudicación a la baja), su derecho a la bonificación del 95 por 100 en la cuota del impuesto. El Ayuntamiento anuló la primera liquidación y emitió una nueva liquidación de 12.275,58 €, contemplando todas las correcciones cuantitativas que le habían sido reconocidas al recurrente por esta Sentencia y especificando con toda claridad que dicha liquidación se emitía “sin perjuicio de la ejecución correspondiente a la Sentencia de la Sala de lo Contencioso-Administrativo del Tribunal Supremo de 29 de mayo de 2003”.</w:t>
      </w:r>
    </w:p>
    <w:p w:rsidR="00CF03FA" w:rsidRDefault="00CF03FA" w:rsidP="00CF03FA">
      <w:pPr>
        <w:pStyle w:val="TextoNormal"/>
      </w:pPr>
      <w:r>
        <w:t>Pues bien, el recurrente se mostró conforme con la misma hasta que el Ayuntamiento de Madrid volvió a anular la anterior liquidación y giró otra nueva en ejecución de la Sentencia del Tribunal Supremo de 29 de mayo de 2003, que respetó la cuota de la liquidación anterior en todos sus extremos, salvo en lo relativo a la bonificación del 95 por 100, por lo que la cuota ascendió a la suma de 1.976.922,19 €.</w:t>
      </w:r>
    </w:p>
    <w:p w:rsidR="00CF03FA" w:rsidRDefault="00CF03FA" w:rsidP="00CF03FA">
      <w:pPr>
        <w:pStyle w:val="TextoNormal"/>
      </w:pPr>
      <w:r>
        <w:t>Contra esta liquidación la mercantil solicitante de amparo promovió un incidente de ejecución de Sentencia ante el Juzgado de lo Contencioso-Administrativo núm. 1 de Madrid, en el cual pretendía la nulidad de esa tercera liquidación. El incidente fue desestimado por el Juzgado mediante Auto de fecha 26 de enero de 2005 y por la Sección Cuarta de la Sala de lo Contencioso-Administrativo del Tribunal Superior de Justicia de Madrid, en grado de apelación, mediante la Sentencia de 7 de octubre de 2005 recurrida en amparo.</w:t>
      </w:r>
    </w:p>
    <w:p w:rsidR="00CF03FA" w:rsidRDefault="00CF03FA" w:rsidP="00CF03FA">
      <w:pPr>
        <w:pStyle w:val="TextoNormal"/>
      </w:pPr>
    </w:p>
    <w:p w:rsidR="00CF03FA" w:rsidRDefault="00CF03FA" w:rsidP="00CF03FA">
      <w:pPr>
        <w:pStyle w:val="TextoNormal"/>
      </w:pPr>
      <w:r w:rsidRPr="00CF03FA">
        <w:rPr>
          <w:rStyle w:val="NumeroAFNegritaCaracter"/>
        </w:rPr>
        <w:t>4</w:t>
      </w:r>
      <w:r>
        <w:t xml:space="preserve">. El examen de la cuestión de fondo lleva a apreciar la causa de inadmisión prevista en el art. 50.1 c) LOTC (en su redacción anterior a la aprobada por la Ley Orgánica 6/2007, de </w:t>
      </w:r>
      <w:r>
        <w:lastRenderedPageBreak/>
        <w:t>24 de mayo). Ha de recordarse que este Tribunal ha venido señalando desde sus primeros pronunciamientos (SSTC 32/1982, de 7 de junio, FJ 2; 67/1984, de 7 de junio, FJ 2; 176/1985, de 17 de diciembre, FJ 2; 125/1987 de 15 de julio, FJ 4; ó, 215/1988, 14 de noviembre, FJ 3, entre otras) que forma parte del derecho a la tutela judicial efectiva la ejecución de las Sentencias en sus propios términos, ya que, en caso contrario, las decisiones judiciales y los derechos en ellas reconocidos no serían otra cosa que meras declaraciones de intenciones y que tal derecho a la ejecución impide que el órgano judicial se aparte sin causa justificada de lo previsto en el fallo que haya de ejecutar, o que se abstenga de adoptar las medidas necesarias para proveer a la ejecución misma, cuando ello sea legalmente exigible (entre los más recientes STC 11/2008, de 21 de enero, FJ 6 y 7).</w:t>
      </w:r>
    </w:p>
    <w:p w:rsidR="00CF03FA" w:rsidRDefault="00CF03FA" w:rsidP="00CF03FA">
      <w:pPr>
        <w:pStyle w:val="TextoNormal"/>
      </w:pPr>
      <w:r>
        <w:t>Ahora bien, también se ha precisado al respecto que no corresponde a este Tribunal, juzgando en amparo, sustituir a la autoridad judicial en el cometido de interpretar y fijar el alcance de sus propios pronunciamientos, ni el modo de llevarlos a su puro y debido efecto, cumpliéndole, estrictamente, velar para que tales decisiones se adopten en el seno del procedimiento de ejecución, de un modo razonablemente coherente con el contenido de la resolución que se haya de ejecutar, no siendo, en suma, de la jurisdicción de este Tribunal la determinación de cuáles sean las decisiones que, en cada caso, se hayan de adoptar para la ejecución, ni la revisión de las premisas fácticas y del juicio de legalidad con arreglo a las cuales la ejecución se resuelva, de forma que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(por todas, STC 3/2002, de 14 de enero FJ 3).</w:t>
      </w:r>
    </w:p>
    <w:p w:rsidR="00CF03FA" w:rsidRDefault="00CF03FA" w:rsidP="00CF03FA">
      <w:pPr>
        <w:pStyle w:val="TextoNormal"/>
      </w:pPr>
      <w:r>
        <w:t>Pues bien, si examinamos lo sucedido en este supuesto, y lo ponemos en relación con nuestra doctrina, advertimos que no se trata aquí de una inejecución propiamente dicha pues, como advirtieron los órganos judiciales, —tanto el Juzgado de lo Contencioso-Administrativo como el Tribunal Superior de Justicia— la Sentencia de la Sección Cuarta de la Sala de lo Contencioso-Administrativo del Tribunal Superior de Justicia de Madrid en Sentencia de fecha 20 de junio de 2003 había sido ejecutada en sus propios términos desde el momento en que el día 17 de mayo de 2004 fue notificado por la Inspección de Tributos del Ayuntamiento de Madrid a Obrascon Huarte Lain, S.A., el Decreto del Concejal de Gobierno de Hacienda y Administración Pública de 31 de marzo de 2004, por el que se acordó anular la liquidación derivada del Acta núm. 30878-1997, por el concepto de impuesto y por el importe de 1.697.048,59 € y se aprobó una nueva liquidación, por importe de 12.275,58 €, que fue abonada por el recurrente.</w:t>
      </w:r>
    </w:p>
    <w:p w:rsidR="00CF03FA" w:rsidRDefault="00CF03FA" w:rsidP="00CF03FA">
      <w:pPr>
        <w:pStyle w:val="TextoNormal"/>
      </w:pPr>
      <w:r>
        <w:t>Siendo así es necesario descartar la vulneración constitucional pretendida, pues la resolución judicial impugnada se ha limitado a constatar que la ejecución de la sentencia pretendida se ha llevado a cabo.</w:t>
      </w:r>
    </w:p>
    <w:p w:rsidR="00CF03FA" w:rsidRDefault="00CF03FA" w:rsidP="00CF03FA">
      <w:pPr>
        <w:pStyle w:val="TextoNormal"/>
      </w:pPr>
    </w:p>
    <w:p w:rsidR="00CF03FA" w:rsidRDefault="00CF03FA" w:rsidP="00CF03FA">
      <w:pPr>
        <w:pStyle w:val="TextoNormal"/>
      </w:pPr>
      <w:r w:rsidRPr="00CF03FA">
        <w:rPr>
          <w:rStyle w:val="NumeroAFNegritaCaracter"/>
        </w:rPr>
        <w:t>5</w:t>
      </w:r>
      <w:r>
        <w:t>. Y es que realmente de lo que se lamenta la recurrente no es de la inejecución de la Sentencia de la Sección Cuarta de la Sala de lo Contencioso-Administrativo del Tribunal Superior de Justicia de Madrid en Sentencia de fecha 20 de junio de 2003, sino de que hubiese sido ejecutada otra sentencia, la Sentencia de la Sala de lo Contencioso-Administrativo del Tribunal Supremo de fecha 29 de mayo de 2003, aquella que le negó el derecho a la bonificación a la recurrente. Planteada así la cuestión, procede examinar la segunda tacha constitucional, si la decisión adoptada por el órgano judicial en la resolución impugnada fue arbitraria o irrazonable.</w:t>
      </w:r>
    </w:p>
    <w:p w:rsidR="00CF03FA" w:rsidRDefault="00CF03FA" w:rsidP="00CF03FA">
      <w:pPr>
        <w:pStyle w:val="TextoNormal"/>
      </w:pPr>
      <w:r>
        <w:lastRenderedPageBreak/>
        <w:t>Comoquiera que la Sentencia impugnada se encuentra motivada, expresa la causa legal de la decisión que adopta, esto es, que según el art. 109 de la Ley reguladora de la jurisdicción contencioso-administrativa (LJCA) no se plantea un incidente de ejecución de Sentencia sino la declaración de nulidad de un acto administrativo dictado en ejecución de una sentencia firme diferente, la Sentencia del Tribunal Supremo de 29 de mayo de 2003, no puede estimarse la misma como irrazonable o arbitraria y, por ende, vulneradora del derecho fundamental a la ejecución de lo resuelto que se invoca.</w:t>
      </w:r>
    </w:p>
    <w:p w:rsidR="00CF03FA" w:rsidRDefault="00CF03FA" w:rsidP="00CF03FA">
      <w:pPr>
        <w:pStyle w:val="TextoNormal"/>
      </w:pPr>
      <w:r>
        <w:t>En consecuencia, por todo lo expuesto, y de conformidad con el art. 50.1 c) LOTC (en su redacción anterior a la aprobada por la Ley Orgánica 6/2007, de 24 de mayo), la Sección acuerda la inadmisión de la demanda de amparo, dada la carencia manifiesta de contenido de las quejas formuladas por la parte recurrente que pudiera justificar una decisión sobre el fondo en el presente proceso constitucional.</w:t>
      </w:r>
    </w:p>
    <w:p w:rsidR="00CF03FA" w:rsidRDefault="00CF03FA" w:rsidP="00CF03FA">
      <w:pPr>
        <w:pStyle w:val="TextoNormal"/>
      </w:pPr>
    </w:p>
    <w:p w:rsidR="00CF03FA" w:rsidRDefault="00CF03FA" w:rsidP="00CF03FA">
      <w:pPr>
        <w:pStyle w:val="TextoNormal"/>
      </w:pPr>
      <w:r>
        <w:t>Por todo lo expuesto, la Sección</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La inadmisión del presente recurso de amparo</w:t>
      </w:r>
    </w:p>
    <w:p w:rsidR="00CF03FA" w:rsidRDefault="00CF03FA" w:rsidP="00CF03FA">
      <w:pPr>
        <w:pStyle w:val="TextoNormal"/>
      </w:pPr>
    </w:p>
    <w:p w:rsidR="00CF03FA" w:rsidRDefault="00CF03FA" w:rsidP="00CF03FA">
      <w:pPr>
        <w:pStyle w:val="TextoNormal"/>
      </w:pPr>
      <w:r>
        <w:t>Madrid, a veintiocho de abril de dos mil ocho.</w:t>
      </w:r>
    </w:p>
    <w:p w:rsidR="00CF03FA" w:rsidRDefault="00CF03FA">
      <w:pPr>
        <w:spacing w:after="160" w:line="259" w:lineRule="auto"/>
        <w:rPr>
          <w:rFonts w:ascii="Times New Roman" w:eastAsia="Times New Roman" w:hAnsi="Times New Roman" w:cs="Times New Roman"/>
          <w:sz w:val="24"/>
          <w:szCs w:val="24"/>
          <w:lang w:eastAsia="es-ES"/>
        </w:rPr>
      </w:pPr>
      <w:r>
        <w:br w:type="page"/>
      </w:r>
    </w:p>
    <w:p w:rsidR="00CF03FA" w:rsidRDefault="00CF03FA" w:rsidP="00CF03FA">
      <w:pPr>
        <w:pStyle w:val="TtuloResolucin"/>
      </w:pPr>
      <w:bookmarkStart w:id="179" w:name="AUTO_2008_118"/>
      <w:r>
        <w:lastRenderedPageBreak/>
        <w:t>AUTO 118/2008, de 28 de abril de 2008</w:t>
      </w:r>
    </w:p>
    <w:bookmarkEnd w:id="179"/>
    <w:p w:rsidR="00CF03FA" w:rsidRDefault="00CF03FA" w:rsidP="00CF03FA">
      <w:pPr>
        <w:pStyle w:val="TtuloResolucin"/>
      </w:pPr>
      <w:r>
        <w:t>Sala Primera</w:t>
      </w:r>
    </w:p>
    <w:p w:rsidR="00CF03FA" w:rsidRDefault="00CF03FA" w:rsidP="00CF03FA">
      <w:pPr>
        <w:pStyle w:val="TtuloResolucin"/>
      </w:pPr>
    </w:p>
    <w:p w:rsidR="00CF03FA" w:rsidRDefault="00CF03FA" w:rsidP="00CF03FA">
      <w:pPr>
        <w:pStyle w:val="SntesisDescriptiva"/>
      </w:pPr>
      <w:r>
        <w:t>ECLI:ES:TC:2008:118A</w:t>
      </w:r>
    </w:p>
    <w:p w:rsidR="00CF03FA" w:rsidRDefault="00CF03FA" w:rsidP="00CF03FA">
      <w:pPr>
        <w:pStyle w:val="SntesisDescriptiva"/>
      </w:pPr>
    </w:p>
    <w:p w:rsidR="00CF03FA" w:rsidRDefault="00CF03FA" w:rsidP="00CF03FA">
      <w:pPr>
        <w:pStyle w:val="SntesisDescriptiva"/>
      </w:pPr>
      <w:r>
        <w:t>Excms. Srs. doña María Emilia Casas Baamonde, don Javier Delgado Barrio, don Jorge Rodríguez-Zapata Pérez, don Manuel Aragón Reyes y don Pablo Pérez Tremps.</w:t>
      </w:r>
    </w:p>
    <w:p w:rsidR="00CF03FA" w:rsidRDefault="00CF03FA" w:rsidP="00CF03FA">
      <w:pPr>
        <w:pStyle w:val="SntesisDescriptiva"/>
      </w:pPr>
    </w:p>
    <w:p w:rsidR="00CF03FA" w:rsidRDefault="00CF03FA" w:rsidP="00CF03FA">
      <w:pPr>
        <w:pStyle w:val="SntesisDescriptiva"/>
      </w:pPr>
      <w:r>
        <w:t>Deniega la suspensión en el recurso de amparo 3376-2007, promovido por don Javier Gaya González en pleito sobre indemnización por daños y perjuicios.</w:t>
      </w:r>
    </w:p>
    <w:p w:rsidR="00CF03FA" w:rsidRDefault="00CF03FA" w:rsidP="00CF03FA">
      <w:pPr>
        <w:pStyle w:val="SntesisDescriptiva"/>
      </w:pPr>
    </w:p>
    <w:p w:rsidR="00CF03FA" w:rsidRDefault="00CF03FA" w:rsidP="00CF03FA">
      <w:pPr>
        <w:pStyle w:val="SntesisAnaltica"/>
      </w:pPr>
      <w:r>
        <w:t>Suspensión cautelar de resoluciones civiles: inadmisión de demanda de rescisión de sentencia firme. Suspensión cautelar de sentencias civiles: improcedente; contenido patrimonial; prueba de irreparabilidad de los perjuicios.</w:t>
      </w:r>
    </w:p>
    <w:p w:rsidR="00CF03FA" w:rsidRDefault="00CF03FA" w:rsidP="00CF03FA">
      <w:pPr>
        <w:pStyle w:val="SntesisAnaltica"/>
      </w:pPr>
    </w:p>
    <w:p w:rsidR="00CF03FA" w:rsidRDefault="00CF03FA" w:rsidP="00CF03FA">
      <w:pPr>
        <w:pStyle w:val="SntesisAnaltica"/>
      </w:pPr>
    </w:p>
    <w:p w:rsidR="00CF03FA" w:rsidRDefault="00CF03FA" w:rsidP="00CF03FA">
      <w:pPr>
        <w:pStyle w:val="SntesisAnaltica"/>
      </w:pPr>
    </w:p>
    <w:p w:rsidR="00CF03FA" w:rsidRDefault="00CF03FA" w:rsidP="00CF03FA">
      <w:pPr>
        <w:pStyle w:val="TextoNormalNegritaCentrado"/>
      </w:pPr>
      <w:r>
        <w:t>AUTO</w:t>
      </w:r>
    </w:p>
    <w:p w:rsidR="00CF03FA" w:rsidRDefault="00CF03FA" w:rsidP="00CF03FA">
      <w:pPr>
        <w:pStyle w:val="TextoNormalNegritaCentrado"/>
      </w:pPr>
    </w:p>
    <w:p w:rsidR="00CF03FA" w:rsidRDefault="00CF03FA" w:rsidP="00CF03FA">
      <w:pPr>
        <w:pStyle w:val="TextoNormalNegritaCentrado"/>
        <w:keepNext/>
      </w:pPr>
      <w:r>
        <w:t>I. Antecedentes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Con fecha 13 de abril de 2007 la Procuradora de los Tribunales doña Susana Romero González, en nombre y representación de don Javier Gaya González, presentó en el Registro General de este Tribunal demanda de amparo contra los Autos de 11 de noviembre de 2006 y 8 de marzo de 2007 de la Sección Vigesimoprimera de la Audiencia Provincial de Madrid, por los que se inadmite la demanda de rescisión interpuesta por el demandante de amparo contra la Sentencia dictada por dicha Sección e1 14 de febrero de 2006 en el recurso de apelación núm. 256-2004.</w:t>
      </w:r>
    </w:p>
    <w:p w:rsidR="00CF03FA" w:rsidRDefault="00CF03FA" w:rsidP="00CF03FA">
      <w:pPr>
        <w:pStyle w:val="TextoNormal"/>
      </w:pPr>
    </w:p>
    <w:p w:rsidR="00CF03FA" w:rsidRDefault="00CF03FA" w:rsidP="00CF03FA">
      <w:pPr>
        <w:pStyle w:val="TextoNormal"/>
      </w:pPr>
      <w:r w:rsidRPr="00CF03FA">
        <w:rPr>
          <w:rStyle w:val="NumeroAFNegritaCaracter"/>
        </w:rPr>
        <w:t>2</w:t>
      </w:r>
      <w:r>
        <w:t xml:space="preserve">. Los hechos en que se fundamenta la demanda de amparo son, sucintamente expuestos, los siguientes: </w:t>
      </w:r>
    </w:p>
    <w:p w:rsidR="00CF03FA" w:rsidRDefault="00CF03FA" w:rsidP="00CF03FA">
      <w:pPr>
        <w:pStyle w:val="TextoNormal"/>
      </w:pPr>
      <w:r>
        <w:t xml:space="preserve">a) Don Javier Gaya González fue demandado, junto a otras personas, en juicio de menor cuantía sobre reclamación de cantidad en concepto de indemnización por daños y perjuicios, sustanciado bajo el núm. 585-1999 ante el Juzgado de Primera Instancia núm. 64 de Madrid, siendo declarado en rebeldía. Por Sentencia de 10 de noviembre de 2003 el Juzgado desestimó la demanda y absolvió a los demandados de los pedimentos deducidos en su contra. </w:t>
      </w:r>
    </w:p>
    <w:p w:rsidR="00CF03FA" w:rsidRDefault="00CF03FA" w:rsidP="00CF03FA">
      <w:pPr>
        <w:pStyle w:val="TextoNormal"/>
      </w:pPr>
      <w:r>
        <w:t xml:space="preserve">b) Contra dicha Sentencia interpuso la parte demandante recurso de apelación, que fue tramitado bajo el núm. 256-2004 por la Sección Vigesimoprimera de la Audiencia Provincial de Madrid, permaneciendo durante el mismo el Sr. Gaya González en situación de rebeldía, y siendo estimado el recurso por Sentencia dictada e1 14 de febrero de 2006, por la que se revoca la de instancia, se estima en parte la demanda y se condena a los demandados a abonar una indemnización de 58.962,68 euros (más intereses) a dos de los demandantes, así como al pago de una indemnización de 2.992,44 euros (más intereses) al otro demandante. Al no poder practicarse notificación personal de la Sentencia al Sr. Gaya González, se ordenó la publicación por edictos mediante providencia de 14 de junio de 2006. </w:t>
      </w:r>
    </w:p>
    <w:p w:rsidR="00CF03FA" w:rsidRDefault="00CF03FA" w:rsidP="00CF03FA">
      <w:pPr>
        <w:pStyle w:val="TextoNormal"/>
      </w:pPr>
      <w:r>
        <w:t xml:space="preserve">c) El 5 de julio de 2006 el demandante de amparo se personó en las actuaciones y solicitó que se le notificara la Sentencia recaída en apelación, notificación que tuvo lugar el 11 de </w:t>
      </w:r>
      <w:r>
        <w:lastRenderedPageBreak/>
        <w:t>julio de 2006, y en esa misma fecha interpuso demanda de rescisión de sentencia firme, al amparo de los arts. 500 y concordantes LEC, aduciendo desconocer la existencia del proceso por encontrarse residiendo en Irlanda desde el año 1998. Por Auto de 11 de noviembre de 2006 la Sección Vigesimoprimera de la Audiencia Provincial de Madrid acuerda inadmitir a trámite la demanda de rescisión por no concurrir el requisito de la firmeza de la Sentencia cuya rescisión se pretende. Notificado este Auto, el recurrente en amparo solicita entonces a la Sección que se libre diligencia de declaración de firmeza de la Sentencia, lo que así fue acordado por providencia de 3 de enero de 2007, tras lo cual el recurrente volvió a presentar su demanda de rescisión de sentencia firme, que es de nuevo inadmitida a trámite por Auto de 8 de marzo de 2007, al entender la Sección que el recurrente no cumplió con la carga de recurrir la Sentencia en casación, dado que al personarse en las actuaciones el 5 de julio de 2006 aquélla todavía no era firme.</w:t>
      </w:r>
    </w:p>
    <w:p w:rsidR="00CF03FA" w:rsidRDefault="00CF03FA" w:rsidP="00CF03FA">
      <w:pPr>
        <w:pStyle w:val="TextoNormal"/>
      </w:pPr>
    </w:p>
    <w:p w:rsidR="00CF03FA" w:rsidRDefault="00CF03FA" w:rsidP="00CF03FA">
      <w:pPr>
        <w:pStyle w:val="TextoNormal"/>
      </w:pPr>
      <w:r w:rsidRPr="00CF03FA">
        <w:rPr>
          <w:rStyle w:val="NumeroAFNegritaCaracter"/>
        </w:rPr>
        <w:t>3</w:t>
      </w:r>
      <w:r>
        <w:t xml:space="preserve">. En la demanda de amparo se alega que los Autos impugnados han lesionado el derecho del recurrente a la tutela judicial efectiva (art. 24.1 CE), porque la decisión de inadmitir a trámite la demanda de rescisión sin entrar en el fondo de la misma le priva del único medio de defensa del que disponía, tratándose de un caso claro de situación continua de rebeldía; a ello se añade que, a juicio del recurrente, los Autos incurren en error patente cuando afirman que la Sentencia era recurrible en casación, toda vez que cuando el recurrente se persona en las actuaciones ya no cabía interponer ningún recurso, porque habían trascurrido los plazos legales para hacerlo. </w:t>
      </w:r>
    </w:p>
    <w:p w:rsidR="00CF03FA" w:rsidRDefault="00CF03FA" w:rsidP="00CF03FA">
      <w:pPr>
        <w:pStyle w:val="TextoNormal"/>
      </w:pPr>
      <w:r>
        <w:t>Mediante otrosí, y de conformidad con el art. 56.1 LOTC, el recurrente solicitó que se acordase la suspensión de la ejecución de los Autos impugnados en amparo, afirmando que la ejecución le causaría un perjuicio irreparable, lo que haría perder al amparo su finalidad, en caso de que fuera finalmente concedido.</w:t>
      </w:r>
    </w:p>
    <w:p w:rsidR="00CF03FA" w:rsidRDefault="00CF03FA" w:rsidP="00CF03FA">
      <w:pPr>
        <w:pStyle w:val="TextoNormal"/>
      </w:pPr>
    </w:p>
    <w:p w:rsidR="00CF03FA" w:rsidRDefault="00CF03FA" w:rsidP="00CF03FA">
      <w:pPr>
        <w:pStyle w:val="TextoNormal"/>
      </w:pPr>
      <w:r w:rsidRPr="00CF03FA">
        <w:rPr>
          <w:rStyle w:val="NumeroAFNegritaCaracter"/>
        </w:rPr>
        <w:t>4</w:t>
      </w:r>
      <w:r>
        <w:t>. Por sendas providencias de 26 de marzo de 2008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00CF03FA" w:rsidRDefault="00CF03FA" w:rsidP="00CF03FA">
      <w:pPr>
        <w:pStyle w:val="TextoNormal"/>
      </w:pPr>
    </w:p>
    <w:p w:rsidR="00CF03FA" w:rsidRDefault="00CF03FA" w:rsidP="00CF03FA">
      <w:pPr>
        <w:pStyle w:val="TextoNormal"/>
      </w:pPr>
      <w:r w:rsidRPr="00CF03FA">
        <w:rPr>
          <w:rStyle w:val="NumeroAFNegritaCaracter"/>
        </w:rPr>
        <w:t>5</w:t>
      </w:r>
      <w:r>
        <w:t>. El Ministerio Fiscal evacuó el trámite de alegaciones conferido mediante escrito presentado el 7 de abril de 2008, interesando que se deniegue la suspensión solicitada. El Fiscal recuerda que, conforme a reiterada doctrina constitucional, no procede la suspensión de la ejecución de la resolución judicial ex art. 56 LOTC en los casos de pronunciamientos de contenido meramente económico, que permiten la restitución en caso de que se otorgase el amparo. Tal acontece en el presente caso, ya que la Sentencia cuya rescisión se pretende condena al pago, entre varias personas, de una suma no excesiva cuantitativamente (poco más de 60.000 euros), por lo que la ejecución de los Autos que inadmiten la demanda de rescisión no frustraría la finalidad del recurso de amparo, si fuese otorgado, pues se trata de una suma fácilmente recuperable. Además, debe tenerse en cuenta que el otorgamiento del amparo sólo obligaría, como mucho, a la admisión a trámite de la demanda de rescisión.</w:t>
      </w:r>
    </w:p>
    <w:p w:rsidR="00CF03FA" w:rsidRDefault="00CF03FA" w:rsidP="00CF03FA">
      <w:pPr>
        <w:pStyle w:val="TextoNormal"/>
      </w:pPr>
    </w:p>
    <w:p w:rsidR="00CF03FA" w:rsidRDefault="00CF03FA" w:rsidP="00CF03FA">
      <w:pPr>
        <w:pStyle w:val="TextoNormal"/>
      </w:pPr>
      <w:r w:rsidRPr="00CF03FA">
        <w:rPr>
          <w:rStyle w:val="NumeroAFNegritaCaracter"/>
        </w:rPr>
        <w:t>6</w:t>
      </w:r>
      <w:r>
        <w:t xml:space="preserve">. El demandante de amparo formuló escrito de alegaciones que tuvo entrada en el registro general de este Tribunal el 7 de abril de 2008. Tras recordar los antecedentes del </w:t>
      </w:r>
      <w:r>
        <w:lastRenderedPageBreak/>
        <w:t>asunto, el demandante reitera su solicitud de suspensión de la ejecución de los Autos impugnados en tanto se resuelve el recurso de amparo, pues de otro modo considera que se le ocasionaría un daño irreparable que frustraría la finalidad del amparo, en caso de que fuese otorgado. Ello es así porque ya se ha despachado por el Juzgado de Primera Instancia núm. 64 de Madrid ejecución de la Sentencia firme cuya rescisión se pretendía y que condena al recurrente en amparo, junto a otros, al pago de una importante cantidad dineraria, sin que haya podido embargarse dinero u otros bienes del recurrente, que se encuentra actualmente sin empleo y en una precaria situación económica, lo que no impide que puedan embargarse bienes futuros, que pueden ser adquiridos por terceros de buena fe, ocasionando así un grave perjuicio patrimonial al recurrente. Por otra parte, sostiene asimismo el recurrente la procedencia de la suspensión interesada en cuanto considera que la misma no ocasionaría perturbación para los intereses generales ni perjuicio para los derechos o intereses de terceros, pues la ejecución de la condena de cantidad sólo se suspendería respecto del recurrente en amparo, no respecto de los restantes condenados en el proceso civil en el que aquél fue condenado en rebeldía.</w:t>
      </w:r>
    </w:p>
    <w:p w:rsidR="00CF03FA" w:rsidRDefault="00CF03FA" w:rsidP="00CF03FA">
      <w:pPr>
        <w:pStyle w:val="TextoNormal"/>
      </w:pPr>
    </w:p>
    <w:p w:rsidR="00CF03FA" w:rsidRDefault="00CF03FA" w:rsidP="00CF03FA">
      <w:pPr>
        <w:pStyle w:val="TextoNormalNegritaCentrado"/>
        <w:keepNext/>
      </w:pPr>
      <w:r>
        <w:t>II. Fundamentos jurídicos</w:t>
      </w:r>
    </w:p>
    <w:p w:rsidR="00CF03FA" w:rsidRDefault="00CF03FA" w:rsidP="00CF03FA">
      <w:pPr>
        <w:pStyle w:val="TextoNormalNegritaCentrado"/>
        <w:keepNext/>
      </w:pPr>
    </w:p>
    <w:p w:rsidR="00CF03FA" w:rsidRDefault="00CF03FA" w:rsidP="00CF03FA">
      <w:pPr>
        <w:pStyle w:val="TextoNormal"/>
      </w:pPr>
      <w:r w:rsidRPr="00CF03FA">
        <w:rPr>
          <w:rStyle w:val="NumeroAFNegritaCaracter"/>
        </w:rPr>
        <w:t>1</w:t>
      </w:r>
      <w:r>
        <w:t>. De acuerdo con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00CF03FA" w:rsidRDefault="00CF03FA" w:rsidP="00CF03FA">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y 106/2002, de 17 de junio).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163/2003, de 19 de mayo y 37/2006, de 13 de febrero).</w:t>
      </w:r>
    </w:p>
    <w:p w:rsidR="00CF03FA" w:rsidRDefault="00CF03FA" w:rsidP="00CF03FA">
      <w:pPr>
        <w:pStyle w:val="TextoNormal"/>
      </w:pPr>
    </w:p>
    <w:p w:rsidR="00CF03FA" w:rsidRDefault="00CF03FA" w:rsidP="00CF03FA">
      <w:pPr>
        <w:pStyle w:val="TextoNormal"/>
      </w:pPr>
      <w:r w:rsidRPr="00CF03FA">
        <w:rPr>
          <w:rStyle w:val="NumeroAFNegritaCaracter"/>
        </w:rPr>
        <w:lastRenderedPageBreak/>
        <w:t>2</w:t>
      </w:r>
      <w:r>
        <w:t>. 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82/2000, de 13 de marzo; 18/2001, de 29 de enero; 106/2001, de 7 de mayo; 120/2001, de 8 de mayo; 159/2001, de 18 de junio; 93/2002, de 3 de junio; 106/2002, de 17 de junio; 165/2003, de 19 de mayo; 326/2005, de 12 de septiembre; 152/2006, de 8 de mayo y 357/2006, de 9 de octubre, por todos).</w:t>
      </w:r>
    </w:p>
    <w:p w:rsidR="00CF03FA" w:rsidRDefault="00CF03FA" w:rsidP="00CF03FA">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de la ejecución de la resolución impugnada en amparo.</w:t>
      </w:r>
    </w:p>
    <w:p w:rsidR="00CF03FA" w:rsidRDefault="00CF03FA" w:rsidP="00CF03FA">
      <w:pPr>
        <w:pStyle w:val="TextoNormal"/>
      </w:pPr>
    </w:p>
    <w:p w:rsidR="00CF03FA" w:rsidRDefault="00CF03FA" w:rsidP="00CF03FA">
      <w:pPr>
        <w:pStyle w:val="TextoNormal"/>
      </w:pPr>
      <w:r w:rsidRPr="00CF03FA">
        <w:rPr>
          <w:rStyle w:val="NumeroAFNegritaCaracter"/>
        </w:rPr>
        <w:t>3</w:t>
      </w:r>
      <w:r>
        <w:t>. Pues bien, en el caso que nos ocupa no concurren ninguna de las circunstancias expuestas para acordar la suspensión interesada, toda vez que el recurrente no acredita la irreparabilidad de los supuestos perjuicios económicos que afirma que le ocasionaría la ejecución de los Autos recurridos, haciendo perder al recurso de amparo su finalidad en caso de que finalmente fuese otorgado. El recurrente, condenado por la Sentencia firme cuya rescisión pretende, a pagar, junto con otras tres personas, una cantidad total de poco más de 60.000 euros, se limita a alegar que atraviesa una situación económica precaria, y solicita la suspensión de los Autos impugnados en amparo (que inadmiten a trámite su demanda de rescisión) y del procedimiento de ejecución que trae causa de dicha Sentencia, para prevenir una eventualidad incierta, cual es la posibilidad de que le lleguen a ser embargados bienes futuros, de suerte que el propio recurrente admite que ni siquiera se ha hecho efectivo en la actualidad un perjuicio patrimonial.</w:t>
      </w:r>
    </w:p>
    <w:p w:rsidR="00CF03FA" w:rsidRDefault="00CF03FA" w:rsidP="00CF03FA">
      <w:pPr>
        <w:pStyle w:val="TextoNormal"/>
      </w:pPr>
      <w:r>
        <w:t>Por otra parte, como con acierto pone de manifiesto el Ministerio Fiscal en sus alegaciones, a lo anterior cabe añadir que el posible otorgamiento del amparo no determinaría por sí sólo que el recurrente quedara liberado de la obligación de atender al pago de la cantidad a que ha sido condenado, en la parte que le corresponda, pues lo que se impugna en el presente recurso de amparo son los Autos que inadmiten a trámite la demanda de rescisión contra la Sentencia firme que condenó al recurrente, junto a otras personas, al pago de la referida cantidad, no la Sentencia misma, por lo que el eventual otorgamiento del amparo podría comportar, en su caso, la nulidad de los Autos impugnados para que el órgano judicial se pronunciase sobre la admisión a trámite de la demanda de rescisión, pero en ningún caso determinaría directamente la anulación de la referida Sentencia.</w:t>
      </w:r>
    </w:p>
    <w:p w:rsidR="00CF03FA" w:rsidRDefault="00CF03FA" w:rsidP="00CF03FA">
      <w:pPr>
        <w:pStyle w:val="TextoNormal"/>
      </w:pPr>
    </w:p>
    <w:p w:rsidR="00CF03FA" w:rsidRDefault="00CF03FA" w:rsidP="00CF03FA">
      <w:pPr>
        <w:pStyle w:val="TextoNormal"/>
      </w:pPr>
      <w:r>
        <w:t>En virtud de todo lo expuesto, la Sala</w:t>
      </w:r>
    </w:p>
    <w:p w:rsidR="00CF03FA" w:rsidRDefault="00CF03FA" w:rsidP="00CF03FA">
      <w:pPr>
        <w:pStyle w:val="TextoNormal"/>
      </w:pPr>
    </w:p>
    <w:p w:rsidR="00CF03FA" w:rsidRDefault="00CF03FA" w:rsidP="00CF03FA">
      <w:pPr>
        <w:pStyle w:val="TextoNormalCentrado"/>
      </w:pPr>
      <w:r>
        <w:t>ACUERDA</w:t>
      </w:r>
    </w:p>
    <w:p w:rsidR="00CF03FA" w:rsidRDefault="00CF03FA" w:rsidP="00CF03FA">
      <w:pPr>
        <w:pStyle w:val="TextoNormalCentrado"/>
      </w:pPr>
    </w:p>
    <w:p w:rsidR="00CF03FA" w:rsidRDefault="00CF03FA" w:rsidP="00CF03FA">
      <w:pPr>
        <w:pStyle w:val="TextoNormal"/>
      </w:pPr>
      <w:r>
        <w:t>Denegar la suspensión solicitada.</w:t>
      </w:r>
    </w:p>
    <w:p w:rsidR="00CF03FA" w:rsidRDefault="00CF03FA" w:rsidP="00CF03FA">
      <w:pPr>
        <w:pStyle w:val="TextoNormal"/>
      </w:pPr>
    </w:p>
    <w:p w:rsidR="00CF03FA" w:rsidRDefault="00CF03FA" w:rsidP="00C12216">
      <w:pPr>
        <w:pStyle w:val="TextoNormal"/>
      </w:pPr>
      <w:r>
        <w:t>Madrid, a veintiocho de abril de dos mil ocho.</w:t>
      </w:r>
    </w:p>
    <w:p w:rsidR="00C12216" w:rsidRDefault="00C12216">
      <w:pPr>
        <w:spacing w:after="160" w:line="259" w:lineRule="auto"/>
        <w:rPr>
          <w:rFonts w:ascii="Times New Roman" w:eastAsia="Times New Roman" w:hAnsi="Times New Roman" w:cs="Times New Roman"/>
          <w:sz w:val="24"/>
          <w:szCs w:val="24"/>
          <w:lang w:eastAsia="es-ES"/>
        </w:rPr>
      </w:pPr>
      <w:r>
        <w:br w:type="page"/>
      </w:r>
    </w:p>
    <w:p w:rsidR="00C12216" w:rsidRDefault="00C12216" w:rsidP="00CF03FA">
      <w:pPr>
        <w:pStyle w:val="ParrafoNormal"/>
      </w:pPr>
    </w:p>
    <w:p w:rsidR="00C12216" w:rsidRDefault="00C12216" w:rsidP="00C12216">
      <w:pPr>
        <w:pStyle w:val="TextoNormal"/>
      </w:pPr>
    </w:p>
    <w:p w:rsidR="00C12216" w:rsidRDefault="00C12216" w:rsidP="00C12216">
      <w:pPr>
        <w:pStyle w:val="TextoNormal"/>
      </w:pPr>
    </w:p>
    <w:p w:rsidR="00C12216" w:rsidRDefault="00C12216" w:rsidP="00C12216">
      <w:pPr>
        <w:pStyle w:val="TextoNormal"/>
      </w:pPr>
    </w:p>
    <w:p w:rsidR="00E53A6E" w:rsidRDefault="00C12216" w:rsidP="00C12216">
      <w:pPr>
        <w:pStyle w:val="Ttulondice"/>
        <w:suppressAutoHyphens/>
      </w:pPr>
      <w:r>
        <w:t xml:space="preserve">3. ÍNDICE DE </w:t>
      </w:r>
      <w:r w:rsidR="00E53A6E" w:rsidRPr="00E53A6E">
        <w:t xml:space="preserve">DISPOSICIONES CON </w:t>
      </w:r>
    </w:p>
    <w:p w:rsidR="00C12216" w:rsidRDefault="00E53A6E" w:rsidP="00C12216">
      <w:pPr>
        <w:pStyle w:val="Ttulondice"/>
        <w:suppressAutoHyphens/>
      </w:pPr>
      <w:r w:rsidRPr="00E53A6E">
        <w:t>RANGO DE LEY IMPUGNADAS</w:t>
      </w: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pPr>
    </w:p>
    <w:p w:rsidR="00C12216" w:rsidRDefault="00C12216" w:rsidP="00C12216">
      <w:pPr>
        <w:pStyle w:val="TextoNormal"/>
      </w:pPr>
      <w:bookmarkStart w:id="180" w:name="INDICE22802"/>
      <w:bookmarkEnd w:id="180"/>
    </w:p>
    <w:p w:rsidR="00C12216" w:rsidRDefault="001901E6" w:rsidP="00C12216">
      <w:pPr>
        <w:pStyle w:val="TextoIndiceNivel2"/>
        <w:suppressAutoHyphens/>
      </w:pPr>
      <w:r>
        <w:t>A) Disposiciones con fuerza de ley del Estado</w:t>
      </w:r>
    </w:p>
    <w:p w:rsidR="00C12216" w:rsidRDefault="00C12216" w:rsidP="00C12216">
      <w:pPr>
        <w:pStyle w:val="TextoIndiceNivel2"/>
      </w:pPr>
    </w:p>
    <w:p w:rsidR="00C12216" w:rsidRDefault="00C12216" w:rsidP="00C12216">
      <w:pPr>
        <w:pStyle w:val="TextoNormalNegritaCursivandice"/>
      </w:pPr>
      <w:r>
        <w:t>Real Decreto de 14 de septiembre de 1882. Ley de enjuiciamiento criminal</w:t>
      </w:r>
    </w:p>
    <w:p w:rsidR="00C12216" w:rsidRDefault="00C12216" w:rsidP="00C12216">
      <w:pPr>
        <w:pStyle w:val="SangriaFrancesaArticulo"/>
      </w:pPr>
      <w:r w:rsidRPr="00C12216">
        <w:rPr>
          <w:rStyle w:val="TextoNormalNegritaCaracter"/>
        </w:rPr>
        <w:t>Artículo 365 párrafo 2</w:t>
      </w:r>
      <w:r>
        <w:t xml:space="preserve"> </w:t>
      </w:r>
      <w:r w:rsidRPr="00C12216">
        <w:rPr>
          <w:rStyle w:val="TextoNormalCaracter"/>
        </w:rPr>
        <w:t>(redactado por la Ley Orgánica 15/2003, de 23 de noviembre)</w:t>
      </w:r>
      <w:r w:rsidRPr="00C12216">
        <w:rPr>
          <w:rStyle w:val="TextoNormalNegritaCaracter"/>
        </w:rPr>
        <w:t>.</w:t>
      </w:r>
      <w:r w:rsidRPr="00C12216">
        <w:rPr>
          <w:rStyle w:val="TextoNormalCaracter"/>
        </w:rPr>
        <w:t>-</w:t>
      </w:r>
      <w:r>
        <w:t xml:space="preserve"> Auto </w:t>
      </w:r>
      <w:hyperlink w:anchor="AUTO_2008_72" w:history="1">
        <w:r w:rsidRPr="00C12216">
          <w:rPr>
            <w:rStyle w:val="TextoNormalCaracter"/>
          </w:rPr>
          <w:t>72/2008</w:t>
        </w:r>
      </w:hyperlink>
      <w:r>
        <w:t>.</w:t>
      </w:r>
    </w:p>
    <w:p w:rsidR="00C12216" w:rsidRDefault="00C12216" w:rsidP="00C12216">
      <w:pPr>
        <w:pStyle w:val="SangriaFrancesaArticulo"/>
      </w:pPr>
    </w:p>
    <w:p w:rsidR="00C12216" w:rsidRDefault="00C12216" w:rsidP="00C12216">
      <w:pPr>
        <w:pStyle w:val="TextoNormalNegritaCursivandice"/>
      </w:pPr>
      <w:r>
        <w:t>Real Decreto de 24 de julio de 1889. Código civil</w:t>
      </w:r>
    </w:p>
    <w:p w:rsidR="00C12216" w:rsidRDefault="00C12216" w:rsidP="00C12216">
      <w:pPr>
        <w:pStyle w:val="SangriaFrancesaArticulo"/>
      </w:pPr>
      <w:r w:rsidRPr="00C12216">
        <w:rPr>
          <w:rStyle w:val="TextoNormalNegritaCaracter"/>
        </w:rPr>
        <w:t>Artículo 44 párrafo 2</w:t>
      </w:r>
      <w:r>
        <w:t xml:space="preserve"> </w:t>
      </w:r>
      <w:r w:rsidRPr="00C12216">
        <w:rPr>
          <w:rStyle w:val="TextoNormalCaracter"/>
        </w:rPr>
        <w:t>(redactado por la Ley 13/2005, de 1 de julio)</w:t>
      </w:r>
      <w:r w:rsidRPr="00C12216">
        <w:rPr>
          <w:rStyle w:val="TextoNormalNegritaCaracter"/>
        </w:rPr>
        <w:t>.</w:t>
      </w:r>
      <w:r w:rsidRPr="00C12216">
        <w:rPr>
          <w:rStyle w:val="TextoNormalCaracter"/>
        </w:rPr>
        <w:t>-</w:t>
      </w:r>
      <w:r>
        <w:t xml:space="preserve"> Auto </w:t>
      </w:r>
      <w:hyperlink w:anchor="AUTO_2008_12" w:history="1">
        <w:r w:rsidRPr="00C12216">
          <w:rPr>
            <w:rStyle w:val="TextoNormalCaracter"/>
          </w:rPr>
          <w:t>12/2008</w:t>
        </w:r>
      </w:hyperlink>
      <w:r>
        <w:t>.</w:t>
      </w:r>
    </w:p>
    <w:p w:rsidR="00C12216" w:rsidRDefault="00C12216" w:rsidP="00C12216">
      <w:pPr>
        <w:pStyle w:val="SangriaFrancesaArticulo"/>
      </w:pPr>
    </w:p>
    <w:p w:rsidR="00C12216" w:rsidRDefault="00C12216" w:rsidP="00C12216">
      <w:pPr>
        <w:pStyle w:val="TextoNormalNegritaCursivandice"/>
      </w:pPr>
      <w:r>
        <w:t>Real Decreto-ley 16/1977, de 25 de febrero. Aspectos penales, administrativos y fiscales de los juegos de suerte, envite o azar y apuestas</w:t>
      </w:r>
    </w:p>
    <w:p w:rsidR="00C12216" w:rsidRDefault="00C12216" w:rsidP="00C12216">
      <w:pPr>
        <w:pStyle w:val="SangriaFrancesaArticulo"/>
      </w:pPr>
      <w:r w:rsidRPr="00C12216">
        <w:rPr>
          <w:rStyle w:val="TextoNormalNegritaCaracter"/>
        </w:rPr>
        <w:t>Artículo 3.4.2 a)</w:t>
      </w:r>
      <w:r>
        <w:t xml:space="preserve"> </w:t>
      </w:r>
      <w:r w:rsidRPr="00C12216">
        <w:rPr>
          <w:rStyle w:val="TextoNormalCaracter"/>
        </w:rPr>
        <w:t>(redactado por la Ley 12/1996, de 30 de diciembre)</w:t>
      </w:r>
      <w:r w:rsidRPr="00C12216">
        <w:rPr>
          <w:rStyle w:val="TextoNormalNegritaCaracter"/>
        </w:rPr>
        <w:t>.</w:t>
      </w:r>
      <w:r w:rsidRPr="00C12216">
        <w:rPr>
          <w:rStyle w:val="TextoNormalCaracter"/>
        </w:rPr>
        <w:t>-</w:t>
      </w:r>
      <w:r>
        <w:t xml:space="preserve"> Autos </w:t>
      </w:r>
      <w:hyperlink w:anchor="AUTO_2008_20" w:history="1">
        <w:r w:rsidRPr="00C12216">
          <w:rPr>
            <w:rStyle w:val="TextoNormalCaracter"/>
          </w:rPr>
          <w:t>20/2008</w:t>
        </w:r>
      </w:hyperlink>
      <w:r>
        <w:t xml:space="preserve">;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t>Ley Orgánica 2/1979, de 3 de octubre. Tribunal Constitucional</w:t>
      </w:r>
    </w:p>
    <w:p w:rsidR="00C12216" w:rsidRDefault="00C12216" w:rsidP="00C12216">
      <w:pPr>
        <w:pStyle w:val="SangriaFrancesaArticulo"/>
      </w:pPr>
      <w:r w:rsidRPr="00C12216">
        <w:rPr>
          <w:rStyle w:val="TextoNormalNegritaCaracter"/>
        </w:rPr>
        <w:t>Artículo 16.1</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Sentencia </w:t>
      </w:r>
      <w:hyperlink w:anchor="SENTENCIA_2008_49" w:history="1">
        <w:r w:rsidRPr="00C12216">
          <w:rPr>
            <w:rStyle w:val="TextoNormalCaracter"/>
          </w:rPr>
          <w:t>49/2008</w:t>
        </w:r>
      </w:hyperlink>
      <w:r>
        <w:t>.</w:t>
      </w:r>
    </w:p>
    <w:p w:rsidR="00C12216" w:rsidRDefault="00C12216" w:rsidP="00C12216">
      <w:pPr>
        <w:pStyle w:val="SangriaIzquierdaArticulo"/>
      </w:pPr>
      <w:r>
        <w:t xml:space="preserve">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16.3</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Sentencia </w:t>
      </w:r>
      <w:hyperlink w:anchor="SENTENCIA_2008_49" w:history="1">
        <w:r w:rsidRPr="00C12216">
          <w:rPr>
            <w:rStyle w:val="TextoNormalCaracter"/>
          </w:rPr>
          <w:t>49/2008</w:t>
        </w:r>
      </w:hyperlink>
      <w:r>
        <w:t>.</w:t>
      </w:r>
    </w:p>
    <w:p w:rsidR="00C12216" w:rsidRDefault="00C12216" w:rsidP="00C12216">
      <w:pPr>
        <w:pStyle w:val="SangriaIzquierdaArticulo"/>
      </w:pPr>
      <w:r>
        <w:t xml:space="preserve">Auto </w:t>
      </w:r>
      <w:hyperlink w:anchor="AUTO_2008_81" w:history="1">
        <w:r w:rsidRPr="00C12216">
          <w:rPr>
            <w:rStyle w:val="TextoNormalCaracter"/>
          </w:rPr>
          <w:t>81/2008</w:t>
        </w:r>
      </w:hyperlink>
      <w:r>
        <w:t>.</w:t>
      </w:r>
    </w:p>
    <w:p w:rsidR="00C12216" w:rsidRDefault="00C12216" w:rsidP="00C12216">
      <w:pPr>
        <w:pStyle w:val="SangriaIzquierdaArticulo"/>
      </w:pPr>
    </w:p>
    <w:p w:rsidR="00C12216" w:rsidRDefault="00C12216" w:rsidP="00C12216">
      <w:pPr>
        <w:pStyle w:val="TextoNormalNegritaCursivandice"/>
      </w:pPr>
      <w:r>
        <w:t>Ley Orgánica 5/1985, de 19 de junio. Régimen electoral general</w:t>
      </w:r>
    </w:p>
    <w:p w:rsidR="00C12216" w:rsidRDefault="00C12216" w:rsidP="00C12216">
      <w:pPr>
        <w:pStyle w:val="SangriaFrancesaArticulo"/>
      </w:pPr>
      <w:r w:rsidRPr="00C12216">
        <w:rPr>
          <w:rStyle w:val="TextoNormalNegritaCaracter"/>
        </w:rPr>
        <w:t>Artículo 44 bis</w:t>
      </w:r>
      <w:r>
        <w:t xml:space="preserve"> </w:t>
      </w:r>
      <w:r w:rsidRPr="00C12216">
        <w:rPr>
          <w:rStyle w:val="TextoNormalCaracter"/>
        </w:rPr>
        <w:t>(redactado por la Ley Orgánica 3/2007, de 22 de marzo)</w:t>
      </w:r>
      <w:r w:rsidRPr="00C12216">
        <w:rPr>
          <w:rStyle w:val="TextoNormalNegritaCaracter"/>
        </w:rPr>
        <w:t>.</w:t>
      </w:r>
      <w:r w:rsidRPr="00C12216">
        <w:rPr>
          <w:rStyle w:val="TextoNormalCaracter"/>
        </w:rPr>
        <w:t>-</w:t>
      </w:r>
      <w:r>
        <w:t xml:space="preserve"> Sentencia </w:t>
      </w:r>
      <w:hyperlink w:anchor="SENTENCIA_2008_12" w:history="1">
        <w:r w:rsidRPr="00C12216">
          <w:rPr>
            <w:rStyle w:val="TextoNormalCaracter"/>
          </w:rPr>
          <w:t>12/2008</w:t>
        </w:r>
      </w:hyperlink>
      <w:r>
        <w:t>.</w:t>
      </w:r>
    </w:p>
    <w:p w:rsidR="00C12216" w:rsidRDefault="00C12216" w:rsidP="00C12216">
      <w:pPr>
        <w:pStyle w:val="SangriaFrancesaArticulo"/>
      </w:pPr>
    </w:p>
    <w:p w:rsidR="00C12216" w:rsidRDefault="00C12216" w:rsidP="00C12216">
      <w:pPr>
        <w:pStyle w:val="TextoNormalNegritaCursivandice"/>
      </w:pPr>
      <w:r>
        <w:t>Ley Orgánica 10/1995, de 23 de noviembre. Código penal</w:t>
      </w:r>
    </w:p>
    <w:p w:rsidR="00C12216" w:rsidRDefault="00C12216" w:rsidP="00C12216">
      <w:pPr>
        <w:pStyle w:val="SangriaFrancesaArticulo"/>
      </w:pPr>
      <w:r w:rsidRPr="00C12216">
        <w:rPr>
          <w:rStyle w:val="TextoNormalNegritaCaracter"/>
        </w:rPr>
        <w:lastRenderedPageBreak/>
        <w:t>Artículo 148.1.4</w:t>
      </w:r>
      <w:r>
        <w:t xml:space="preserve"> </w:t>
      </w:r>
      <w:r w:rsidRPr="00C12216">
        <w:rPr>
          <w:rStyle w:val="TextoNormalCaracter"/>
        </w:rPr>
        <w:t>(redactado por la Ley Orgánica 1/2004, de 28 de diciembre)</w:t>
      </w:r>
      <w:r w:rsidRPr="00C12216">
        <w:rPr>
          <w:rStyle w:val="TextoNormalNegritaCaracter"/>
        </w:rPr>
        <w:t>.</w:t>
      </w:r>
      <w:r w:rsidRPr="00C12216">
        <w:rPr>
          <w:rStyle w:val="TextoNormalCaracter"/>
        </w:rPr>
        <w:t>-</w:t>
      </w:r>
      <w:r>
        <w:t xml:space="preserve"> Auto </w:t>
      </w:r>
      <w:hyperlink w:anchor="AUTO_2008_13" w:history="1">
        <w:r w:rsidRPr="00C12216">
          <w:rPr>
            <w:rStyle w:val="TextoNormalCaracter"/>
          </w:rPr>
          <w:t>13/2008</w:t>
        </w:r>
      </w:hyperlink>
      <w:r>
        <w:t>.</w:t>
      </w:r>
    </w:p>
    <w:p w:rsidR="00C12216" w:rsidRDefault="00C12216" w:rsidP="00C12216">
      <w:pPr>
        <w:pStyle w:val="SangriaFrancesaArticulo"/>
      </w:pPr>
      <w:r w:rsidRPr="00C12216">
        <w:rPr>
          <w:rStyle w:val="TextoNormalNegritaCaracter"/>
        </w:rPr>
        <w:t>Artículo 153.1</w:t>
      </w:r>
      <w:r>
        <w:t xml:space="preserve"> </w:t>
      </w:r>
      <w:r w:rsidRPr="00C12216">
        <w:rPr>
          <w:rStyle w:val="TextoNormalCaracter"/>
        </w:rPr>
        <w:t>(redactado por la Ley Orgánica 1/2004, de 28 de diciembre)</w:t>
      </w:r>
      <w:r w:rsidRPr="00C12216">
        <w:rPr>
          <w:rStyle w:val="TextoNormalNegritaCaracter"/>
        </w:rPr>
        <w:t>.</w:t>
      </w:r>
      <w:r w:rsidRPr="00C12216">
        <w:rPr>
          <w:rStyle w:val="TextoNormalCaracter"/>
        </w:rPr>
        <w:t>-</w:t>
      </w:r>
      <w:r>
        <w:t xml:space="preserve"> Autos </w:t>
      </w:r>
      <w:hyperlink w:anchor="AUTO_2008_54" w:history="1">
        <w:r w:rsidRPr="00C12216">
          <w:rPr>
            <w:rStyle w:val="TextoNormalCaracter"/>
          </w:rPr>
          <w:t>54/2008</w:t>
        </w:r>
      </w:hyperlink>
      <w:r>
        <w:t xml:space="preserve">; </w:t>
      </w:r>
      <w:hyperlink w:anchor="AUTO_2008_57" w:history="1">
        <w:r w:rsidRPr="00C12216">
          <w:rPr>
            <w:rStyle w:val="TextoNormalCaracter"/>
          </w:rPr>
          <w:t>57/2008</w:t>
        </w:r>
      </w:hyperlink>
      <w:r>
        <w:t>.</w:t>
      </w:r>
    </w:p>
    <w:p w:rsidR="00C12216" w:rsidRDefault="00C12216" w:rsidP="00C12216">
      <w:pPr>
        <w:pStyle w:val="SangriaFrancesaArticulo"/>
      </w:pPr>
    </w:p>
    <w:p w:rsidR="00C12216" w:rsidRDefault="00C12216" w:rsidP="00C12216">
      <w:pPr>
        <w:pStyle w:val="TextoNormalNegritaCursivandice"/>
      </w:pPr>
      <w:r>
        <w:t>Ley 12/1996, de 30 de diciembre. Presupuestos generales del Estado para 1997</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Autos </w:t>
      </w:r>
      <w:hyperlink w:anchor="AUTO_2008_20" w:history="1">
        <w:r w:rsidRPr="00C12216">
          <w:rPr>
            <w:rStyle w:val="TextoNormalCaracter"/>
          </w:rPr>
          <w:t>20/2008</w:t>
        </w:r>
      </w:hyperlink>
      <w:r>
        <w:t xml:space="preserve">;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t>Ley Orgánica 15/2003, de 25 de noviembre. Modificación de la Ley Orgánica 10/1995, de 23 de noviembre, del Código penal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 </w:t>
      </w:r>
      <w:hyperlink w:anchor="AUTO_2008_72" w:history="1">
        <w:r w:rsidRPr="00C12216">
          <w:rPr>
            <w:rStyle w:val="TextoNormalCaracter"/>
          </w:rPr>
          <w:t>72/2008</w:t>
        </w:r>
      </w:hyperlink>
      <w:r>
        <w:t>.</w:t>
      </w:r>
    </w:p>
    <w:p w:rsidR="00C12216" w:rsidRDefault="00C12216" w:rsidP="00C12216">
      <w:pPr>
        <w:pStyle w:val="SangriaFrancesaArticulo"/>
      </w:pPr>
    </w:p>
    <w:p w:rsidR="00C12216" w:rsidRDefault="00C12216" w:rsidP="00C12216">
      <w:pPr>
        <w:pStyle w:val="TextoNormalNegritaCursivandice"/>
      </w:pPr>
      <w:r>
        <w:t>Ley Orgánica 1/2004, de 28 de diciembre. Medidas de protección integral contra la violencia de género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Autos </w:t>
      </w:r>
      <w:hyperlink w:anchor="AUTO_2008_13" w:history="1">
        <w:r w:rsidRPr="00C12216">
          <w:rPr>
            <w:rStyle w:val="TextoNormalCaracter"/>
          </w:rPr>
          <w:t>13/2008</w:t>
        </w:r>
      </w:hyperlink>
      <w:r>
        <w:t xml:space="preserve">; </w:t>
      </w:r>
      <w:hyperlink w:anchor="AUTO_2008_54" w:history="1">
        <w:r w:rsidRPr="00C12216">
          <w:rPr>
            <w:rStyle w:val="TextoNormalCaracter"/>
          </w:rPr>
          <w:t>54/2008</w:t>
        </w:r>
      </w:hyperlink>
      <w:r>
        <w:t xml:space="preserve">; </w:t>
      </w:r>
      <w:hyperlink w:anchor="AUTO_2008_57" w:history="1">
        <w:r w:rsidRPr="00C12216">
          <w:rPr>
            <w:rStyle w:val="TextoNormalCaracter"/>
          </w:rPr>
          <w:t>57/2008</w:t>
        </w:r>
      </w:hyperlink>
      <w:r>
        <w:t>.</w:t>
      </w:r>
    </w:p>
    <w:p w:rsidR="00C12216" w:rsidRDefault="00C12216" w:rsidP="00C12216">
      <w:pPr>
        <w:pStyle w:val="SangriaFrancesaArticulo"/>
      </w:pPr>
    </w:p>
    <w:p w:rsidR="00C12216" w:rsidRDefault="00C12216" w:rsidP="00C12216">
      <w:pPr>
        <w:pStyle w:val="TextoNormalNegritaCursivandice"/>
      </w:pPr>
      <w:r>
        <w:t>Ley 13/2005, de 1 de julio. Modificación del Código civil en materia de derecho a contraer matrimonio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 </w:t>
      </w:r>
      <w:hyperlink w:anchor="AUTO_2008_12" w:history="1">
        <w:r w:rsidRPr="00C12216">
          <w:rPr>
            <w:rStyle w:val="TextoNormalCaracter"/>
          </w:rPr>
          <w:t>12/2008</w:t>
        </w:r>
      </w:hyperlink>
      <w:r>
        <w:t>.</w:t>
      </w:r>
    </w:p>
    <w:p w:rsidR="00C12216" w:rsidRDefault="00C12216" w:rsidP="00C12216">
      <w:pPr>
        <w:pStyle w:val="SangriaFrancesaArticulo"/>
      </w:pPr>
    </w:p>
    <w:p w:rsidR="00C12216" w:rsidRDefault="00C12216" w:rsidP="00C12216">
      <w:pPr>
        <w:pStyle w:val="TextoNormalNegritaCursivandice"/>
      </w:pPr>
      <w:r>
        <w:t>Ley 39/2006, de 14 de diciembre. Promoción de la autonomía personal y atención a las  personas en situación de dependencia.</w:t>
      </w:r>
    </w:p>
    <w:p w:rsidR="00C12216" w:rsidRDefault="00C12216" w:rsidP="00C12216">
      <w:pPr>
        <w:pStyle w:val="SangriaFrancesaArticulo"/>
      </w:pPr>
      <w:r w:rsidRPr="00C12216">
        <w:rPr>
          <w:rStyle w:val="TextoNormalNegritaCaracter"/>
        </w:rPr>
        <w:t>Artículos 5.4, 8.2 apartados a) a e) y g), 10, 11.1, 14 apartados 3, 5 y 7, 16.1, 17 a 21, 28.5, 32.3 párrafo 2, 33.3, 34 apartados 2, 3, 35 y 42 a 47.</w:t>
      </w:r>
      <w:r w:rsidRPr="00C12216">
        <w:rPr>
          <w:rStyle w:val="TextoNormalCaracter"/>
        </w:rPr>
        <w:t>-</w:t>
      </w:r>
      <w:r>
        <w:t xml:space="preserve"> Auto </w:t>
      </w:r>
      <w:hyperlink w:anchor="AUTO_2008_22" w:history="1">
        <w:r w:rsidRPr="00C12216">
          <w:rPr>
            <w:rStyle w:val="TextoNormalCaracter"/>
          </w:rPr>
          <w:t>22/2008</w:t>
        </w:r>
      </w:hyperlink>
      <w:r>
        <w:t>.</w:t>
      </w:r>
    </w:p>
    <w:p w:rsidR="00C12216" w:rsidRDefault="00C12216" w:rsidP="00C12216">
      <w:pPr>
        <w:pStyle w:val="SangriaFrancesaArticulo"/>
      </w:pPr>
      <w:r w:rsidRPr="00C12216">
        <w:rPr>
          <w:rStyle w:val="TextoNormalNegritaCaracter"/>
        </w:rPr>
        <w:t>Artículos 8.2 a) a c), 10, 14.5, 17 a 21, 34 apartados 2, 3, 35 apartados 1, 3, 42.2, 43 a 47.</w:t>
      </w:r>
      <w:r w:rsidRPr="00C12216">
        <w:rPr>
          <w:rStyle w:val="TextoNormalCaracter"/>
        </w:rPr>
        <w:t>-</w:t>
      </w:r>
      <w:r>
        <w:t xml:space="preserve"> Auto </w:t>
      </w:r>
      <w:hyperlink w:anchor="AUTO_2008_79" w:history="1">
        <w:r w:rsidRPr="00C12216">
          <w:rPr>
            <w:rStyle w:val="TextoNormalCaracter"/>
          </w:rPr>
          <w:t>79/2008</w:t>
        </w:r>
      </w:hyperlink>
      <w:r>
        <w:t>.</w:t>
      </w:r>
    </w:p>
    <w:p w:rsidR="00C12216" w:rsidRDefault="00C12216" w:rsidP="00C12216">
      <w:pPr>
        <w:pStyle w:val="SangriaFrancesaArticulo"/>
      </w:pPr>
    </w:p>
    <w:p w:rsidR="00C12216" w:rsidRDefault="00C12216" w:rsidP="00C12216">
      <w:pPr>
        <w:pStyle w:val="TextoNormalNegritaCursivandice"/>
      </w:pPr>
      <w:r>
        <w:t>Ley Orgánica 3/2007, de 22 de marzo. Igualdad efectiva de mujeres y hombres</w:t>
      </w:r>
    </w:p>
    <w:p w:rsidR="00C12216" w:rsidRDefault="00C12216" w:rsidP="00C12216">
      <w:pPr>
        <w:pStyle w:val="SangriaFrancesaArticulo"/>
      </w:pPr>
      <w:r w:rsidRPr="00C12216">
        <w:rPr>
          <w:rStyle w:val="TextoNormalNegritaCaracter"/>
        </w:rPr>
        <w:t>Disposición adicional segunda.</w:t>
      </w:r>
      <w:r w:rsidRPr="00C12216">
        <w:rPr>
          <w:rStyle w:val="TextoNormalCaracter"/>
        </w:rPr>
        <w:t>-</w:t>
      </w:r>
      <w:r>
        <w:t xml:space="preserve"> Sentencia </w:t>
      </w:r>
      <w:hyperlink w:anchor="SENTENCIA_2008_12" w:history="1">
        <w:r w:rsidRPr="00C12216">
          <w:rPr>
            <w:rStyle w:val="TextoNormalCaracter"/>
          </w:rPr>
          <w:t>12/2008</w:t>
        </w:r>
      </w:hyperlink>
      <w:r>
        <w:t>.</w:t>
      </w:r>
    </w:p>
    <w:p w:rsidR="00C12216" w:rsidRDefault="00C12216" w:rsidP="00C12216">
      <w:pPr>
        <w:pStyle w:val="SangriaFrancesaArticulo"/>
      </w:pPr>
    </w:p>
    <w:p w:rsidR="00C12216" w:rsidRDefault="00C12216" w:rsidP="00C12216">
      <w:pPr>
        <w:pStyle w:val="TextoNormalNegritaCursivandice"/>
      </w:pPr>
      <w:r>
        <w:t>Ley Orgánica 6/2007, de 24 de mayo. Modificación de la Ley Orgánica 2/1979, de 3 de octubre, del Tribunal Constitucional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único, apartado 6.</w:t>
      </w:r>
      <w:r w:rsidRPr="00C12216">
        <w:rPr>
          <w:rStyle w:val="TextoNormalCaracter"/>
        </w:rPr>
        <w:t>-</w:t>
      </w:r>
      <w:r>
        <w:t xml:space="preserve"> Sentencia </w:t>
      </w:r>
      <w:hyperlink w:anchor="SENTENCIA_2008_49" w:history="1">
        <w:r w:rsidRPr="00C12216">
          <w:rPr>
            <w:rStyle w:val="TextoNormalCaracter"/>
          </w:rPr>
          <w:t>49/2008</w:t>
        </w:r>
      </w:hyperlink>
      <w:r>
        <w:t>.</w:t>
      </w:r>
    </w:p>
    <w:p w:rsidR="00C12216" w:rsidRDefault="00C12216" w:rsidP="00C12216">
      <w:pPr>
        <w:pStyle w:val="SangriaFrancesaArticulo"/>
      </w:pPr>
      <w:r w:rsidRPr="00C12216">
        <w:rPr>
          <w:rStyle w:val="TextoNormalNegritaCaracter"/>
        </w:rPr>
        <w:t>Artículo único, apartado 7.</w:t>
      </w:r>
      <w:r w:rsidRPr="00C12216">
        <w:rPr>
          <w:rStyle w:val="TextoNormalCaracter"/>
        </w:rPr>
        <w:t>-</w:t>
      </w:r>
      <w:r>
        <w:t xml:space="preserve"> Sentencia </w:t>
      </w:r>
      <w:hyperlink w:anchor="SENTENCIA_2008_49" w:history="1">
        <w:r w:rsidRPr="00C12216">
          <w:rPr>
            <w:rStyle w:val="TextoNormalCaracter"/>
          </w:rPr>
          <w:t>49/2008</w:t>
        </w:r>
      </w:hyperlink>
      <w:r>
        <w:t>.</w:t>
      </w:r>
    </w:p>
    <w:p w:rsidR="00C12216" w:rsidRDefault="00C12216" w:rsidP="00C12216">
      <w:pPr>
        <w:pStyle w:val="TextoNormal"/>
      </w:pPr>
    </w:p>
    <w:p w:rsidR="00C12216" w:rsidRDefault="00C12216" w:rsidP="00C12216">
      <w:pPr>
        <w:pStyle w:val="SangriaFrancesaArticulo"/>
      </w:pPr>
      <w:bookmarkStart w:id="181" w:name="INDICE22806"/>
    </w:p>
    <w:bookmarkEnd w:id="181"/>
    <w:p w:rsidR="00C12216" w:rsidRDefault="00E1151E" w:rsidP="00C12216">
      <w:pPr>
        <w:pStyle w:val="TextoIndiceNivel2"/>
        <w:suppressAutoHyphens/>
      </w:pPr>
      <w:r>
        <w:t>B) Disposiciones con fuerza de ley de las Comunidades Autónomas</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B.1) Andalucía</w:t>
      </w:r>
    </w:p>
    <w:p w:rsidR="00C12216" w:rsidRDefault="00C12216" w:rsidP="00C12216">
      <w:pPr>
        <w:pStyle w:val="TextoNormalNegritaCentrado"/>
      </w:pPr>
    </w:p>
    <w:p w:rsidR="00C12216" w:rsidRDefault="00C12216" w:rsidP="00C12216">
      <w:pPr>
        <w:pStyle w:val="TextoNormalNegritaCursivandice"/>
      </w:pPr>
      <w:r>
        <w:t>Ley del Parlamento de Andalucía 18/2003, de 29 de diciembre. Medidas fiscales y administrativas</w:t>
      </w:r>
    </w:p>
    <w:p w:rsidR="00C12216" w:rsidRDefault="00C12216" w:rsidP="00C12216">
      <w:pPr>
        <w:pStyle w:val="SangriaFrancesaArticulo"/>
      </w:pPr>
      <w:r w:rsidRPr="00C12216">
        <w:rPr>
          <w:rStyle w:val="TextoNormalNegritaCaracter"/>
        </w:rPr>
        <w:t>Artículos 56 a 64.</w:t>
      </w:r>
      <w:r w:rsidRPr="00C12216">
        <w:rPr>
          <w:rStyle w:val="TextoNormalCaracter"/>
        </w:rPr>
        <w:t>-</w:t>
      </w:r>
      <w:r>
        <w:t xml:space="preserve"> Autos </w:t>
      </w:r>
      <w:hyperlink w:anchor="AUTO_2008_8" w:history="1">
        <w:r w:rsidRPr="00C12216">
          <w:rPr>
            <w:rStyle w:val="TextoNormalCaracter"/>
          </w:rPr>
          <w:t>8/2008</w:t>
        </w:r>
      </w:hyperlink>
      <w:r>
        <w:t xml:space="preserve">; </w:t>
      </w:r>
      <w:hyperlink w:anchor="AUTO_2008_51" w:history="1">
        <w:r w:rsidRPr="00C12216">
          <w:rPr>
            <w:rStyle w:val="TextoNormalCaracter"/>
          </w:rPr>
          <w:t>51/2008</w:t>
        </w:r>
      </w:hyperlink>
      <w:r>
        <w:t>.</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B.2) Baleares</w:t>
      </w:r>
    </w:p>
    <w:p w:rsidR="00C12216" w:rsidRDefault="00C12216" w:rsidP="00C12216">
      <w:pPr>
        <w:pStyle w:val="TextoNormalNegritaCentrado"/>
      </w:pPr>
    </w:p>
    <w:p w:rsidR="00C12216" w:rsidRDefault="00C12216" w:rsidP="00C12216">
      <w:pPr>
        <w:pStyle w:val="TextoNormalNegritaCursivandice"/>
      </w:pPr>
      <w:r>
        <w:t>Ley del Parlamento de las Illes Balears 25/2006, de 27 de diciembre. Medidas tributarias y administrativas</w:t>
      </w:r>
    </w:p>
    <w:p w:rsidR="00C12216" w:rsidRDefault="00C12216" w:rsidP="00C12216">
      <w:pPr>
        <w:pStyle w:val="SangriaFrancesaArticulo"/>
      </w:pPr>
      <w:r w:rsidRPr="00C12216">
        <w:rPr>
          <w:rStyle w:val="TextoNormalNegritaCaracter"/>
        </w:rPr>
        <w:t>Artículo 14.1.</w:t>
      </w:r>
      <w:r w:rsidRPr="00C12216">
        <w:rPr>
          <w:rStyle w:val="TextoNormalCaracter"/>
        </w:rPr>
        <w:t>-</w:t>
      </w:r>
      <w:r>
        <w:t xml:space="preserve"> Auto </w:t>
      </w:r>
      <w:hyperlink w:anchor="AUTO_2008_80" w:history="1">
        <w:r w:rsidRPr="00C12216">
          <w:rPr>
            <w:rStyle w:val="TextoNormalCaracter"/>
          </w:rPr>
          <w:t>80/2008</w:t>
        </w:r>
      </w:hyperlink>
      <w:r>
        <w:t>.</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B.3) Galicia</w:t>
      </w:r>
    </w:p>
    <w:p w:rsidR="00C12216" w:rsidRDefault="00C12216" w:rsidP="00C12216">
      <w:pPr>
        <w:pStyle w:val="TextoNormalNegritaCentrado"/>
      </w:pPr>
    </w:p>
    <w:p w:rsidR="00C12216" w:rsidRDefault="00C12216" w:rsidP="00C12216">
      <w:pPr>
        <w:pStyle w:val="TextoNormalNegritaCursivandice"/>
      </w:pPr>
      <w:r>
        <w:t>Ley del Parlamento de Galicia 5/1999, de 21 de mayo. Ordenación farmacéutica</w:t>
      </w:r>
    </w:p>
    <w:p w:rsidR="00C12216" w:rsidRDefault="00C12216" w:rsidP="00C12216">
      <w:pPr>
        <w:pStyle w:val="SangriaFrancesaArticulo"/>
      </w:pPr>
      <w:r w:rsidRPr="00C12216">
        <w:rPr>
          <w:rStyle w:val="TextoNormalNegritaCaracter"/>
        </w:rPr>
        <w:t>Artículo 26.4 párrafo 2.</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B.4) Madrid</w:t>
      </w:r>
    </w:p>
    <w:p w:rsidR="00C12216" w:rsidRDefault="00C12216" w:rsidP="00C12216">
      <w:pPr>
        <w:pStyle w:val="TextoNormalNegritaCentrado"/>
      </w:pPr>
    </w:p>
    <w:p w:rsidR="00C12216" w:rsidRDefault="00C12216" w:rsidP="00C12216">
      <w:pPr>
        <w:pStyle w:val="TextoNormalNegritaCursivandice"/>
      </w:pPr>
      <w:r>
        <w:t>Ley de la Asamblea de Madrid 20/1998, de 27 de noviembre. Ordenación y coordinación de los transportes urbanos</w:t>
      </w:r>
    </w:p>
    <w:p w:rsidR="00C12216" w:rsidRDefault="00C12216" w:rsidP="00C12216">
      <w:pPr>
        <w:pStyle w:val="SangriaFrancesaArticulo"/>
      </w:pPr>
      <w:r w:rsidRPr="00C12216">
        <w:rPr>
          <w:rStyle w:val="TextoNormalNegritaCaracter"/>
        </w:rPr>
        <w:t>Artículo 16.3.</w:t>
      </w:r>
      <w:r w:rsidRPr="00C12216">
        <w:rPr>
          <w:rStyle w:val="TextoNormalCaracter"/>
        </w:rPr>
        <w:t>-</w:t>
      </w:r>
      <w:r>
        <w:t xml:space="preserve"> Auto </w:t>
      </w:r>
      <w:hyperlink w:anchor="AUTO_2008_24" w:history="1">
        <w:r w:rsidRPr="00C12216">
          <w:rPr>
            <w:rStyle w:val="TextoNormalCaracter"/>
          </w:rPr>
          <w:t>24/2008</w:t>
        </w:r>
      </w:hyperlink>
      <w:r>
        <w:t>.</w:t>
      </w:r>
    </w:p>
    <w:p w:rsidR="00C12216" w:rsidRDefault="00C12216" w:rsidP="00C12216">
      <w:pPr>
        <w:pStyle w:val="SangriaFrancesaArticulo"/>
      </w:pPr>
    </w:p>
    <w:p w:rsidR="00C12216" w:rsidRDefault="00C12216" w:rsidP="00C12216">
      <w:pPr>
        <w:pStyle w:val="TextoNormalNegritaCursivandice"/>
      </w:pPr>
      <w:r>
        <w:t>Ley de la Asamblea de Madrid 3/2007, de 26 de julio. Medidas urgentes de modernización del Gobierno y la Administración de la Comunidad de Madrid</w:t>
      </w:r>
    </w:p>
    <w:p w:rsidR="00C12216" w:rsidRDefault="00C12216" w:rsidP="00C12216">
      <w:pPr>
        <w:pStyle w:val="SangriaFrancesaArticulo"/>
      </w:pPr>
      <w:r w:rsidRPr="00C12216">
        <w:rPr>
          <w:rStyle w:val="TextoNormalNegritaCaracter"/>
        </w:rPr>
        <w:t>Artículo 9.</w:t>
      </w:r>
      <w:r w:rsidRPr="00C12216">
        <w:rPr>
          <w:rStyle w:val="TextoNormalCaracter"/>
        </w:rPr>
        <w:t>-</w:t>
      </w:r>
      <w:r>
        <w:t xml:space="preserve"> Auto </w:t>
      </w:r>
      <w:hyperlink w:anchor="AUTO_2008_88" w:history="1">
        <w:r w:rsidRPr="00C12216">
          <w:rPr>
            <w:rStyle w:val="TextoNormalCaracter"/>
          </w:rPr>
          <w:t>88/2008</w:t>
        </w:r>
      </w:hyperlink>
      <w:r>
        <w:t>.</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B.5) Valencia</w:t>
      </w:r>
    </w:p>
    <w:p w:rsidR="00C12216" w:rsidRDefault="00C12216" w:rsidP="00C12216">
      <w:pPr>
        <w:pStyle w:val="TextoNormalNegritaCentrado"/>
      </w:pPr>
    </w:p>
    <w:p w:rsidR="00C12216" w:rsidRDefault="00C12216" w:rsidP="00C12216">
      <w:pPr>
        <w:pStyle w:val="TextoNormalNegritaCursivandice"/>
      </w:pPr>
      <w:r>
        <w:t>Ley de las Cortes Valencianas 8/1999, de 3 de diciembre. Supresión del área metropolitana de l´Horta</w:t>
      </w:r>
    </w:p>
    <w:p w:rsidR="00C12216" w:rsidRDefault="00C12216" w:rsidP="00C12216">
      <w:pPr>
        <w:pStyle w:val="SangriaFrancesaArticulo"/>
      </w:pPr>
      <w:r w:rsidRPr="00C12216">
        <w:rPr>
          <w:rStyle w:val="TextoNormalNegritaCaracter"/>
        </w:rPr>
        <w:t>Artículo 2.</w:t>
      </w:r>
      <w:r w:rsidRPr="00C12216">
        <w:rPr>
          <w:rStyle w:val="TextoNormalCaracter"/>
        </w:rPr>
        <w:t>-</w:t>
      </w:r>
      <w:r>
        <w:t xml:space="preserve"> Sentencia </w:t>
      </w:r>
      <w:hyperlink w:anchor="SENTENCIA_2008_47" w:history="1">
        <w:r w:rsidRPr="00C12216">
          <w:rPr>
            <w:rStyle w:val="TextoNormalCaracter"/>
          </w:rPr>
          <w:t>47/2008</w:t>
        </w:r>
      </w:hyperlink>
      <w:r>
        <w:t>.</w:t>
      </w:r>
    </w:p>
    <w:p w:rsidR="00C12216" w:rsidRDefault="00C12216" w:rsidP="00C12216">
      <w:pPr>
        <w:pStyle w:val="SangriaFrancesaArticulo"/>
      </w:pPr>
      <w:r w:rsidRPr="00C12216">
        <w:rPr>
          <w:rStyle w:val="TextoNormalNegritaCaracter"/>
        </w:rPr>
        <w:t>Disposición transitoria.</w:t>
      </w:r>
      <w:r w:rsidRPr="00C12216">
        <w:rPr>
          <w:rStyle w:val="TextoNormalCaracter"/>
        </w:rPr>
        <w:t>-</w:t>
      </w:r>
      <w:r>
        <w:t xml:space="preserve"> Sentencia </w:t>
      </w:r>
      <w:hyperlink w:anchor="SENTENCIA_2008_47" w:history="1">
        <w:r w:rsidRPr="00C12216">
          <w:rPr>
            <w:rStyle w:val="TextoNormalCaracter"/>
          </w:rPr>
          <w:t>47/2008</w:t>
        </w:r>
      </w:hyperlink>
      <w:r>
        <w:t>.</w:t>
      </w:r>
    </w:p>
    <w:p w:rsidR="00C12216" w:rsidRDefault="00C12216">
      <w:pPr>
        <w:spacing w:after="160" w:line="259" w:lineRule="auto"/>
        <w:rPr>
          <w:rFonts w:ascii="Times New Roman" w:eastAsia="Times New Roman" w:hAnsi="Times New Roman" w:cs="Times New Roman"/>
          <w:sz w:val="24"/>
          <w:szCs w:val="24"/>
          <w:lang w:eastAsia="es-ES"/>
        </w:rPr>
      </w:pPr>
      <w:r>
        <w:br w:type="page"/>
      </w:r>
    </w:p>
    <w:p w:rsidR="00C12216" w:rsidRDefault="00C12216" w:rsidP="00C12216">
      <w:pPr>
        <w:pStyle w:val="SangriaFrancesaArticulo"/>
      </w:pPr>
    </w:p>
    <w:p w:rsidR="00C12216" w:rsidRDefault="00C12216" w:rsidP="00C12216">
      <w:pPr>
        <w:pStyle w:val="TextoNormal"/>
      </w:pPr>
    </w:p>
    <w:p w:rsidR="00C12216" w:rsidRDefault="00C12216" w:rsidP="00C12216">
      <w:pPr>
        <w:pStyle w:val="TextoNormal"/>
      </w:pPr>
    </w:p>
    <w:p w:rsidR="00C12216" w:rsidRDefault="00C12216" w:rsidP="00C12216">
      <w:pPr>
        <w:pStyle w:val="TextoNormal"/>
      </w:pPr>
    </w:p>
    <w:p w:rsidR="00C12216" w:rsidRDefault="00C12216" w:rsidP="00C12216">
      <w:pPr>
        <w:pStyle w:val="Ttulondice"/>
        <w:suppressAutoHyphens/>
      </w:pPr>
      <w:r>
        <w:t>4. ÍNDICE DE DISPOSICIONES CITADAS</w:t>
      </w: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pPr>
    </w:p>
    <w:p w:rsidR="00C12216" w:rsidRDefault="00C12216" w:rsidP="00C12216">
      <w:pPr>
        <w:pStyle w:val="TextoNormal"/>
      </w:pPr>
      <w:bookmarkStart w:id="182" w:name="INDICE22804"/>
      <w:bookmarkEnd w:id="182"/>
    </w:p>
    <w:p w:rsidR="00C12216" w:rsidRDefault="00C12216" w:rsidP="00C12216">
      <w:pPr>
        <w:pStyle w:val="TextoIndiceNivel2"/>
        <w:suppressAutoHyphens/>
      </w:pPr>
      <w:r>
        <w:t>A) Constitución</w:t>
      </w:r>
    </w:p>
    <w:p w:rsidR="00C12216" w:rsidRDefault="00C12216" w:rsidP="00C12216">
      <w:pPr>
        <w:pStyle w:val="TextoIndiceNivel2"/>
      </w:pPr>
    </w:p>
    <w:p w:rsidR="00C12216" w:rsidRDefault="00C12216" w:rsidP="00C12216">
      <w:pPr>
        <w:pStyle w:val="TextoNormalNegritaCursivandice"/>
      </w:pPr>
      <w:r>
        <w:t>Constitución española, de 27 de diciembre de 1978</w:t>
      </w:r>
    </w:p>
    <w:p w:rsidR="00C12216" w:rsidRDefault="00C12216" w:rsidP="00C12216">
      <w:pPr>
        <w:pStyle w:val="SangriaFrancesaArticulo"/>
      </w:pPr>
      <w:r w:rsidRPr="00C12216">
        <w:rPr>
          <w:rStyle w:val="TextoNormalNegritaCaracter"/>
        </w:rPr>
        <w:t>Título II.</w:t>
      </w:r>
      <w:r w:rsidRPr="00C12216">
        <w:rPr>
          <w:rStyle w:val="TextoNormalCaracter"/>
        </w:rPr>
        <w:t>-</w:t>
      </w:r>
      <w:r>
        <w:t xml:space="preserve"> Sentencia </w:t>
      </w:r>
      <w:hyperlink w:anchor="SENTENCIA_2008_49" w:history="1">
        <w:r w:rsidRPr="00C12216">
          <w:rPr>
            <w:rStyle w:val="TextoNormalCaracter"/>
          </w:rPr>
          <w:t>49/2008</w:t>
        </w:r>
      </w:hyperlink>
      <w:r>
        <w:t>, f. 17.</w:t>
      </w:r>
    </w:p>
    <w:p w:rsidR="00C12216" w:rsidRDefault="00C12216" w:rsidP="00C12216">
      <w:pPr>
        <w:pStyle w:val="SangriaFrancesaArticulo"/>
      </w:pPr>
      <w:r w:rsidRPr="00C12216">
        <w:rPr>
          <w:rStyle w:val="TextoNormalNegritaCaracter"/>
        </w:rPr>
        <w:t>Título III.</w:t>
      </w:r>
      <w:r w:rsidRPr="00C12216">
        <w:rPr>
          <w:rStyle w:val="TextoNormalCaracter"/>
        </w:rPr>
        <w:t>-</w:t>
      </w:r>
      <w:r>
        <w:t xml:space="preserve"> Sentencia </w:t>
      </w:r>
      <w:hyperlink w:anchor="SENTENCIA_2008_49" w:history="1">
        <w:r w:rsidRPr="00C12216">
          <w:rPr>
            <w:rStyle w:val="TextoNormalCaracter"/>
          </w:rPr>
          <w:t>49/2008</w:t>
        </w:r>
      </w:hyperlink>
      <w:r>
        <w:t>, f. 13.</w:t>
      </w:r>
    </w:p>
    <w:p w:rsidR="00C12216" w:rsidRDefault="00C12216" w:rsidP="00C12216">
      <w:pPr>
        <w:pStyle w:val="SangriaFrancesaArticulo"/>
      </w:pPr>
      <w:r w:rsidRPr="00C12216">
        <w:rPr>
          <w:rStyle w:val="TextoNormalNegritaCaracter"/>
        </w:rPr>
        <w:t>Título VIII.</w:t>
      </w:r>
      <w:r w:rsidRPr="00C12216">
        <w:rPr>
          <w:rStyle w:val="TextoNormalCaracter"/>
        </w:rPr>
        <w:t>-</w:t>
      </w:r>
      <w:r>
        <w:t xml:space="preserve"> Sentencia </w:t>
      </w:r>
      <w:hyperlink w:anchor="SENTENCIA_2008_49" w:history="1">
        <w:r w:rsidRPr="00C12216">
          <w:rPr>
            <w:rStyle w:val="TextoNormalCaracter"/>
          </w:rPr>
          <w:t>49/2008</w:t>
        </w:r>
      </w:hyperlink>
      <w:r>
        <w:t>, VP I.</w:t>
      </w:r>
    </w:p>
    <w:p w:rsidR="00C12216" w:rsidRDefault="00C12216" w:rsidP="00C12216">
      <w:pPr>
        <w:pStyle w:val="SangriaFrancesaArticulo"/>
      </w:pPr>
      <w:r w:rsidRPr="00C12216">
        <w:rPr>
          <w:rStyle w:val="TextoNormalNegritaCaracter"/>
        </w:rPr>
        <w:t>Título IX.</w:t>
      </w:r>
      <w:r w:rsidRPr="00C12216">
        <w:rPr>
          <w:rStyle w:val="TextoNormalCaracter"/>
        </w:rPr>
        <w:t>-</w:t>
      </w:r>
      <w:r>
        <w:t xml:space="preserve"> Sentencia </w:t>
      </w:r>
      <w:hyperlink w:anchor="SENTENCIA_2008_49" w:history="1">
        <w:r w:rsidRPr="00C12216">
          <w:rPr>
            <w:rStyle w:val="TextoNormalCaracter"/>
          </w:rPr>
          <w:t>49/2008</w:t>
        </w:r>
      </w:hyperlink>
      <w:r>
        <w:t>, ff. 3, 4, 7, 16.</w:t>
      </w:r>
    </w:p>
    <w:p w:rsidR="00C12216" w:rsidRDefault="00C12216" w:rsidP="00C12216">
      <w:pPr>
        <w:pStyle w:val="SangriaFrancesaArticulo"/>
      </w:pPr>
      <w:r w:rsidRPr="00C12216">
        <w:rPr>
          <w:rStyle w:val="TextoNormalNegritaCaracter"/>
        </w:rPr>
        <w:t>Artículo 1.</w:t>
      </w:r>
      <w:r w:rsidRPr="00C12216">
        <w:rPr>
          <w:rStyle w:val="TextoNormalCaracter"/>
        </w:rPr>
        <w:t>-</w:t>
      </w:r>
      <w:r>
        <w:t xml:space="preserve"> Sentencias </w:t>
      </w:r>
      <w:hyperlink w:anchor="SENTENCIA_2008_1" w:history="1">
        <w:r w:rsidRPr="00C12216">
          <w:rPr>
            <w:rStyle w:val="TextoNormalCaracter"/>
          </w:rPr>
          <w:t>1/2008</w:t>
        </w:r>
      </w:hyperlink>
      <w:r>
        <w:t xml:space="preserve">; </w:t>
      </w:r>
      <w:hyperlink w:anchor="SENTENCIA_2008_56" w:history="1">
        <w:r w:rsidRPr="00C12216">
          <w:rPr>
            <w:rStyle w:val="TextoNormalCaracter"/>
          </w:rPr>
          <w:t>56/2008</w:t>
        </w:r>
      </w:hyperlink>
      <w:r>
        <w:t>, f. 6.</w:t>
      </w:r>
    </w:p>
    <w:p w:rsidR="00C12216" w:rsidRDefault="00C12216" w:rsidP="00C12216">
      <w:pPr>
        <w:pStyle w:val="SangriaIzquierdaArticulo"/>
      </w:pPr>
      <w:r>
        <w:t xml:space="preserve">Auto </w:t>
      </w:r>
      <w:hyperlink w:anchor="AUTO_2008_57" w:history="1">
        <w:r w:rsidRPr="00C12216">
          <w:rPr>
            <w:rStyle w:val="TextoNormalCaracter"/>
          </w:rPr>
          <w:t>57/2008</w:t>
        </w:r>
      </w:hyperlink>
      <w:r>
        <w:t>.</w:t>
      </w:r>
    </w:p>
    <w:p w:rsidR="00C12216" w:rsidRDefault="00C12216" w:rsidP="00C12216">
      <w:pPr>
        <w:pStyle w:val="SangriaFrancesaArticulo"/>
      </w:pPr>
      <w:r w:rsidRPr="00C12216">
        <w:rPr>
          <w:rStyle w:val="TextoNormalNegritaCaracter"/>
        </w:rPr>
        <w:t>Artículo 1.1.</w:t>
      </w:r>
      <w:r w:rsidRPr="00C12216">
        <w:rPr>
          <w:rStyle w:val="TextoNormalCaracter"/>
        </w:rPr>
        <w:t>-</w:t>
      </w:r>
      <w:r>
        <w:t xml:space="preserve"> Sentencias </w:t>
      </w:r>
      <w:hyperlink w:anchor="SENTENCIA_2008_12" w:history="1">
        <w:r w:rsidRPr="00C12216">
          <w:rPr>
            <w:rStyle w:val="TextoNormalCaracter"/>
          </w:rPr>
          <w:t>12/2008</w:t>
        </w:r>
      </w:hyperlink>
      <w:r>
        <w:t xml:space="preserve">, ff. 4, 5; </w:t>
      </w:r>
      <w:hyperlink w:anchor="SENTENCIA_2008_29" w:history="1">
        <w:r w:rsidRPr="00C12216">
          <w:rPr>
            <w:rStyle w:val="TextoNormalCaracter"/>
          </w:rPr>
          <w:t>29/2008</w:t>
        </w:r>
      </w:hyperlink>
      <w:r>
        <w:t xml:space="preserve">, f. 7; </w:t>
      </w:r>
      <w:hyperlink w:anchor="SENTENCIA_2008_46" w:history="1">
        <w:r w:rsidRPr="00C12216">
          <w:rPr>
            <w:rStyle w:val="TextoNormalCaracter"/>
          </w:rPr>
          <w:t>46/2008</w:t>
        </w:r>
      </w:hyperlink>
      <w:r>
        <w:t xml:space="preserve">, f. 2; </w:t>
      </w:r>
      <w:hyperlink w:anchor="SENTENCIA_2008_56" w:history="1">
        <w:r w:rsidRPr="00C12216">
          <w:rPr>
            <w:rStyle w:val="TextoNormalCaracter"/>
          </w:rPr>
          <w:t>56/2008</w:t>
        </w:r>
      </w:hyperlink>
      <w:r>
        <w:t xml:space="preserve">, f. 6; </w:t>
      </w:r>
      <w:hyperlink w:anchor="SENTENCIA_2008_57" w:history="1">
        <w:r w:rsidRPr="00C12216">
          <w:rPr>
            <w:rStyle w:val="TextoNormalCaracter"/>
          </w:rPr>
          <w:t>57/2008</w:t>
        </w:r>
      </w:hyperlink>
      <w:r>
        <w:t>, f. 2.</w:t>
      </w:r>
    </w:p>
    <w:p w:rsidR="00C12216" w:rsidRDefault="00C12216" w:rsidP="00C12216">
      <w:pPr>
        <w:pStyle w:val="SangriaIzquierdaArticulo"/>
      </w:pPr>
      <w:r>
        <w:t xml:space="preserve">Autos </w:t>
      </w:r>
      <w:hyperlink w:anchor="AUTO_2008_12" w:history="1">
        <w:r w:rsidRPr="00C12216">
          <w:rPr>
            <w:rStyle w:val="TextoNormalCaracter"/>
          </w:rPr>
          <w:t>12/2008</w:t>
        </w:r>
      </w:hyperlink>
      <w:r>
        <w:t xml:space="preserve">;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1.2.</w:t>
      </w:r>
      <w:r w:rsidRPr="00C12216">
        <w:rPr>
          <w:rStyle w:val="TextoNormalCaracter"/>
        </w:rPr>
        <w:t>-</w:t>
      </w:r>
      <w:r>
        <w:t xml:space="preserve"> Sentencia </w:t>
      </w:r>
      <w:hyperlink w:anchor="SENTENCIA_2008_12" w:history="1">
        <w:r w:rsidRPr="00C12216">
          <w:rPr>
            <w:rStyle w:val="TextoNormalCaracter"/>
          </w:rPr>
          <w:t>12/2008</w:t>
        </w:r>
      </w:hyperlink>
      <w:r>
        <w:t>, f. 10, VP.</w:t>
      </w:r>
    </w:p>
    <w:p w:rsidR="00C12216" w:rsidRDefault="00C12216" w:rsidP="00C12216">
      <w:pPr>
        <w:pStyle w:val="SangriaFrancesaArticulo"/>
      </w:pPr>
      <w:r w:rsidRPr="00C12216">
        <w:rPr>
          <w:rStyle w:val="TextoNormalNegritaCaracter"/>
        </w:rPr>
        <w:t>Artículo 1.3.</w:t>
      </w:r>
      <w:r w:rsidRPr="00C12216">
        <w:rPr>
          <w:rStyle w:val="TextoNormalCaracter"/>
        </w:rPr>
        <w:t>-</w:t>
      </w:r>
      <w:r>
        <w:t xml:space="preserve"> Sentencia </w:t>
      </w:r>
      <w:hyperlink w:anchor="SENTENCIA_2008_49" w:history="1">
        <w:r w:rsidRPr="00C12216">
          <w:rPr>
            <w:rStyle w:val="TextoNormalCaracter"/>
          </w:rPr>
          <w:t>49/2008</w:t>
        </w:r>
      </w:hyperlink>
      <w:r>
        <w:t>, f. 7.</w:t>
      </w:r>
    </w:p>
    <w:p w:rsidR="00C12216" w:rsidRDefault="00C12216" w:rsidP="00C12216">
      <w:pPr>
        <w:pStyle w:val="SangriaFrancesaArticulo"/>
      </w:pPr>
      <w:r w:rsidRPr="00C12216">
        <w:rPr>
          <w:rStyle w:val="TextoNormalNegritaCaracter"/>
        </w:rPr>
        <w:t>Artículo 6.</w:t>
      </w:r>
      <w:r w:rsidRPr="00C12216">
        <w:rPr>
          <w:rStyle w:val="TextoNormalCaracter"/>
        </w:rPr>
        <w:t>-</w:t>
      </w:r>
      <w:r>
        <w:t xml:space="preserve"> Sentencia </w:t>
      </w:r>
      <w:hyperlink w:anchor="SENTENCIA_2008_12" w:history="1">
        <w:r w:rsidRPr="00C12216">
          <w:rPr>
            <w:rStyle w:val="TextoNormalCaracter"/>
          </w:rPr>
          <w:t>12/2008</w:t>
        </w:r>
      </w:hyperlink>
      <w:r>
        <w:t>, ff. 1, 3 a 5, VP.</w:t>
      </w:r>
    </w:p>
    <w:p w:rsidR="00C12216" w:rsidRDefault="00C12216" w:rsidP="00C12216">
      <w:pPr>
        <w:pStyle w:val="SangriaFrancesaArticulo"/>
      </w:pPr>
      <w:r w:rsidRPr="00C12216">
        <w:rPr>
          <w:rStyle w:val="TextoNormalNegritaCaracter"/>
        </w:rPr>
        <w:t>Artículo 9.</w:t>
      </w:r>
      <w:r w:rsidRPr="00C12216">
        <w:rPr>
          <w:rStyle w:val="TextoNormalCaracter"/>
        </w:rPr>
        <w:t>-</w:t>
      </w:r>
      <w:r>
        <w:t xml:space="preserve"> Auto </w:t>
      </w:r>
      <w:hyperlink w:anchor="AUTO_2008_57" w:history="1">
        <w:r w:rsidRPr="00C12216">
          <w:rPr>
            <w:rStyle w:val="TextoNormalCaracter"/>
          </w:rPr>
          <w:t>57/2008</w:t>
        </w:r>
      </w:hyperlink>
      <w:r>
        <w:t>.</w:t>
      </w:r>
    </w:p>
    <w:p w:rsidR="00C12216" w:rsidRDefault="00C12216" w:rsidP="00C12216">
      <w:pPr>
        <w:pStyle w:val="SangriaFrancesaArticulo"/>
      </w:pPr>
      <w:r w:rsidRPr="00C12216">
        <w:rPr>
          <w:rStyle w:val="TextoNormalNegritaCaracter"/>
        </w:rPr>
        <w:t>Artículo 9.1.</w:t>
      </w:r>
      <w:r w:rsidRPr="00C12216">
        <w:rPr>
          <w:rStyle w:val="TextoNormalCaracter"/>
        </w:rPr>
        <w:t>-</w:t>
      </w:r>
      <w:r>
        <w:t xml:space="preserve"> Sentencias </w:t>
      </w:r>
      <w:hyperlink w:anchor="SENTENCIA_2008_12" w:history="1">
        <w:r w:rsidRPr="00C12216">
          <w:rPr>
            <w:rStyle w:val="TextoNormalCaracter"/>
          </w:rPr>
          <w:t>12/2008</w:t>
        </w:r>
      </w:hyperlink>
      <w:r>
        <w:t xml:space="preserve">, f. 10; </w:t>
      </w:r>
      <w:hyperlink w:anchor="SENTENCIA_2008_49" w:history="1">
        <w:r w:rsidRPr="00C12216">
          <w:rPr>
            <w:rStyle w:val="TextoNormalCaracter"/>
          </w:rPr>
          <w:t>49/2008</w:t>
        </w:r>
      </w:hyperlink>
      <w:r>
        <w:t xml:space="preserve">, ff. 3, 8; </w:t>
      </w:r>
      <w:hyperlink w:anchor="SENTENCIA_2008_50" w:history="1">
        <w:r w:rsidRPr="00C12216">
          <w:rPr>
            <w:rStyle w:val="TextoNormalCaracter"/>
          </w:rPr>
          <w:t>50/2008</w:t>
        </w:r>
      </w:hyperlink>
      <w:r>
        <w:t>, f. 4.</w:t>
      </w:r>
    </w:p>
    <w:p w:rsidR="00C12216" w:rsidRDefault="00C12216" w:rsidP="00C12216">
      <w:pPr>
        <w:pStyle w:val="SangriaFrancesaArticulo"/>
      </w:pPr>
      <w:r w:rsidRPr="00C12216">
        <w:rPr>
          <w:rStyle w:val="TextoNormalNegritaCaracter"/>
        </w:rPr>
        <w:t>Artículo 9.2.</w:t>
      </w:r>
      <w:r w:rsidRPr="00C12216">
        <w:rPr>
          <w:rStyle w:val="TextoNormalCaracter"/>
        </w:rPr>
        <w:t>-</w:t>
      </w:r>
      <w:r>
        <w:t xml:space="preserve"> Sentencia </w:t>
      </w:r>
      <w:hyperlink w:anchor="SENTENCIA_2008_12" w:history="1">
        <w:r w:rsidRPr="00C12216">
          <w:rPr>
            <w:rStyle w:val="TextoNormalCaracter"/>
          </w:rPr>
          <w:t>12/2008</w:t>
        </w:r>
      </w:hyperlink>
      <w:r>
        <w:t>, ff. 2 a 8, VP.</w:t>
      </w:r>
    </w:p>
    <w:p w:rsidR="00C12216" w:rsidRDefault="00C12216" w:rsidP="00C12216">
      <w:pPr>
        <w:pStyle w:val="SangriaFrancesaArticulo"/>
      </w:pPr>
      <w:r w:rsidRPr="00C12216">
        <w:rPr>
          <w:rStyle w:val="TextoNormalNegritaCaracter"/>
        </w:rPr>
        <w:t>Artículo 9.3.</w:t>
      </w:r>
      <w:r w:rsidRPr="00C12216">
        <w:rPr>
          <w:rStyle w:val="TextoNormalCaracter"/>
        </w:rPr>
        <w:t>-</w:t>
      </w:r>
      <w:r>
        <w:t xml:space="preserve"> Sentencia </w:t>
      </w:r>
      <w:hyperlink w:anchor="SENTENCIA_2008_49" w:history="1">
        <w:r w:rsidRPr="00C12216">
          <w:rPr>
            <w:rStyle w:val="TextoNormalCaracter"/>
          </w:rPr>
          <w:t>49/2008</w:t>
        </w:r>
      </w:hyperlink>
      <w:r>
        <w:t>, VP I.</w:t>
      </w:r>
    </w:p>
    <w:p w:rsidR="00C12216" w:rsidRDefault="00C12216" w:rsidP="00C12216">
      <w:pPr>
        <w:pStyle w:val="SangriaIzquierdaArticulo"/>
      </w:pPr>
      <w:r>
        <w:t xml:space="preserve">Autos </w:t>
      </w:r>
      <w:hyperlink w:anchor="AUTO_2008_54" w:history="1">
        <w:r w:rsidRPr="00C12216">
          <w:rPr>
            <w:rStyle w:val="TextoNormalCaracter"/>
          </w:rPr>
          <w:t>54/2008</w:t>
        </w:r>
      </w:hyperlink>
      <w:r>
        <w:t xml:space="preserve">;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9.3</w:t>
      </w:r>
      <w:r>
        <w:t xml:space="preserve"> </w:t>
      </w:r>
      <w:r w:rsidRPr="00C12216">
        <w:rPr>
          <w:rStyle w:val="TextoNormalCaracter"/>
        </w:rPr>
        <w:t>(interdicción de la arbitrariedad de los poderes públicos)</w:t>
      </w:r>
      <w:r w:rsidRPr="00C12216">
        <w:rPr>
          <w:rStyle w:val="TextoNormalNegritaCaracter"/>
        </w:rPr>
        <w:t>.</w:t>
      </w:r>
      <w:r w:rsidRPr="00C12216">
        <w:rPr>
          <w:rStyle w:val="TextoNormalCaracter"/>
        </w:rPr>
        <w:t>-</w:t>
      </w:r>
      <w:r>
        <w:t xml:space="preserve"> Sentencias </w:t>
      </w:r>
      <w:hyperlink w:anchor="SENTENCIA_2008_31" w:history="1">
        <w:r w:rsidRPr="00C12216">
          <w:rPr>
            <w:rStyle w:val="TextoNormalCaracter"/>
          </w:rPr>
          <w:t>31/2008</w:t>
        </w:r>
      </w:hyperlink>
      <w:r>
        <w:t xml:space="preserve">, f. 2; </w:t>
      </w:r>
      <w:hyperlink w:anchor="SENTENCIA_2008_49" w:history="1">
        <w:r w:rsidRPr="00C12216">
          <w:rPr>
            <w:rStyle w:val="TextoNormalCaracter"/>
          </w:rPr>
          <w:t>49/2008</w:t>
        </w:r>
      </w:hyperlink>
      <w:r>
        <w:t>, f. 5.</w:t>
      </w:r>
    </w:p>
    <w:p w:rsidR="00C12216" w:rsidRDefault="00C12216" w:rsidP="00C12216">
      <w:pPr>
        <w:pStyle w:val="SangriaIzquierdaArticulo"/>
      </w:pPr>
      <w:r>
        <w:t xml:space="preserve">Autos </w:t>
      </w:r>
      <w:hyperlink w:anchor="AUTO_2008_71" w:history="1">
        <w:r w:rsidRPr="00C12216">
          <w:rPr>
            <w:rStyle w:val="TextoNormalCaracter"/>
          </w:rPr>
          <w:t>71/2008</w:t>
        </w:r>
      </w:hyperlink>
      <w:r>
        <w:t xml:space="preserve">;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9.3</w:t>
      </w:r>
      <w:r>
        <w:t xml:space="preserve"> </w:t>
      </w:r>
      <w:r w:rsidRPr="00C12216">
        <w:rPr>
          <w:rStyle w:val="TextoNormalCaracter"/>
        </w:rPr>
        <w:t>(irretroactividad)</w:t>
      </w:r>
      <w:r w:rsidRPr="00C12216">
        <w:rPr>
          <w:rStyle w:val="TextoNormalNegritaCaracter"/>
        </w:rPr>
        <w:t>.</w:t>
      </w:r>
      <w:r w:rsidRPr="00C12216">
        <w:rPr>
          <w:rStyle w:val="TextoNormalCaracter"/>
        </w:rPr>
        <w:t>-</w:t>
      </w:r>
      <w:r>
        <w:t xml:space="preserve"> Auto </w:t>
      </w:r>
      <w:hyperlink w:anchor="AUTO_2008_28" w:history="1">
        <w:r w:rsidRPr="00C12216">
          <w:rPr>
            <w:rStyle w:val="TextoNormalCaracter"/>
          </w:rPr>
          <w:t>28/2008</w:t>
        </w:r>
      </w:hyperlink>
      <w:r>
        <w:t>.</w:t>
      </w:r>
    </w:p>
    <w:p w:rsidR="00C12216" w:rsidRDefault="00C12216" w:rsidP="00C12216">
      <w:pPr>
        <w:pStyle w:val="SangriaFrancesaArticulo"/>
      </w:pPr>
      <w:r w:rsidRPr="00C12216">
        <w:rPr>
          <w:rStyle w:val="TextoNormalNegritaCaracter"/>
        </w:rPr>
        <w:t>Artículo 9.3</w:t>
      </w:r>
      <w:r>
        <w:t xml:space="preserve"> </w:t>
      </w:r>
      <w:r w:rsidRPr="00C12216">
        <w:rPr>
          <w:rStyle w:val="TextoNormalCaracter"/>
        </w:rPr>
        <w:t>(seguridad jurídica)</w:t>
      </w:r>
      <w:r w:rsidRPr="00C12216">
        <w:rPr>
          <w:rStyle w:val="TextoNormalNegritaCaracter"/>
        </w:rPr>
        <w:t>.</w:t>
      </w:r>
      <w:r w:rsidRPr="00C12216">
        <w:rPr>
          <w:rStyle w:val="TextoNormalCaracter"/>
        </w:rPr>
        <w:t>-</w:t>
      </w:r>
      <w:r>
        <w:t xml:space="preserve"> Sentencias </w:t>
      </w:r>
      <w:hyperlink w:anchor="SENTENCIA_2008_15" w:history="1">
        <w:r w:rsidRPr="00C12216">
          <w:rPr>
            <w:rStyle w:val="TextoNormalCaracter"/>
          </w:rPr>
          <w:t>15/2008</w:t>
        </w:r>
      </w:hyperlink>
      <w:r>
        <w:t xml:space="preserve">, f. 4; </w:t>
      </w:r>
      <w:hyperlink w:anchor="SENTENCIA_2008_16" w:history="1">
        <w:r w:rsidRPr="00C12216">
          <w:rPr>
            <w:rStyle w:val="TextoNormalCaracter"/>
          </w:rPr>
          <w:t>16/2008</w:t>
        </w:r>
      </w:hyperlink>
      <w:r>
        <w:t xml:space="preserve">, f. 2; </w:t>
      </w:r>
      <w:hyperlink w:anchor="SENTENCIA_2008_25" w:history="1">
        <w:r w:rsidRPr="00C12216">
          <w:rPr>
            <w:rStyle w:val="TextoNormalCaracter"/>
          </w:rPr>
          <w:t>25/2008</w:t>
        </w:r>
      </w:hyperlink>
      <w:r>
        <w:t xml:space="preserve">, f. 3; </w:t>
      </w:r>
      <w:hyperlink w:anchor="SENTENCIA_2008_29" w:history="1">
        <w:r w:rsidRPr="00C12216">
          <w:rPr>
            <w:rStyle w:val="TextoNormalCaracter"/>
          </w:rPr>
          <w:t>29/2008</w:t>
        </w:r>
      </w:hyperlink>
      <w:r>
        <w:t xml:space="preserve">, ff. 9, 11, 12, VP; </w:t>
      </w:r>
      <w:hyperlink w:anchor="SENTENCIA_2008_46" w:history="1">
        <w:r w:rsidRPr="00C12216">
          <w:rPr>
            <w:rStyle w:val="TextoNormalCaracter"/>
          </w:rPr>
          <w:t>46/2008</w:t>
        </w:r>
      </w:hyperlink>
      <w:r>
        <w:t xml:space="preserve">, f. 2; </w:t>
      </w:r>
      <w:hyperlink w:anchor="SENTENCIA_2008_49" w:history="1">
        <w:r w:rsidRPr="00C12216">
          <w:rPr>
            <w:rStyle w:val="TextoNormalCaracter"/>
          </w:rPr>
          <w:t>49/2008</w:t>
        </w:r>
      </w:hyperlink>
      <w:r>
        <w:t>, VP I.</w:t>
      </w:r>
    </w:p>
    <w:p w:rsidR="00C12216" w:rsidRDefault="00C12216" w:rsidP="00C12216">
      <w:pPr>
        <w:pStyle w:val="SangriaIzquierdaArticulo"/>
      </w:pPr>
      <w:r>
        <w:t xml:space="preserve">Autos </w:t>
      </w:r>
      <w:hyperlink w:anchor="AUTO_2008_12" w:history="1">
        <w:r w:rsidRPr="00C12216">
          <w:rPr>
            <w:rStyle w:val="TextoNormalCaracter"/>
          </w:rPr>
          <w:t>12/2008</w:t>
        </w:r>
      </w:hyperlink>
      <w:r>
        <w:t xml:space="preserve">; </w:t>
      </w:r>
      <w:hyperlink w:anchor="AUTO_2008_28" w:history="1">
        <w:r w:rsidRPr="00C12216">
          <w:rPr>
            <w:rStyle w:val="TextoNormalCaracter"/>
          </w:rPr>
          <w:t>28/2008</w:t>
        </w:r>
      </w:hyperlink>
      <w:r>
        <w:t xml:space="preserve">; </w:t>
      </w:r>
      <w:hyperlink w:anchor="AUTO_2008_72" w:history="1">
        <w:r w:rsidRPr="00C12216">
          <w:rPr>
            <w:rStyle w:val="TextoNormalCaracter"/>
          </w:rPr>
          <w:t>72/2008</w:t>
        </w:r>
      </w:hyperlink>
      <w:r>
        <w:t xml:space="preserve">; </w:t>
      </w:r>
      <w:hyperlink w:anchor="AUTO_2008_83" w:history="1">
        <w:r w:rsidRPr="00C12216">
          <w:rPr>
            <w:rStyle w:val="TextoNormalCaracter"/>
          </w:rPr>
          <w:t>83/2008</w:t>
        </w:r>
      </w:hyperlink>
      <w:r>
        <w:t>.</w:t>
      </w:r>
    </w:p>
    <w:p w:rsidR="00C12216" w:rsidRDefault="00C12216" w:rsidP="00C12216">
      <w:pPr>
        <w:pStyle w:val="SangriaFrancesaArticulo"/>
      </w:pPr>
      <w:r w:rsidRPr="00C12216">
        <w:rPr>
          <w:rStyle w:val="TextoNormalNegritaCaracter"/>
        </w:rPr>
        <w:t>Artículo 10.</w:t>
      </w:r>
      <w:r w:rsidRPr="00C12216">
        <w:rPr>
          <w:rStyle w:val="TextoNormalCaracter"/>
        </w:rPr>
        <w:t>-</w:t>
      </w:r>
      <w:r>
        <w:t xml:space="preserve"> Sentencia </w:t>
      </w:r>
      <w:hyperlink w:anchor="SENTENCIA_2008_57" w:history="1">
        <w:r w:rsidRPr="00C12216">
          <w:rPr>
            <w:rStyle w:val="TextoNormalCaracter"/>
          </w:rPr>
          <w:t>57/2008</w:t>
        </w:r>
      </w:hyperlink>
      <w:r>
        <w:t>, f. 2.</w:t>
      </w:r>
    </w:p>
    <w:p w:rsidR="00C12216" w:rsidRDefault="00C12216" w:rsidP="00C12216">
      <w:pPr>
        <w:pStyle w:val="SangriaIzquierdaArticulo"/>
      </w:pPr>
      <w:r>
        <w:t xml:space="preserve">Auto </w:t>
      </w:r>
      <w:hyperlink w:anchor="AUTO_2008_54" w:history="1">
        <w:r w:rsidRPr="00C12216">
          <w:rPr>
            <w:rStyle w:val="TextoNormalCaracter"/>
          </w:rPr>
          <w:t>54/2008</w:t>
        </w:r>
      </w:hyperlink>
      <w:r>
        <w:t>.</w:t>
      </w:r>
    </w:p>
    <w:p w:rsidR="00C12216" w:rsidRDefault="00C12216" w:rsidP="00C12216">
      <w:pPr>
        <w:pStyle w:val="SangriaFrancesaArticulo"/>
      </w:pPr>
      <w:r w:rsidRPr="00C12216">
        <w:rPr>
          <w:rStyle w:val="TextoNormalNegritaCaracter"/>
        </w:rPr>
        <w:t>Artículo 10.1.</w:t>
      </w:r>
      <w:r w:rsidRPr="00C12216">
        <w:rPr>
          <w:rStyle w:val="TextoNormalCaracter"/>
        </w:rPr>
        <w:t>-</w:t>
      </w:r>
      <w:r>
        <w:t xml:space="preserve"> Sentencias </w:t>
      </w:r>
      <w:hyperlink w:anchor="SENTENCIA_2008_46" w:history="1">
        <w:r w:rsidRPr="00C12216">
          <w:rPr>
            <w:rStyle w:val="TextoNormalCaracter"/>
          </w:rPr>
          <w:t>46/2008</w:t>
        </w:r>
      </w:hyperlink>
      <w:r>
        <w:t xml:space="preserve">, f. 2; </w:t>
      </w:r>
      <w:hyperlink w:anchor="SENTENCIA_2008_56" w:history="1">
        <w:r w:rsidRPr="00C12216">
          <w:rPr>
            <w:rStyle w:val="TextoNormalCaracter"/>
          </w:rPr>
          <w:t>56/2008</w:t>
        </w:r>
      </w:hyperlink>
      <w:r>
        <w:t>, f. 6.</w:t>
      </w:r>
    </w:p>
    <w:p w:rsidR="00C12216" w:rsidRDefault="00C12216" w:rsidP="00C12216">
      <w:pPr>
        <w:pStyle w:val="SangriaIzquierdaArticulo"/>
      </w:pPr>
      <w:r>
        <w:lastRenderedPageBreak/>
        <w:t xml:space="preserve">Auto </w:t>
      </w:r>
      <w:hyperlink w:anchor="AUTO_2008_57" w:history="1">
        <w:r w:rsidRPr="00C12216">
          <w:rPr>
            <w:rStyle w:val="TextoNormalCaracter"/>
          </w:rPr>
          <w:t>57/2008</w:t>
        </w:r>
      </w:hyperlink>
      <w:r>
        <w:t>.</w:t>
      </w:r>
    </w:p>
    <w:p w:rsidR="00C12216" w:rsidRDefault="00C12216" w:rsidP="00C12216">
      <w:pPr>
        <w:pStyle w:val="SangriaFrancesaArticulo"/>
      </w:pPr>
      <w:r w:rsidRPr="00C12216">
        <w:rPr>
          <w:rStyle w:val="TextoNormalNegritaCaracter"/>
        </w:rPr>
        <w:t>Artículo 10.2.</w:t>
      </w:r>
      <w:r w:rsidRPr="00C12216">
        <w:rPr>
          <w:rStyle w:val="TextoNormalCaracter"/>
        </w:rPr>
        <w:t>-</w:t>
      </w:r>
      <w:r>
        <w:t xml:space="preserve"> Sentencias </w:t>
      </w:r>
      <w:hyperlink w:anchor="SENTENCIA_2008_12" w:history="1">
        <w:r w:rsidRPr="00C12216">
          <w:rPr>
            <w:rStyle w:val="TextoNormalCaracter"/>
          </w:rPr>
          <w:t>12/2008</w:t>
        </w:r>
      </w:hyperlink>
      <w:r>
        <w:t xml:space="preserve">, f. 2; </w:t>
      </w:r>
      <w:hyperlink w:anchor="SENTENCIA_2008_34" w:history="1">
        <w:r w:rsidRPr="00C12216">
          <w:rPr>
            <w:rStyle w:val="TextoNormalCaracter"/>
          </w:rPr>
          <w:t>34/2008</w:t>
        </w:r>
      </w:hyperlink>
      <w:r>
        <w:t xml:space="preserve">, f. 6; </w:t>
      </w:r>
      <w:hyperlink w:anchor="SENTENCIA_2008_48" w:history="1">
        <w:r w:rsidRPr="00C12216">
          <w:rPr>
            <w:rStyle w:val="TextoNormalCaracter"/>
          </w:rPr>
          <w:t>48/2008</w:t>
        </w:r>
      </w:hyperlink>
      <w:r>
        <w:t>, f. 2.</w:t>
      </w:r>
    </w:p>
    <w:p w:rsidR="00C12216" w:rsidRDefault="00C12216" w:rsidP="00C12216">
      <w:pPr>
        <w:pStyle w:val="SangriaFrancesaArticulo"/>
      </w:pPr>
      <w:r w:rsidRPr="00C12216">
        <w:rPr>
          <w:rStyle w:val="TextoNormalNegritaCaracter"/>
        </w:rPr>
        <w:t>Artículo 14.</w:t>
      </w:r>
      <w:r w:rsidRPr="00C12216">
        <w:rPr>
          <w:rStyle w:val="TextoNormalCaracter"/>
        </w:rPr>
        <w:t>-</w:t>
      </w:r>
      <w:r>
        <w:t xml:space="preserve"> Sentencias </w:t>
      </w:r>
      <w:hyperlink w:anchor="SENTENCIA_2008_12" w:history="1">
        <w:r w:rsidRPr="00C12216">
          <w:rPr>
            <w:rStyle w:val="TextoNormalCaracter"/>
          </w:rPr>
          <w:t>12/2008</w:t>
        </w:r>
      </w:hyperlink>
      <w:r>
        <w:t xml:space="preserve">, ff. 1, 4, 5, 9; </w:t>
      </w:r>
      <w:hyperlink w:anchor="SENTENCIA_2008_20" w:history="1">
        <w:r w:rsidRPr="00C12216">
          <w:rPr>
            <w:rStyle w:val="TextoNormalCaracter"/>
          </w:rPr>
          <w:t>20/2008</w:t>
        </w:r>
      </w:hyperlink>
      <w:r>
        <w:t xml:space="preserve">, ff. 1, 2; </w:t>
      </w:r>
      <w:hyperlink w:anchor="SENTENCIA_2008_30" w:history="1">
        <w:r w:rsidRPr="00C12216">
          <w:rPr>
            <w:rStyle w:val="TextoNormalCaracter"/>
          </w:rPr>
          <w:t>30/2008</w:t>
        </w:r>
      </w:hyperlink>
      <w:r>
        <w:t xml:space="preserve">, f. 2; </w:t>
      </w:r>
      <w:hyperlink w:anchor="SENTENCIA_2008_31" w:history="1">
        <w:r w:rsidRPr="00C12216">
          <w:rPr>
            <w:rStyle w:val="TextoNormalCaracter"/>
          </w:rPr>
          <w:t>31/2008</w:t>
        </w:r>
      </w:hyperlink>
      <w:r>
        <w:t xml:space="preserve">, passim; </w:t>
      </w:r>
      <w:hyperlink w:anchor="SENTENCIA_2008_39" w:history="1">
        <w:r w:rsidRPr="00C12216">
          <w:rPr>
            <w:rStyle w:val="TextoNormalCaracter"/>
          </w:rPr>
          <w:t>39/2008</w:t>
        </w:r>
      </w:hyperlink>
      <w:r>
        <w:t xml:space="preserve">, ff. 2, 4; </w:t>
      </w:r>
      <w:hyperlink w:anchor="SENTENCIA_2008_40" w:history="1">
        <w:r w:rsidRPr="00C12216">
          <w:rPr>
            <w:rStyle w:val="TextoNormalCaracter"/>
          </w:rPr>
          <w:t>40/2008</w:t>
        </w:r>
      </w:hyperlink>
      <w:r>
        <w:t>, f. 5.</w:t>
      </w:r>
    </w:p>
    <w:p w:rsidR="00C12216" w:rsidRDefault="00C12216" w:rsidP="00C12216">
      <w:pPr>
        <w:pStyle w:val="SangriaIzquierdaArticulo"/>
      </w:pPr>
      <w:r>
        <w:t xml:space="preserve">Autos </w:t>
      </w:r>
      <w:hyperlink w:anchor="AUTO_2008_12" w:history="1">
        <w:r w:rsidRPr="00C12216">
          <w:rPr>
            <w:rStyle w:val="TextoNormalCaracter"/>
          </w:rPr>
          <w:t>12/2008</w:t>
        </w:r>
      </w:hyperlink>
      <w:r>
        <w:t xml:space="preserve">; </w:t>
      </w:r>
      <w:hyperlink w:anchor="AUTO_2008_13" w:history="1">
        <w:r w:rsidRPr="00C12216">
          <w:rPr>
            <w:rStyle w:val="TextoNormalCaracter"/>
          </w:rPr>
          <w:t>13/2008</w:t>
        </w:r>
      </w:hyperlink>
      <w:r>
        <w:t xml:space="preserve">; </w:t>
      </w:r>
      <w:hyperlink w:anchor="AUTO_2008_54" w:history="1">
        <w:r w:rsidRPr="00C12216">
          <w:rPr>
            <w:rStyle w:val="TextoNormalCaracter"/>
          </w:rPr>
          <w:t>54/2008</w:t>
        </w:r>
      </w:hyperlink>
      <w:r>
        <w:t xml:space="preserve">; </w:t>
      </w:r>
      <w:hyperlink w:anchor="AUTO_2008_71" w:history="1">
        <w:r w:rsidRPr="00C12216">
          <w:rPr>
            <w:rStyle w:val="TextoNormalCaracter"/>
          </w:rPr>
          <w:t>71/2008</w:t>
        </w:r>
      </w:hyperlink>
      <w:r>
        <w:t xml:space="preserve">;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14</w:t>
      </w:r>
      <w:r>
        <w:t xml:space="preserve"> </w:t>
      </w:r>
      <w:r w:rsidRPr="00C12216">
        <w:rPr>
          <w:rStyle w:val="TextoNormalCaracter"/>
        </w:rPr>
        <w:t>(igualdad en la aplicación de la ley)</w:t>
      </w:r>
      <w:r w:rsidRPr="00C12216">
        <w:rPr>
          <w:rStyle w:val="TextoNormalNegritaCaracter"/>
        </w:rPr>
        <w:t>.</w:t>
      </w:r>
      <w:r w:rsidRPr="00C12216">
        <w:rPr>
          <w:rStyle w:val="TextoNormalCaracter"/>
        </w:rPr>
        <w:t>-</w:t>
      </w:r>
      <w:r>
        <w:t xml:space="preserve"> Sentencias </w:t>
      </w:r>
      <w:hyperlink w:anchor="SENTENCIA_2008_1" w:history="1">
        <w:r w:rsidRPr="00C12216">
          <w:rPr>
            <w:rStyle w:val="TextoNormalCaracter"/>
          </w:rPr>
          <w:t>1/2008</w:t>
        </w:r>
      </w:hyperlink>
      <w:r>
        <w:t xml:space="preserve">, f. 1; </w:t>
      </w:r>
      <w:hyperlink w:anchor="SENTENCIA_2008_13" w:history="1">
        <w:r w:rsidRPr="00C12216">
          <w:rPr>
            <w:rStyle w:val="TextoNormalCaracter"/>
          </w:rPr>
          <w:t>13/2008</w:t>
        </w:r>
      </w:hyperlink>
      <w:r>
        <w:t xml:space="preserve">, f. 5; </w:t>
      </w:r>
      <w:hyperlink w:anchor="SENTENCIA_2008_29" w:history="1">
        <w:r w:rsidRPr="00C12216">
          <w:rPr>
            <w:rStyle w:val="TextoNormalCaracter"/>
          </w:rPr>
          <w:t>29/2008</w:t>
        </w:r>
      </w:hyperlink>
      <w:r>
        <w:t xml:space="preserve">, f. 1; </w:t>
      </w:r>
      <w:hyperlink w:anchor="SENTENCIA_2008_30" w:history="1">
        <w:r w:rsidRPr="00C12216">
          <w:rPr>
            <w:rStyle w:val="TextoNormalCaracter"/>
          </w:rPr>
          <w:t>30/2008</w:t>
        </w:r>
      </w:hyperlink>
      <w:r>
        <w:t xml:space="preserve">, ff. 3, 7, 9; </w:t>
      </w:r>
      <w:hyperlink w:anchor="SENTENCIA_2008_31" w:history="1">
        <w:r w:rsidRPr="00C12216">
          <w:rPr>
            <w:rStyle w:val="TextoNormalCaracter"/>
          </w:rPr>
          <w:t>31/2008</w:t>
        </w:r>
      </w:hyperlink>
      <w:r>
        <w:t xml:space="preserve">, ff. 1, 3; </w:t>
      </w:r>
      <w:hyperlink w:anchor="SENTENCIA_2008_40" w:history="1">
        <w:r w:rsidRPr="00C12216">
          <w:rPr>
            <w:rStyle w:val="TextoNormalCaracter"/>
          </w:rPr>
          <w:t>40/2008</w:t>
        </w:r>
      </w:hyperlink>
      <w:r>
        <w:t xml:space="preserve">, ff. 1, 5; </w:t>
      </w:r>
      <w:hyperlink w:anchor="SENTENCIA_2008_43" w:history="1">
        <w:r w:rsidRPr="00C12216">
          <w:rPr>
            <w:rStyle w:val="TextoNormalCaracter"/>
          </w:rPr>
          <w:t>43/2008</w:t>
        </w:r>
      </w:hyperlink>
      <w:r>
        <w:t xml:space="preserve">, ff. 1, 3; </w:t>
      </w:r>
      <w:hyperlink w:anchor="SENTENCIA_2008_54" w:history="1">
        <w:r w:rsidRPr="00C12216">
          <w:rPr>
            <w:rStyle w:val="TextoNormalCaracter"/>
          </w:rPr>
          <w:t>54/2008</w:t>
        </w:r>
      </w:hyperlink>
      <w:r>
        <w:t>, f. 1.</w:t>
      </w:r>
    </w:p>
    <w:p w:rsidR="00C12216" w:rsidRDefault="00C12216" w:rsidP="00C12216">
      <w:pPr>
        <w:pStyle w:val="SangriaIzquierdaArticulo"/>
      </w:pPr>
      <w:r>
        <w:t xml:space="preserve">Autos </w:t>
      </w:r>
      <w:hyperlink w:anchor="AUTO_2008_48" w:history="1">
        <w:r w:rsidRPr="00C12216">
          <w:rPr>
            <w:rStyle w:val="TextoNormalCaracter"/>
          </w:rPr>
          <w:t>48/2008</w:t>
        </w:r>
      </w:hyperlink>
      <w:r>
        <w:t xml:space="preserve">;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14</w:t>
      </w:r>
      <w:r>
        <w:t xml:space="preserve"> </w:t>
      </w:r>
      <w:r w:rsidRPr="00C12216">
        <w:rPr>
          <w:rStyle w:val="TextoNormalCaracter"/>
        </w:rPr>
        <w:t>(igualdad en la ley)</w:t>
      </w:r>
      <w:r w:rsidRPr="00C12216">
        <w:rPr>
          <w:rStyle w:val="TextoNormalNegritaCaracter"/>
        </w:rPr>
        <w:t>.</w:t>
      </w:r>
      <w:r w:rsidRPr="00C12216">
        <w:rPr>
          <w:rStyle w:val="TextoNormalCaracter"/>
        </w:rPr>
        <w:t>-</w:t>
      </w:r>
      <w:r>
        <w:t xml:space="preserve"> Sentencias </w:t>
      </w:r>
      <w:hyperlink w:anchor="SENTENCIA_2008_9" w:history="1">
        <w:r w:rsidRPr="00C12216">
          <w:rPr>
            <w:rStyle w:val="TextoNormalCaracter"/>
          </w:rPr>
          <w:t>9/2008</w:t>
        </w:r>
      </w:hyperlink>
      <w:r>
        <w:t xml:space="preserve">, f. 1; </w:t>
      </w:r>
      <w:hyperlink w:anchor="SENTENCIA_2008_12" w:history="1">
        <w:r w:rsidRPr="00C12216">
          <w:rPr>
            <w:rStyle w:val="TextoNormalCaracter"/>
          </w:rPr>
          <w:t>12/2008</w:t>
        </w:r>
      </w:hyperlink>
      <w:r>
        <w:t xml:space="preserve">, ff. 3, 6; </w:t>
      </w:r>
      <w:hyperlink w:anchor="SENTENCIA_2008_29" w:history="1">
        <w:r w:rsidRPr="00C12216">
          <w:rPr>
            <w:rStyle w:val="TextoNormalCaracter"/>
          </w:rPr>
          <w:t>29/2008</w:t>
        </w:r>
      </w:hyperlink>
      <w:r>
        <w:t xml:space="preserve">, f. 13; </w:t>
      </w:r>
      <w:hyperlink w:anchor="SENTENCIA_2008_39" w:history="1">
        <w:r w:rsidRPr="00C12216">
          <w:rPr>
            <w:rStyle w:val="TextoNormalCaracter"/>
          </w:rPr>
          <w:t>39/2008</w:t>
        </w:r>
      </w:hyperlink>
      <w:r>
        <w:t>, f. 4.</w:t>
      </w:r>
    </w:p>
    <w:p w:rsidR="00C12216" w:rsidRDefault="00C12216" w:rsidP="00C12216">
      <w:pPr>
        <w:pStyle w:val="SangriaIzquierdaArticulo"/>
      </w:pPr>
      <w:r>
        <w:t xml:space="preserve">Autos </w:t>
      </w:r>
      <w:hyperlink w:anchor="AUTO_2008_54" w:history="1">
        <w:r w:rsidRPr="00C12216">
          <w:rPr>
            <w:rStyle w:val="TextoNormalCaracter"/>
          </w:rPr>
          <w:t>54/2008</w:t>
        </w:r>
      </w:hyperlink>
      <w:r>
        <w:t xml:space="preserve">; </w:t>
      </w:r>
      <w:hyperlink w:anchor="AUTO_2008_57" w:history="1">
        <w:r w:rsidRPr="00C12216">
          <w:rPr>
            <w:rStyle w:val="TextoNormalCaracter"/>
          </w:rPr>
          <w:t>57/2008</w:t>
        </w:r>
      </w:hyperlink>
      <w:r>
        <w:t xml:space="preserve">; </w:t>
      </w:r>
      <w:hyperlink w:anchor="AUTO_2008_71" w:history="1">
        <w:r w:rsidRPr="00C12216">
          <w:rPr>
            <w:rStyle w:val="TextoNormalCaracter"/>
          </w:rPr>
          <w:t>71/2008</w:t>
        </w:r>
      </w:hyperlink>
      <w:r>
        <w:t xml:space="preserve">; </w:t>
      </w:r>
      <w:hyperlink w:anchor="AUTO_2008_83" w:history="1">
        <w:r w:rsidRPr="00C12216">
          <w:rPr>
            <w:rStyle w:val="TextoNormalCaracter"/>
          </w:rPr>
          <w:t>83/2008</w:t>
        </w:r>
      </w:hyperlink>
      <w:r>
        <w:t xml:space="preserve">; </w:t>
      </w:r>
      <w:hyperlink w:anchor="AUTO_2008_112" w:history="1">
        <w:r w:rsidRPr="00C12216">
          <w:rPr>
            <w:rStyle w:val="TextoNormalCaracter"/>
          </w:rPr>
          <w:t>112/2008</w:t>
        </w:r>
      </w:hyperlink>
      <w:r>
        <w:t>.</w:t>
      </w:r>
    </w:p>
    <w:p w:rsidR="00C12216" w:rsidRDefault="00C12216" w:rsidP="00C12216">
      <w:pPr>
        <w:pStyle w:val="SangriaFrancesaArticulo"/>
      </w:pPr>
      <w:r w:rsidRPr="00C12216">
        <w:rPr>
          <w:rStyle w:val="TextoNormalNegritaCaracter"/>
        </w:rPr>
        <w:t>Artículos 14 a 29 y 30.2.</w:t>
      </w:r>
      <w:r w:rsidRPr="00C12216">
        <w:rPr>
          <w:rStyle w:val="TextoNormalCaracter"/>
        </w:rPr>
        <w:t>-</w:t>
      </w:r>
      <w:r>
        <w:t xml:space="preserve"> Sentencia </w:t>
      </w:r>
      <w:hyperlink w:anchor="SENTENCIA_2008_46" w:history="1">
        <w:r w:rsidRPr="00C12216">
          <w:rPr>
            <w:rStyle w:val="TextoNormalCaracter"/>
          </w:rPr>
          <w:t>46/2008</w:t>
        </w:r>
      </w:hyperlink>
      <w:r>
        <w:t>, f. 2.</w:t>
      </w:r>
    </w:p>
    <w:p w:rsidR="00C12216" w:rsidRDefault="00C12216" w:rsidP="00C12216">
      <w:pPr>
        <w:pStyle w:val="SangriaFrancesaArticulo"/>
      </w:pPr>
      <w:r w:rsidRPr="00C12216">
        <w:rPr>
          <w:rStyle w:val="TextoNormalNegritaCaracter"/>
        </w:rPr>
        <w:t>Artículo 15.</w:t>
      </w:r>
      <w:r w:rsidRPr="00C12216">
        <w:rPr>
          <w:rStyle w:val="TextoNormalCaracter"/>
        </w:rPr>
        <w:t>-</w:t>
      </w:r>
      <w:r>
        <w:t xml:space="preserve"> Sentencias </w:t>
      </w:r>
      <w:hyperlink w:anchor="SENTENCIA_2008_8" w:history="1">
        <w:r w:rsidRPr="00C12216">
          <w:rPr>
            <w:rStyle w:val="TextoNormalCaracter"/>
          </w:rPr>
          <w:t>8/2008</w:t>
        </w:r>
      </w:hyperlink>
      <w:r>
        <w:t xml:space="preserve">, ff. 1, 2; </w:t>
      </w:r>
      <w:hyperlink w:anchor="SENTENCIA_2008_22" w:history="1">
        <w:r w:rsidRPr="00C12216">
          <w:rPr>
            <w:rStyle w:val="TextoNormalCaracter"/>
          </w:rPr>
          <w:t>22/2008</w:t>
        </w:r>
      </w:hyperlink>
      <w:r>
        <w:t xml:space="preserve">, ff. 1, 8; </w:t>
      </w:r>
      <w:hyperlink w:anchor="SENTENCIA_2008_25" w:history="1">
        <w:r w:rsidRPr="00C12216">
          <w:rPr>
            <w:rStyle w:val="TextoNormalCaracter"/>
          </w:rPr>
          <w:t>25/2008</w:t>
        </w:r>
      </w:hyperlink>
      <w:r>
        <w:t xml:space="preserve">, ff. 1, 2, 6, 7; </w:t>
      </w:r>
      <w:hyperlink w:anchor="SENTENCIA_2008_34" w:history="1">
        <w:r w:rsidRPr="00C12216">
          <w:rPr>
            <w:rStyle w:val="TextoNormalCaracter"/>
          </w:rPr>
          <w:t>34/2008</w:t>
        </w:r>
      </w:hyperlink>
      <w:r>
        <w:t xml:space="preserve">, ff. 1, 5, 6, 8; </w:t>
      </w:r>
      <w:hyperlink w:anchor="SENTENCIA_2008_52" w:history="1">
        <w:r w:rsidRPr="00C12216">
          <w:rPr>
            <w:rStyle w:val="TextoNormalCaracter"/>
          </w:rPr>
          <w:t>52/2008</w:t>
        </w:r>
      </w:hyperlink>
      <w:r>
        <w:t>, ff. 1, 2, 6, VP.</w:t>
      </w:r>
    </w:p>
    <w:p w:rsidR="00C12216" w:rsidRDefault="00C12216" w:rsidP="00C12216">
      <w:pPr>
        <w:pStyle w:val="SangriaIzquierdaArticulo"/>
      </w:pPr>
      <w:r>
        <w:t xml:space="preserve">Auto </w:t>
      </w:r>
      <w:hyperlink w:anchor="AUTO_2008_16" w:history="1">
        <w:r w:rsidRPr="00C12216">
          <w:rPr>
            <w:rStyle w:val="TextoNormalCaracter"/>
          </w:rPr>
          <w:t>16/2008</w:t>
        </w:r>
      </w:hyperlink>
      <w:r>
        <w:t>.</w:t>
      </w:r>
    </w:p>
    <w:p w:rsidR="00C12216" w:rsidRDefault="00C12216" w:rsidP="00C12216">
      <w:pPr>
        <w:pStyle w:val="SangriaFrancesaArticulo"/>
      </w:pPr>
      <w:r w:rsidRPr="00C12216">
        <w:rPr>
          <w:rStyle w:val="TextoNormalNegritaCaracter"/>
        </w:rPr>
        <w:t>Artículo 16.</w:t>
      </w:r>
      <w:r w:rsidRPr="00C12216">
        <w:rPr>
          <w:rStyle w:val="TextoNormalCaracter"/>
        </w:rPr>
        <w:t>-</w:t>
      </w:r>
      <w:r>
        <w:t xml:space="preserve"> Sentencia </w:t>
      </w:r>
      <w:hyperlink w:anchor="SENTENCIA_2008_12" w:history="1">
        <w:r w:rsidRPr="00C12216">
          <w:rPr>
            <w:rStyle w:val="TextoNormalCaracter"/>
          </w:rPr>
          <w:t>12/2008</w:t>
        </w:r>
      </w:hyperlink>
      <w:r>
        <w:t>, f. 3.</w:t>
      </w:r>
    </w:p>
    <w:p w:rsidR="00C12216" w:rsidRDefault="00C12216" w:rsidP="00C12216">
      <w:pPr>
        <w:pStyle w:val="SangriaIzquierdaArticulo"/>
      </w:pPr>
      <w:r>
        <w:t xml:space="preserve">Auto </w:t>
      </w:r>
      <w:hyperlink w:anchor="AUTO_2008_12" w:history="1">
        <w:r w:rsidRPr="00C12216">
          <w:rPr>
            <w:rStyle w:val="TextoNormalCaracter"/>
          </w:rPr>
          <w:t>12/2008</w:t>
        </w:r>
      </w:hyperlink>
      <w:r>
        <w:t>.</w:t>
      </w:r>
    </w:p>
    <w:p w:rsidR="00C12216" w:rsidRDefault="00C12216" w:rsidP="00C12216">
      <w:pPr>
        <w:pStyle w:val="SangriaFrancesaArticulo"/>
      </w:pPr>
      <w:r w:rsidRPr="00C12216">
        <w:rPr>
          <w:rStyle w:val="TextoNormalNegritaCaracter"/>
        </w:rPr>
        <w:t>Artículo 16.1.</w:t>
      </w:r>
      <w:r w:rsidRPr="00C12216">
        <w:rPr>
          <w:rStyle w:val="TextoNormalCaracter"/>
        </w:rPr>
        <w:t>-</w:t>
      </w:r>
      <w:r>
        <w:t xml:space="preserve"> Sentencia </w:t>
      </w:r>
      <w:hyperlink w:anchor="SENTENCIA_2008_12" w:history="1">
        <w:r w:rsidRPr="00C12216">
          <w:rPr>
            <w:rStyle w:val="TextoNormalCaracter"/>
          </w:rPr>
          <w:t>12/2008</w:t>
        </w:r>
      </w:hyperlink>
      <w:r>
        <w:t>, ff. 1, 6.</w:t>
      </w:r>
    </w:p>
    <w:p w:rsidR="00C12216" w:rsidRDefault="00C12216" w:rsidP="00C12216">
      <w:pPr>
        <w:pStyle w:val="SangriaFrancesaArticulo"/>
      </w:pPr>
      <w:r w:rsidRPr="00C12216">
        <w:rPr>
          <w:rStyle w:val="TextoNormalNegritaCaracter"/>
        </w:rPr>
        <w:t>Artículo 17.</w:t>
      </w:r>
      <w:r w:rsidRPr="00C12216">
        <w:rPr>
          <w:rStyle w:val="TextoNormalCaracter"/>
        </w:rPr>
        <w:t>-</w:t>
      </w:r>
      <w:r>
        <w:t xml:space="preserve"> Sentencias </w:t>
      </w:r>
      <w:hyperlink w:anchor="SENTENCIA_2008_27" w:history="1">
        <w:r w:rsidRPr="00C12216">
          <w:rPr>
            <w:rStyle w:val="TextoNormalCaracter"/>
          </w:rPr>
          <w:t>27/2008</w:t>
        </w:r>
      </w:hyperlink>
      <w:r>
        <w:t xml:space="preserve">, ff. 1, 3, 4; </w:t>
      </w:r>
      <w:hyperlink w:anchor="SENTENCIA_2008_29" w:history="1">
        <w:r w:rsidRPr="00C12216">
          <w:rPr>
            <w:rStyle w:val="TextoNormalCaracter"/>
          </w:rPr>
          <w:t>29/2008</w:t>
        </w:r>
      </w:hyperlink>
      <w:r>
        <w:t xml:space="preserve">, ff. 7, 8, 10, 12, VP; </w:t>
      </w:r>
      <w:hyperlink w:anchor="SENTENCIA_2008_35" w:history="1">
        <w:r w:rsidRPr="00C12216">
          <w:rPr>
            <w:rStyle w:val="TextoNormalCaracter"/>
          </w:rPr>
          <w:t>35/2008</w:t>
        </w:r>
      </w:hyperlink>
      <w:r>
        <w:t xml:space="preserve">, f. 1; </w:t>
      </w:r>
      <w:hyperlink w:anchor="SENTENCIA_2008_37" w:history="1">
        <w:r w:rsidRPr="00C12216">
          <w:rPr>
            <w:rStyle w:val="TextoNormalCaracter"/>
          </w:rPr>
          <w:t>37/2008</w:t>
        </w:r>
      </w:hyperlink>
      <w:r>
        <w:t>, f. 3.</w:t>
      </w:r>
    </w:p>
    <w:p w:rsidR="00C12216" w:rsidRDefault="00C12216" w:rsidP="00C12216">
      <w:pPr>
        <w:pStyle w:val="SangriaIzquierdaArticulo"/>
      </w:pPr>
      <w:r>
        <w:t xml:space="preserve">Autos </w:t>
      </w:r>
      <w:hyperlink w:anchor="AUTO_2008_43" w:history="1">
        <w:r w:rsidRPr="00C12216">
          <w:rPr>
            <w:rStyle w:val="TextoNormalCaracter"/>
          </w:rPr>
          <w:t>43/2008</w:t>
        </w:r>
      </w:hyperlink>
      <w:r>
        <w:t xml:space="preserve">; </w:t>
      </w:r>
      <w:hyperlink w:anchor="AUTO_2008_57" w:history="1">
        <w:r w:rsidRPr="00C12216">
          <w:rPr>
            <w:rStyle w:val="TextoNormalCaracter"/>
          </w:rPr>
          <w:t>57/2008</w:t>
        </w:r>
      </w:hyperlink>
      <w:r>
        <w:t xml:space="preserve">; </w:t>
      </w:r>
      <w:hyperlink w:anchor="AUTO_2008_72" w:history="1">
        <w:r w:rsidRPr="00C12216">
          <w:rPr>
            <w:rStyle w:val="TextoNormalCaracter"/>
          </w:rPr>
          <w:t>72/2008</w:t>
        </w:r>
      </w:hyperlink>
      <w:r>
        <w:t xml:space="preserve">;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r w:rsidRPr="00C12216">
        <w:rPr>
          <w:rStyle w:val="TextoNormalNegritaCaracter"/>
        </w:rPr>
        <w:t>Artículo 17.1.</w:t>
      </w:r>
      <w:r w:rsidRPr="00C12216">
        <w:rPr>
          <w:rStyle w:val="TextoNormalCaracter"/>
        </w:rPr>
        <w:t>-</w:t>
      </w:r>
      <w:r>
        <w:t xml:space="preserve"> Sentencias </w:t>
      </w:r>
      <w:hyperlink w:anchor="SENTENCIA_2008_27" w:history="1">
        <w:r w:rsidRPr="00C12216">
          <w:rPr>
            <w:rStyle w:val="TextoNormalCaracter"/>
          </w:rPr>
          <w:t>27/2008</w:t>
        </w:r>
      </w:hyperlink>
      <w:r>
        <w:t xml:space="preserve">, f. 6; </w:t>
      </w:r>
      <w:hyperlink w:anchor="SENTENCIA_2008_29" w:history="1">
        <w:r w:rsidRPr="00C12216">
          <w:rPr>
            <w:rStyle w:val="TextoNormalCaracter"/>
          </w:rPr>
          <w:t>29/2008</w:t>
        </w:r>
      </w:hyperlink>
      <w:r>
        <w:t xml:space="preserve">, ff. 7, 10, 13; </w:t>
      </w:r>
      <w:hyperlink w:anchor="SENTENCIA_2008_37" w:history="1">
        <w:r w:rsidRPr="00C12216">
          <w:rPr>
            <w:rStyle w:val="TextoNormalCaracter"/>
          </w:rPr>
          <w:t>37/2008</w:t>
        </w:r>
      </w:hyperlink>
      <w:r>
        <w:t xml:space="preserve">, f. 1; </w:t>
      </w:r>
      <w:hyperlink w:anchor="SENTENCIA_2008_43" w:history="1">
        <w:r w:rsidRPr="00C12216">
          <w:rPr>
            <w:rStyle w:val="TextoNormalCaracter"/>
          </w:rPr>
          <w:t>43/2008</w:t>
        </w:r>
      </w:hyperlink>
      <w:r>
        <w:t xml:space="preserve">, ff. 1, 4, VP; </w:t>
      </w:r>
      <w:hyperlink w:anchor="SENTENCIA_2008_57" w:history="1">
        <w:r w:rsidRPr="00C12216">
          <w:rPr>
            <w:rStyle w:val="TextoNormalCaracter"/>
          </w:rPr>
          <w:t>57/2008</w:t>
        </w:r>
      </w:hyperlink>
      <w:r>
        <w:t>, ff. 1, 2, 4, 8.</w:t>
      </w:r>
    </w:p>
    <w:p w:rsidR="00C12216" w:rsidRDefault="00C12216" w:rsidP="00C12216">
      <w:pPr>
        <w:pStyle w:val="SangriaIzquierdaArticulo"/>
      </w:pPr>
      <w:r>
        <w:t xml:space="preserve">Autos </w:t>
      </w:r>
      <w:hyperlink w:anchor="AUTO_2008_43" w:history="1">
        <w:r w:rsidRPr="00C12216">
          <w:rPr>
            <w:rStyle w:val="TextoNormalCaracter"/>
          </w:rPr>
          <w:t>43/2008</w:t>
        </w:r>
      </w:hyperlink>
      <w:r>
        <w:t xml:space="preserve">; </w:t>
      </w:r>
      <w:hyperlink w:anchor="AUTO_2008_54" w:history="1">
        <w:r w:rsidRPr="00C12216">
          <w:rPr>
            <w:rStyle w:val="TextoNormalCaracter"/>
          </w:rPr>
          <w:t>54/2008</w:t>
        </w:r>
      </w:hyperlink>
      <w:r>
        <w:t xml:space="preserve">;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17.2.</w:t>
      </w:r>
      <w:r w:rsidRPr="00C12216">
        <w:rPr>
          <w:rStyle w:val="TextoNormalCaracter"/>
        </w:rPr>
        <w:t>-</w:t>
      </w:r>
      <w:r>
        <w:t xml:space="preserve"> Sentencia </w:t>
      </w:r>
      <w:hyperlink w:anchor="SENTENCIA_2008_35" w:history="1">
        <w:r w:rsidRPr="00C12216">
          <w:rPr>
            <w:rStyle w:val="TextoNormalCaracter"/>
          </w:rPr>
          <w:t>35/2008</w:t>
        </w:r>
      </w:hyperlink>
      <w:r>
        <w:t>, f. 4.</w:t>
      </w:r>
    </w:p>
    <w:p w:rsidR="00C12216" w:rsidRDefault="00C12216" w:rsidP="00C12216">
      <w:pPr>
        <w:pStyle w:val="SangriaFrancesaArticulo"/>
      </w:pPr>
      <w:r w:rsidRPr="00C12216">
        <w:rPr>
          <w:rStyle w:val="TextoNormalNegritaCaracter"/>
        </w:rPr>
        <w:t>Artículo 17.4.</w:t>
      </w:r>
      <w:r w:rsidRPr="00C12216">
        <w:rPr>
          <w:rStyle w:val="TextoNormalCaracter"/>
        </w:rPr>
        <w:t>-</w:t>
      </w:r>
      <w:r>
        <w:t xml:space="preserve"> Sentencias </w:t>
      </w:r>
      <w:hyperlink w:anchor="SENTENCIA_2008_35" w:history="1">
        <w:r w:rsidRPr="00C12216">
          <w:rPr>
            <w:rStyle w:val="TextoNormalCaracter"/>
          </w:rPr>
          <w:t>35/2008</w:t>
        </w:r>
      </w:hyperlink>
      <w:r>
        <w:t xml:space="preserve">, ff. 1, 2, 4; </w:t>
      </w:r>
      <w:hyperlink w:anchor="SENTENCIA_2008_37" w:history="1">
        <w:r w:rsidRPr="00C12216">
          <w:rPr>
            <w:rStyle w:val="TextoNormalCaracter"/>
          </w:rPr>
          <w:t>37/2008</w:t>
        </w:r>
      </w:hyperlink>
      <w:r>
        <w:t xml:space="preserve">, ff. 1, 3; </w:t>
      </w:r>
      <w:hyperlink w:anchor="SENTENCIA_2008_57" w:history="1">
        <w:r w:rsidRPr="00C12216">
          <w:rPr>
            <w:rStyle w:val="TextoNormalCaracter"/>
          </w:rPr>
          <w:t>57/2008</w:t>
        </w:r>
      </w:hyperlink>
      <w:r>
        <w:t>, f. 4.</w:t>
      </w:r>
    </w:p>
    <w:p w:rsidR="00C12216" w:rsidRDefault="00C12216" w:rsidP="00C12216">
      <w:pPr>
        <w:pStyle w:val="SangriaFrancesaArticulo"/>
      </w:pPr>
      <w:r w:rsidRPr="00C12216">
        <w:rPr>
          <w:rStyle w:val="TextoNormalNegritaCaracter"/>
        </w:rPr>
        <w:t>Artículo 18.</w:t>
      </w:r>
      <w:r w:rsidRPr="00C12216">
        <w:rPr>
          <w:rStyle w:val="TextoNormalCaracter"/>
        </w:rPr>
        <w:t>-</w:t>
      </w:r>
      <w:r>
        <w:t xml:space="preserve"> Auto </w:t>
      </w:r>
      <w:hyperlink w:anchor="AUTO_2008_115" w:history="1">
        <w:r w:rsidRPr="00C12216">
          <w:rPr>
            <w:rStyle w:val="TextoNormalCaracter"/>
          </w:rPr>
          <w:t>115/2008</w:t>
        </w:r>
      </w:hyperlink>
      <w:r>
        <w:t>.</w:t>
      </w:r>
    </w:p>
    <w:p w:rsidR="00C12216" w:rsidRDefault="00C12216" w:rsidP="00C12216">
      <w:pPr>
        <w:pStyle w:val="SangriaFrancesaArticulo"/>
      </w:pPr>
      <w:r w:rsidRPr="00C12216">
        <w:rPr>
          <w:rStyle w:val="TextoNormalNegritaCaracter"/>
        </w:rPr>
        <w:t>Artículo 18.1.</w:t>
      </w:r>
      <w:r w:rsidRPr="00C12216">
        <w:rPr>
          <w:rStyle w:val="TextoNormalCaracter"/>
        </w:rPr>
        <w:t>-</w:t>
      </w:r>
      <w:r>
        <w:t xml:space="preserve"> Sentencias </w:t>
      </w:r>
      <w:hyperlink w:anchor="SENTENCIA_2008_51" w:history="1">
        <w:r w:rsidRPr="00C12216">
          <w:rPr>
            <w:rStyle w:val="TextoNormalCaracter"/>
          </w:rPr>
          <w:t>51/2008</w:t>
        </w:r>
      </w:hyperlink>
      <w:r>
        <w:t xml:space="preserve">, ff. 1, 3, 5, 6; </w:t>
      </w:r>
      <w:hyperlink w:anchor="SENTENCIA_2008_56" w:history="1">
        <w:r w:rsidRPr="00C12216">
          <w:rPr>
            <w:rStyle w:val="TextoNormalCaracter"/>
          </w:rPr>
          <w:t>56/2008</w:t>
        </w:r>
      </w:hyperlink>
      <w:r>
        <w:t>, f. 9.</w:t>
      </w:r>
    </w:p>
    <w:p w:rsidR="00C12216" w:rsidRDefault="00C12216" w:rsidP="00C12216">
      <w:pPr>
        <w:pStyle w:val="SangriaIzquierdaArticulo"/>
      </w:pPr>
      <w:r>
        <w:t xml:space="preserve">Autos </w:t>
      </w:r>
      <w:hyperlink w:anchor="AUTO_2008_29" w:history="1">
        <w:r w:rsidRPr="00C12216">
          <w:rPr>
            <w:rStyle w:val="TextoNormalCaracter"/>
          </w:rPr>
          <w:t>29/2008</w:t>
        </w:r>
      </w:hyperlink>
      <w:r>
        <w:t xml:space="preserve">; </w:t>
      </w:r>
      <w:hyperlink w:anchor="AUTO_2008_84" w:history="1">
        <w:r w:rsidRPr="00C12216">
          <w:rPr>
            <w:rStyle w:val="TextoNormalCaracter"/>
          </w:rPr>
          <w:t>84/2008</w:t>
        </w:r>
      </w:hyperlink>
      <w:r>
        <w:t xml:space="preserve">; </w:t>
      </w:r>
      <w:hyperlink w:anchor="AUTO_2008_115" w:history="1">
        <w:r w:rsidRPr="00C12216">
          <w:rPr>
            <w:rStyle w:val="TextoNormalCaracter"/>
          </w:rPr>
          <w:t>115/2008</w:t>
        </w:r>
      </w:hyperlink>
      <w:r>
        <w:t>.</w:t>
      </w:r>
    </w:p>
    <w:p w:rsidR="00C12216" w:rsidRDefault="00C12216" w:rsidP="00C12216">
      <w:pPr>
        <w:pStyle w:val="SangriaFrancesaArticulo"/>
      </w:pPr>
      <w:r w:rsidRPr="00C12216">
        <w:rPr>
          <w:rStyle w:val="TextoNormalNegritaCaracter"/>
        </w:rPr>
        <w:t>Artículo 18.2.</w:t>
      </w:r>
      <w:r w:rsidRPr="00C12216">
        <w:rPr>
          <w:rStyle w:val="TextoNormalCaracter"/>
        </w:rPr>
        <w:t>-</w:t>
      </w:r>
      <w:r>
        <w:t xml:space="preserve"> Sentencia </w:t>
      </w:r>
      <w:hyperlink w:anchor="SENTENCIA_2008_25" w:history="1">
        <w:r w:rsidRPr="00C12216">
          <w:rPr>
            <w:rStyle w:val="TextoNormalCaracter"/>
          </w:rPr>
          <w:t>25/2008</w:t>
        </w:r>
      </w:hyperlink>
      <w:r>
        <w:t>, ff. 1, 2, 6, 7.</w:t>
      </w:r>
    </w:p>
    <w:p w:rsidR="00C12216" w:rsidRDefault="00C12216" w:rsidP="00C12216">
      <w:pPr>
        <w:pStyle w:val="SangriaFrancesaArticulo"/>
      </w:pPr>
      <w:r w:rsidRPr="00C12216">
        <w:rPr>
          <w:rStyle w:val="TextoNormalNegritaCaracter"/>
        </w:rPr>
        <w:t>Artículo 18.4.</w:t>
      </w:r>
      <w:r w:rsidRPr="00C12216">
        <w:rPr>
          <w:rStyle w:val="TextoNormalCaracter"/>
        </w:rPr>
        <w:t>-</w:t>
      </w:r>
      <w:r>
        <w:t xml:space="preserve"> Auto </w:t>
      </w:r>
      <w:hyperlink w:anchor="AUTO_2008_29" w:history="1">
        <w:r w:rsidRPr="00C12216">
          <w:rPr>
            <w:rStyle w:val="TextoNormalCaracter"/>
          </w:rPr>
          <w:t>29/2008</w:t>
        </w:r>
      </w:hyperlink>
      <w:r>
        <w:t>.</w:t>
      </w:r>
    </w:p>
    <w:p w:rsidR="00C12216" w:rsidRDefault="00C12216" w:rsidP="00C12216">
      <w:pPr>
        <w:pStyle w:val="SangriaFrancesaArticulo"/>
      </w:pPr>
      <w:r w:rsidRPr="00C12216">
        <w:rPr>
          <w:rStyle w:val="TextoNormalNegritaCaracter"/>
        </w:rPr>
        <w:t>Artículo 20.</w:t>
      </w:r>
      <w:r w:rsidRPr="00C12216">
        <w:rPr>
          <w:rStyle w:val="TextoNormalCaracter"/>
        </w:rPr>
        <w:t>-</w:t>
      </w:r>
      <w:r>
        <w:t xml:space="preserve"> Sentencia </w:t>
      </w:r>
      <w:hyperlink w:anchor="SENTENCIA_2008_51" w:history="1">
        <w:r w:rsidRPr="00C12216">
          <w:rPr>
            <w:rStyle w:val="TextoNormalCaracter"/>
          </w:rPr>
          <w:t>51/2008</w:t>
        </w:r>
      </w:hyperlink>
      <w:r>
        <w:t>, ff. 3, 6.</w:t>
      </w:r>
    </w:p>
    <w:p w:rsidR="00C12216" w:rsidRDefault="00C12216" w:rsidP="00C12216">
      <w:pPr>
        <w:pStyle w:val="SangriaIzquierdaArticulo"/>
      </w:pPr>
      <w:r>
        <w:t xml:space="preserve">Auto </w:t>
      </w:r>
      <w:hyperlink w:anchor="AUTO_2008_4" w:history="1">
        <w:r w:rsidRPr="00C12216">
          <w:rPr>
            <w:rStyle w:val="TextoNormalCaracter"/>
          </w:rPr>
          <w:t>4/2008</w:t>
        </w:r>
      </w:hyperlink>
      <w:r>
        <w:t>.</w:t>
      </w:r>
    </w:p>
    <w:p w:rsidR="00C12216" w:rsidRDefault="00C12216" w:rsidP="00C12216">
      <w:pPr>
        <w:pStyle w:val="SangriaFrancesaArticulo"/>
      </w:pPr>
      <w:r w:rsidRPr="00C12216">
        <w:rPr>
          <w:rStyle w:val="TextoNormalNegritaCaracter"/>
        </w:rPr>
        <w:t>Artículo 20.1 a).</w:t>
      </w:r>
      <w:r w:rsidRPr="00C12216">
        <w:rPr>
          <w:rStyle w:val="TextoNormalCaracter"/>
        </w:rPr>
        <w:t>-</w:t>
      </w:r>
      <w:r>
        <w:t xml:space="preserve"> Sentencias </w:t>
      </w:r>
      <w:hyperlink w:anchor="SENTENCIA_2008_12" w:history="1">
        <w:r w:rsidRPr="00C12216">
          <w:rPr>
            <w:rStyle w:val="TextoNormalCaracter"/>
          </w:rPr>
          <w:t>12/2008</w:t>
        </w:r>
      </w:hyperlink>
      <w:r>
        <w:t xml:space="preserve">, ff. 1, 3, 5, 6; </w:t>
      </w:r>
      <w:hyperlink w:anchor="SENTENCIA_2008_51" w:history="1">
        <w:r w:rsidRPr="00C12216">
          <w:rPr>
            <w:rStyle w:val="TextoNormalCaracter"/>
          </w:rPr>
          <w:t>51/2008</w:t>
        </w:r>
      </w:hyperlink>
      <w:r>
        <w:t xml:space="preserve">, f. 5; </w:t>
      </w:r>
      <w:hyperlink w:anchor="SENTENCIA_2008_56" w:history="1">
        <w:r w:rsidRPr="00C12216">
          <w:rPr>
            <w:rStyle w:val="TextoNormalCaracter"/>
          </w:rPr>
          <w:t>56/2008</w:t>
        </w:r>
      </w:hyperlink>
      <w:r>
        <w:t>, ff. 1, 3, 5, 6, 8, 10.</w:t>
      </w:r>
    </w:p>
    <w:p w:rsidR="00C12216" w:rsidRDefault="00C12216" w:rsidP="00C12216">
      <w:pPr>
        <w:pStyle w:val="SangriaIzquierdaArticulo"/>
      </w:pPr>
      <w:r>
        <w:t xml:space="preserve">Auto </w:t>
      </w:r>
      <w:hyperlink w:anchor="AUTO_2008_4" w:history="1">
        <w:r w:rsidRPr="00C12216">
          <w:rPr>
            <w:rStyle w:val="TextoNormalCaracter"/>
          </w:rPr>
          <w:t>4/2008</w:t>
        </w:r>
      </w:hyperlink>
      <w:r>
        <w:t>.</w:t>
      </w:r>
    </w:p>
    <w:p w:rsidR="00C12216" w:rsidRDefault="00C12216" w:rsidP="00C12216">
      <w:pPr>
        <w:pStyle w:val="SangriaFrancesaArticulo"/>
      </w:pPr>
      <w:r w:rsidRPr="00C12216">
        <w:rPr>
          <w:rStyle w:val="TextoNormalNegritaCaracter"/>
        </w:rPr>
        <w:t>Artículo 20.1 b).</w:t>
      </w:r>
      <w:r w:rsidRPr="00C12216">
        <w:rPr>
          <w:rStyle w:val="TextoNormalCaracter"/>
        </w:rPr>
        <w:t>-</w:t>
      </w:r>
      <w:r>
        <w:t xml:space="preserve"> Sentencia </w:t>
      </w:r>
      <w:hyperlink w:anchor="SENTENCIA_2008_51" w:history="1">
        <w:r w:rsidRPr="00C12216">
          <w:rPr>
            <w:rStyle w:val="TextoNormalCaracter"/>
          </w:rPr>
          <w:t>51/2008</w:t>
        </w:r>
      </w:hyperlink>
      <w:r>
        <w:t>, ff. 5, 7.</w:t>
      </w:r>
    </w:p>
    <w:p w:rsidR="00C12216" w:rsidRDefault="00C12216" w:rsidP="00C12216">
      <w:pPr>
        <w:pStyle w:val="SangriaFrancesaArticulo"/>
      </w:pPr>
      <w:r w:rsidRPr="00C12216">
        <w:rPr>
          <w:rStyle w:val="TextoNormalNegritaCaracter"/>
        </w:rPr>
        <w:t>Artículo 20.1 d).</w:t>
      </w:r>
      <w:r w:rsidRPr="00C12216">
        <w:rPr>
          <w:rStyle w:val="TextoNormalCaracter"/>
        </w:rPr>
        <w:t>-</w:t>
      </w:r>
      <w:r>
        <w:t xml:space="preserve"> Sentencia </w:t>
      </w:r>
      <w:hyperlink w:anchor="SENTENCIA_2008_56" w:history="1">
        <w:r w:rsidRPr="00C12216">
          <w:rPr>
            <w:rStyle w:val="TextoNormalCaracter"/>
          </w:rPr>
          <w:t>56/2008</w:t>
        </w:r>
      </w:hyperlink>
      <w:r>
        <w:t>, f. 3.</w:t>
      </w:r>
    </w:p>
    <w:p w:rsidR="00C12216" w:rsidRDefault="00C12216" w:rsidP="00C12216">
      <w:pPr>
        <w:pStyle w:val="SangriaIzquierdaArticulo"/>
      </w:pPr>
      <w:r>
        <w:t xml:space="preserve">Auto </w:t>
      </w:r>
      <w:hyperlink w:anchor="AUTO_2008_4" w:history="1">
        <w:r w:rsidRPr="00C12216">
          <w:rPr>
            <w:rStyle w:val="TextoNormalCaracter"/>
          </w:rPr>
          <w:t>4/2008</w:t>
        </w:r>
      </w:hyperlink>
      <w:r>
        <w:t>.</w:t>
      </w:r>
    </w:p>
    <w:p w:rsidR="00C12216" w:rsidRDefault="00C12216" w:rsidP="00C12216">
      <w:pPr>
        <w:pStyle w:val="SangriaFrancesaArticulo"/>
      </w:pPr>
      <w:r w:rsidRPr="00C12216">
        <w:rPr>
          <w:rStyle w:val="TextoNormalNegritaCaracter"/>
        </w:rPr>
        <w:t>Artículo 20.2.</w:t>
      </w:r>
      <w:r w:rsidRPr="00C12216">
        <w:rPr>
          <w:rStyle w:val="TextoNormalCaracter"/>
        </w:rPr>
        <w:t>-</w:t>
      </w:r>
      <w:r>
        <w:t xml:space="preserve"> Sentencia </w:t>
      </w:r>
      <w:hyperlink w:anchor="SENTENCIA_2008_51" w:history="1">
        <w:r w:rsidRPr="00C12216">
          <w:rPr>
            <w:rStyle w:val="TextoNormalCaracter"/>
          </w:rPr>
          <w:t>51/2008</w:t>
        </w:r>
      </w:hyperlink>
      <w:r>
        <w:t>, f. 5.</w:t>
      </w:r>
    </w:p>
    <w:p w:rsidR="00C12216" w:rsidRDefault="00C12216" w:rsidP="00C12216">
      <w:pPr>
        <w:pStyle w:val="SangriaFrancesaArticulo"/>
      </w:pPr>
      <w:r w:rsidRPr="00C12216">
        <w:rPr>
          <w:rStyle w:val="TextoNormalNegritaCaracter"/>
        </w:rPr>
        <w:t>Artículo 20.4.</w:t>
      </w:r>
      <w:r w:rsidRPr="00C12216">
        <w:rPr>
          <w:rStyle w:val="TextoNormalCaracter"/>
        </w:rPr>
        <w:t>-</w:t>
      </w:r>
      <w:r>
        <w:t xml:space="preserve"> Sentencia </w:t>
      </w:r>
      <w:hyperlink w:anchor="SENTENCIA_2008_51" w:history="1">
        <w:r w:rsidRPr="00C12216">
          <w:rPr>
            <w:rStyle w:val="TextoNormalCaracter"/>
          </w:rPr>
          <w:t>51/2008</w:t>
        </w:r>
      </w:hyperlink>
      <w:r>
        <w:t>, f. 5.</w:t>
      </w:r>
    </w:p>
    <w:p w:rsidR="00C12216" w:rsidRDefault="00C12216" w:rsidP="00C12216">
      <w:pPr>
        <w:pStyle w:val="SangriaFrancesaArticulo"/>
      </w:pPr>
      <w:r w:rsidRPr="00C12216">
        <w:rPr>
          <w:rStyle w:val="TextoNormalNegritaCaracter"/>
        </w:rPr>
        <w:t>Artículo 22.</w:t>
      </w:r>
      <w:r w:rsidRPr="00C12216">
        <w:rPr>
          <w:rStyle w:val="TextoNormalCaracter"/>
        </w:rPr>
        <w:t>-</w:t>
      </w:r>
      <w:r>
        <w:t xml:space="preserve"> Sentencia </w:t>
      </w:r>
      <w:hyperlink w:anchor="SENTENCIA_2008_12" w:history="1">
        <w:r w:rsidRPr="00C12216">
          <w:rPr>
            <w:rStyle w:val="TextoNormalCaracter"/>
          </w:rPr>
          <w:t>12/2008</w:t>
        </w:r>
      </w:hyperlink>
      <w:r>
        <w:t>, ff. 1, 3, 5, VP.</w:t>
      </w:r>
    </w:p>
    <w:p w:rsidR="00C12216" w:rsidRDefault="00C12216" w:rsidP="00C12216">
      <w:pPr>
        <w:pStyle w:val="SangriaFrancesaArticulo"/>
      </w:pPr>
      <w:r w:rsidRPr="00C12216">
        <w:rPr>
          <w:rStyle w:val="TextoNormalNegritaCaracter"/>
        </w:rPr>
        <w:t>Artículo 22.1.</w:t>
      </w:r>
      <w:r w:rsidRPr="00C12216">
        <w:rPr>
          <w:rStyle w:val="TextoNormalCaracter"/>
        </w:rPr>
        <w:t>-</w:t>
      </w:r>
      <w:r>
        <w:t xml:space="preserve"> Sentencia </w:t>
      </w:r>
      <w:hyperlink w:anchor="SENTENCIA_2008_46" w:history="1">
        <w:r w:rsidRPr="00C12216">
          <w:rPr>
            <w:rStyle w:val="TextoNormalCaracter"/>
          </w:rPr>
          <w:t>46/2008</w:t>
        </w:r>
      </w:hyperlink>
      <w:r>
        <w:t>, f. 2.</w:t>
      </w:r>
    </w:p>
    <w:p w:rsidR="00C12216" w:rsidRDefault="00C12216" w:rsidP="00C12216">
      <w:pPr>
        <w:pStyle w:val="SangriaFrancesaArticulo"/>
      </w:pPr>
      <w:r w:rsidRPr="00C12216">
        <w:rPr>
          <w:rStyle w:val="TextoNormalNegritaCaracter"/>
        </w:rPr>
        <w:t>Artículo 23.</w:t>
      </w:r>
      <w:r w:rsidRPr="00C12216">
        <w:rPr>
          <w:rStyle w:val="TextoNormalCaracter"/>
        </w:rPr>
        <w:t>-</w:t>
      </w:r>
      <w:r>
        <w:t xml:space="preserve"> Sentencias </w:t>
      </w:r>
      <w:hyperlink w:anchor="SENTENCIA_2008_12" w:history="1">
        <w:r w:rsidRPr="00C12216">
          <w:rPr>
            <w:rStyle w:val="TextoNormalCaracter"/>
          </w:rPr>
          <w:t>12/2008</w:t>
        </w:r>
      </w:hyperlink>
      <w:r>
        <w:t xml:space="preserve">, ff. 1, 3, 5, 9, 10; </w:t>
      </w:r>
      <w:hyperlink w:anchor="SENTENCIA_2008_20" w:history="1">
        <w:r w:rsidRPr="00C12216">
          <w:rPr>
            <w:rStyle w:val="TextoNormalCaracter"/>
          </w:rPr>
          <w:t>20/2008</w:t>
        </w:r>
      </w:hyperlink>
      <w:r>
        <w:t>, ff. 1, 2.</w:t>
      </w:r>
    </w:p>
    <w:p w:rsidR="00C12216" w:rsidRDefault="00C12216" w:rsidP="00C12216">
      <w:pPr>
        <w:pStyle w:val="SangriaFrancesaArticulo"/>
      </w:pPr>
      <w:r w:rsidRPr="00C12216">
        <w:rPr>
          <w:rStyle w:val="TextoNormalNegritaCaracter"/>
        </w:rPr>
        <w:t>Artículo 23.1.</w:t>
      </w:r>
      <w:r w:rsidRPr="00C12216">
        <w:rPr>
          <w:rStyle w:val="TextoNormalCaracter"/>
        </w:rPr>
        <w:t>-</w:t>
      </w:r>
      <w:r>
        <w:t xml:space="preserve"> Sentencias </w:t>
      </w:r>
      <w:hyperlink w:anchor="SENTENCIA_2008_12" w:history="1">
        <w:r w:rsidRPr="00C12216">
          <w:rPr>
            <w:rStyle w:val="TextoNormalCaracter"/>
          </w:rPr>
          <w:t>12/2008</w:t>
        </w:r>
      </w:hyperlink>
      <w:r>
        <w:t xml:space="preserve">, ff. 7, 9, 10; </w:t>
      </w:r>
      <w:hyperlink w:anchor="SENTENCIA_2008_20" w:history="1">
        <w:r w:rsidRPr="00C12216">
          <w:rPr>
            <w:rStyle w:val="TextoNormalCaracter"/>
          </w:rPr>
          <w:t>20/2008</w:t>
        </w:r>
      </w:hyperlink>
      <w:r>
        <w:t xml:space="preserve">, f. 2; </w:t>
      </w:r>
      <w:hyperlink w:anchor="SENTENCIA_2008_39" w:history="1">
        <w:r w:rsidRPr="00C12216">
          <w:rPr>
            <w:rStyle w:val="TextoNormalCaracter"/>
          </w:rPr>
          <w:t>39/2008</w:t>
        </w:r>
      </w:hyperlink>
      <w:r>
        <w:t xml:space="preserve">, f. 5; </w:t>
      </w:r>
      <w:hyperlink w:anchor="SENTENCIA_2008_49" w:history="1">
        <w:r w:rsidRPr="00C12216">
          <w:rPr>
            <w:rStyle w:val="TextoNormalCaracter"/>
          </w:rPr>
          <w:t>49/2008</w:t>
        </w:r>
      </w:hyperlink>
      <w:r>
        <w:t xml:space="preserve">, ff. 1, 6, 17; </w:t>
      </w:r>
      <w:hyperlink w:anchor="SENTENCIA_2008_50" w:history="1">
        <w:r w:rsidRPr="00C12216">
          <w:rPr>
            <w:rStyle w:val="TextoNormalCaracter"/>
          </w:rPr>
          <w:t>50/2008</w:t>
        </w:r>
      </w:hyperlink>
      <w:r>
        <w:t>, f. 2.</w:t>
      </w:r>
    </w:p>
    <w:p w:rsidR="00C12216" w:rsidRDefault="00C12216" w:rsidP="00C12216">
      <w:pPr>
        <w:pStyle w:val="SangriaFrancesaArticulo"/>
      </w:pPr>
      <w:r w:rsidRPr="00C12216">
        <w:rPr>
          <w:rStyle w:val="TextoNormalNegritaCaracter"/>
        </w:rPr>
        <w:lastRenderedPageBreak/>
        <w:t>Artículo 23.2.</w:t>
      </w:r>
      <w:r w:rsidRPr="00C12216">
        <w:rPr>
          <w:rStyle w:val="TextoNormalCaracter"/>
        </w:rPr>
        <w:t>-</w:t>
      </w:r>
      <w:r>
        <w:t xml:space="preserve"> Sentencias </w:t>
      </w:r>
      <w:hyperlink w:anchor="SENTENCIA_2008_12" w:history="1">
        <w:r w:rsidRPr="00C12216">
          <w:rPr>
            <w:rStyle w:val="TextoNormalCaracter"/>
          </w:rPr>
          <w:t>12/2008</w:t>
        </w:r>
      </w:hyperlink>
      <w:r>
        <w:t xml:space="preserve">, f. 9, VP; </w:t>
      </w:r>
      <w:hyperlink w:anchor="SENTENCIA_2008_30" w:history="1">
        <w:r w:rsidRPr="00C12216">
          <w:rPr>
            <w:rStyle w:val="TextoNormalCaracter"/>
          </w:rPr>
          <w:t>30/2008</w:t>
        </w:r>
      </w:hyperlink>
      <w:r>
        <w:t xml:space="preserve">, ff. 2 a 8; </w:t>
      </w:r>
      <w:hyperlink w:anchor="SENTENCIA_2008_39" w:history="1">
        <w:r w:rsidRPr="00C12216">
          <w:rPr>
            <w:rStyle w:val="TextoNormalCaracter"/>
          </w:rPr>
          <w:t>39/2008</w:t>
        </w:r>
      </w:hyperlink>
      <w:r>
        <w:t xml:space="preserve">, ff. 2, 4 a 7; </w:t>
      </w:r>
      <w:hyperlink w:anchor="SENTENCIA_2008_49" w:history="1">
        <w:r w:rsidRPr="00C12216">
          <w:rPr>
            <w:rStyle w:val="TextoNormalCaracter"/>
          </w:rPr>
          <w:t>49/2008</w:t>
        </w:r>
      </w:hyperlink>
      <w:r>
        <w:t xml:space="preserve">, ff. 1, 6, 17; </w:t>
      </w:r>
      <w:hyperlink w:anchor="SENTENCIA_2008_50" w:history="1">
        <w:r w:rsidRPr="00C12216">
          <w:rPr>
            <w:rStyle w:val="TextoNormalCaracter"/>
          </w:rPr>
          <w:t>50/2008</w:t>
        </w:r>
      </w:hyperlink>
      <w:r>
        <w:t>, ff. 2, 3.</w:t>
      </w:r>
    </w:p>
    <w:p w:rsidR="00C12216" w:rsidRDefault="00C12216" w:rsidP="00C12216">
      <w:pPr>
        <w:pStyle w:val="SangriaFrancesaArticulo"/>
      </w:pPr>
      <w:r w:rsidRPr="00C12216">
        <w:rPr>
          <w:rStyle w:val="TextoNormalNegritaCaracter"/>
        </w:rPr>
        <w:t>Artículo 24.</w:t>
      </w:r>
      <w:r w:rsidRPr="00C12216">
        <w:rPr>
          <w:rStyle w:val="TextoNormalCaracter"/>
        </w:rPr>
        <w:t>-</w:t>
      </w:r>
      <w:r>
        <w:t xml:space="preserve"> Sentencias </w:t>
      </w:r>
      <w:hyperlink w:anchor="SENTENCIA_2008_2" w:history="1">
        <w:r w:rsidRPr="00C12216">
          <w:rPr>
            <w:rStyle w:val="TextoNormalCaracter"/>
          </w:rPr>
          <w:t>2/2008</w:t>
        </w:r>
      </w:hyperlink>
      <w:r>
        <w:t xml:space="preserve">, f. 2; </w:t>
      </w:r>
      <w:hyperlink w:anchor="SENTENCIA_2008_13" w:history="1">
        <w:r w:rsidRPr="00C12216">
          <w:rPr>
            <w:rStyle w:val="TextoNormalCaracter"/>
          </w:rPr>
          <w:t>13/2008</w:t>
        </w:r>
      </w:hyperlink>
      <w:r>
        <w:t xml:space="preserve">, f. 4; </w:t>
      </w:r>
      <w:hyperlink w:anchor="SENTENCIA_2008_19" w:history="1">
        <w:r w:rsidRPr="00C12216">
          <w:rPr>
            <w:rStyle w:val="TextoNormalCaracter"/>
          </w:rPr>
          <w:t>19/2008</w:t>
        </w:r>
      </w:hyperlink>
      <w:r>
        <w:t xml:space="preserve">, f. 3; </w:t>
      </w:r>
      <w:hyperlink w:anchor="SENTENCIA_2008_21" w:history="1">
        <w:r w:rsidRPr="00C12216">
          <w:rPr>
            <w:rStyle w:val="TextoNormalCaracter"/>
          </w:rPr>
          <w:t>21/2008</w:t>
        </w:r>
      </w:hyperlink>
      <w:r>
        <w:t xml:space="preserve">, f. 3; </w:t>
      </w:r>
      <w:hyperlink w:anchor="SENTENCIA_2008_23" w:history="1">
        <w:r w:rsidRPr="00C12216">
          <w:rPr>
            <w:rStyle w:val="TextoNormalCaracter"/>
          </w:rPr>
          <w:t>23/2008</w:t>
        </w:r>
      </w:hyperlink>
      <w:r>
        <w:t xml:space="preserve">, f. 3; </w:t>
      </w:r>
      <w:hyperlink w:anchor="SENTENCIA_2008_29" w:history="1">
        <w:r w:rsidRPr="00C12216">
          <w:rPr>
            <w:rStyle w:val="TextoNormalCaracter"/>
          </w:rPr>
          <w:t>29/2008</w:t>
        </w:r>
      </w:hyperlink>
      <w:r>
        <w:t xml:space="preserve">, ff. 7, 10, 12, VP; </w:t>
      </w:r>
      <w:hyperlink w:anchor="SENTENCIA_2008_30" w:history="1">
        <w:r w:rsidRPr="00C12216">
          <w:rPr>
            <w:rStyle w:val="TextoNormalCaracter"/>
          </w:rPr>
          <w:t>30/2008</w:t>
        </w:r>
      </w:hyperlink>
      <w:r>
        <w:t xml:space="preserve">, f. 3; </w:t>
      </w:r>
      <w:hyperlink w:anchor="SENTENCIA_2008_34" w:history="1">
        <w:r w:rsidRPr="00C12216">
          <w:rPr>
            <w:rStyle w:val="TextoNormalCaracter"/>
          </w:rPr>
          <w:t>34/2008</w:t>
        </w:r>
      </w:hyperlink>
      <w:r>
        <w:t xml:space="preserve">, f. 9; </w:t>
      </w:r>
      <w:hyperlink w:anchor="SENTENCIA_2008_38" w:history="1">
        <w:r w:rsidRPr="00C12216">
          <w:rPr>
            <w:rStyle w:val="TextoNormalCaracter"/>
          </w:rPr>
          <w:t>38/2008</w:t>
        </w:r>
      </w:hyperlink>
      <w:r>
        <w:t xml:space="preserve">, f. 2; </w:t>
      </w:r>
      <w:hyperlink w:anchor="SENTENCIA_2008_41" w:history="1">
        <w:r w:rsidRPr="00C12216">
          <w:rPr>
            <w:rStyle w:val="TextoNormalCaracter"/>
          </w:rPr>
          <w:t>41/2008</w:t>
        </w:r>
      </w:hyperlink>
      <w:r>
        <w:t>, f. 2.</w:t>
      </w:r>
    </w:p>
    <w:p w:rsidR="00C12216" w:rsidRDefault="00C12216" w:rsidP="00C12216">
      <w:pPr>
        <w:pStyle w:val="SangriaIzquierdaArticulo"/>
      </w:pPr>
      <w:r>
        <w:t xml:space="preserve">Autos </w:t>
      </w:r>
      <w:hyperlink w:anchor="AUTO_2008_27" w:history="1">
        <w:r w:rsidRPr="00C12216">
          <w:rPr>
            <w:rStyle w:val="TextoNormalCaracter"/>
          </w:rPr>
          <w:t>27/2008</w:t>
        </w:r>
      </w:hyperlink>
      <w:r>
        <w:t xml:space="preserve">; </w:t>
      </w:r>
      <w:hyperlink w:anchor="AUTO_2008_61" w:history="1">
        <w:r w:rsidRPr="00C12216">
          <w:rPr>
            <w:rStyle w:val="TextoNormalCaracter"/>
          </w:rPr>
          <w:t>61/2008</w:t>
        </w:r>
      </w:hyperlink>
      <w:r>
        <w:t>.</w:t>
      </w:r>
    </w:p>
    <w:p w:rsidR="00C12216" w:rsidRDefault="00C12216" w:rsidP="00C12216">
      <w:pPr>
        <w:pStyle w:val="SangriaFrancesaArticulo"/>
      </w:pPr>
      <w:r w:rsidRPr="00C12216">
        <w:rPr>
          <w:rStyle w:val="TextoNormalNegritaCaracter"/>
        </w:rPr>
        <w:t>Artículo 24.1.</w:t>
      </w:r>
      <w:r w:rsidRPr="00C12216">
        <w:rPr>
          <w:rStyle w:val="TextoNormalCaracter"/>
        </w:rPr>
        <w:t>-</w:t>
      </w:r>
      <w:r>
        <w:t xml:space="preserve"> Sentencias </w:t>
      </w:r>
      <w:hyperlink w:anchor="SENTENCIA_2008_1" w:history="1">
        <w:r w:rsidRPr="00C12216">
          <w:rPr>
            <w:rStyle w:val="TextoNormalCaracter"/>
          </w:rPr>
          <w:t>1/2008</w:t>
        </w:r>
      </w:hyperlink>
      <w:r>
        <w:t xml:space="preserve">, ff. 1, 2; </w:t>
      </w:r>
      <w:hyperlink w:anchor="SENTENCIA_2008_2" w:history="1">
        <w:r w:rsidRPr="00C12216">
          <w:rPr>
            <w:rStyle w:val="TextoNormalCaracter"/>
          </w:rPr>
          <w:t>2/2008</w:t>
        </w:r>
      </w:hyperlink>
      <w:r>
        <w:t xml:space="preserve">, f. 1; </w:t>
      </w:r>
      <w:hyperlink w:anchor="SENTENCIA_2008_3" w:history="1">
        <w:r w:rsidRPr="00C12216">
          <w:rPr>
            <w:rStyle w:val="TextoNormalCaracter"/>
          </w:rPr>
          <w:t>3/2008</w:t>
        </w:r>
      </w:hyperlink>
      <w:r>
        <w:t xml:space="preserve">, ff. 1 a 4; </w:t>
      </w:r>
      <w:hyperlink w:anchor="SENTENCIA_2008_4" w:history="1">
        <w:r w:rsidRPr="00C12216">
          <w:rPr>
            <w:rStyle w:val="TextoNormalCaracter"/>
          </w:rPr>
          <w:t>4/2008</w:t>
        </w:r>
      </w:hyperlink>
      <w:r>
        <w:t xml:space="preserve">, ff. 1 a 3; </w:t>
      </w:r>
      <w:hyperlink w:anchor="SENTENCIA_2008_5" w:history="1">
        <w:r w:rsidRPr="00C12216">
          <w:rPr>
            <w:rStyle w:val="TextoNormalCaracter"/>
          </w:rPr>
          <w:t>5/2008</w:t>
        </w:r>
      </w:hyperlink>
      <w:r>
        <w:t xml:space="preserve">, ff. 1, 3, 5, 6; </w:t>
      </w:r>
      <w:hyperlink w:anchor="SENTENCIA_2008_6" w:history="1">
        <w:r w:rsidRPr="00C12216">
          <w:rPr>
            <w:rStyle w:val="TextoNormalCaracter"/>
          </w:rPr>
          <w:t>6/2008</w:t>
        </w:r>
      </w:hyperlink>
      <w:r>
        <w:t xml:space="preserve">, ff. 1, 2, 4, 5; </w:t>
      </w:r>
      <w:hyperlink w:anchor="SENTENCIA_2008_7" w:history="1">
        <w:r w:rsidRPr="00C12216">
          <w:rPr>
            <w:rStyle w:val="TextoNormalCaracter"/>
          </w:rPr>
          <w:t>7/2008</w:t>
        </w:r>
      </w:hyperlink>
      <w:r>
        <w:t xml:space="preserve">, passim; </w:t>
      </w:r>
      <w:hyperlink w:anchor="SENTENCIA_2008_8" w:history="1">
        <w:r w:rsidRPr="00C12216">
          <w:rPr>
            <w:rStyle w:val="TextoNormalCaracter"/>
          </w:rPr>
          <w:t>8/2008</w:t>
        </w:r>
      </w:hyperlink>
      <w:r>
        <w:t xml:space="preserve">, ff. 1, 2, 4; </w:t>
      </w:r>
      <w:hyperlink w:anchor="SENTENCIA_2008_9" w:history="1">
        <w:r w:rsidRPr="00C12216">
          <w:rPr>
            <w:rStyle w:val="TextoNormalCaracter"/>
          </w:rPr>
          <w:t>9/2008</w:t>
        </w:r>
      </w:hyperlink>
      <w:r>
        <w:t xml:space="preserve">, passim; </w:t>
      </w:r>
      <w:hyperlink w:anchor="SENTENCIA_2008_10" w:history="1">
        <w:r w:rsidRPr="00C12216">
          <w:rPr>
            <w:rStyle w:val="TextoNormalCaracter"/>
          </w:rPr>
          <w:t>10/2008</w:t>
        </w:r>
      </w:hyperlink>
      <w:r>
        <w:t xml:space="preserve">, ff. 1, 2; </w:t>
      </w:r>
      <w:hyperlink w:anchor="SENTENCIA_2008_11" w:history="1">
        <w:r w:rsidRPr="00C12216">
          <w:rPr>
            <w:rStyle w:val="TextoNormalCaracter"/>
          </w:rPr>
          <w:t>11/2008</w:t>
        </w:r>
      </w:hyperlink>
      <w:r>
        <w:t xml:space="preserve">, ff. 1, 3 a 6, 9; </w:t>
      </w:r>
      <w:hyperlink w:anchor="SENTENCIA_2008_13" w:history="1">
        <w:r w:rsidRPr="00C12216">
          <w:rPr>
            <w:rStyle w:val="TextoNormalCaracter"/>
          </w:rPr>
          <w:t>13/2008</w:t>
        </w:r>
      </w:hyperlink>
      <w:r>
        <w:t xml:space="preserve">, f. 4; </w:t>
      </w:r>
      <w:hyperlink w:anchor="SENTENCIA_2008_14" w:history="1">
        <w:r w:rsidRPr="00C12216">
          <w:rPr>
            <w:rStyle w:val="TextoNormalCaracter"/>
          </w:rPr>
          <w:t>14/2008</w:t>
        </w:r>
      </w:hyperlink>
      <w:r>
        <w:t xml:space="preserve">, ff. 1, 3, 4; </w:t>
      </w:r>
      <w:hyperlink w:anchor="SENTENCIA_2008_15" w:history="1">
        <w:r w:rsidRPr="00C12216">
          <w:rPr>
            <w:rStyle w:val="TextoNormalCaracter"/>
          </w:rPr>
          <w:t>15/2008</w:t>
        </w:r>
      </w:hyperlink>
      <w:r>
        <w:t xml:space="preserve">, ff. 1, 3, 4, 6; </w:t>
      </w:r>
      <w:hyperlink w:anchor="SENTENCIA_2008_16" w:history="1">
        <w:r w:rsidRPr="00C12216">
          <w:rPr>
            <w:rStyle w:val="TextoNormalCaracter"/>
          </w:rPr>
          <w:t>16/2008</w:t>
        </w:r>
      </w:hyperlink>
      <w:r>
        <w:t xml:space="preserve">, ff. 1, 2; </w:t>
      </w:r>
      <w:hyperlink w:anchor="SENTENCIA_2008_17" w:history="1">
        <w:r w:rsidRPr="00C12216">
          <w:rPr>
            <w:rStyle w:val="TextoNormalCaracter"/>
          </w:rPr>
          <w:t>17/2008</w:t>
        </w:r>
      </w:hyperlink>
      <w:r>
        <w:t xml:space="preserve">, ff. 1, 3, 5; </w:t>
      </w:r>
      <w:hyperlink w:anchor="SENTENCIA_2008_18" w:history="1">
        <w:r w:rsidRPr="00C12216">
          <w:rPr>
            <w:rStyle w:val="TextoNormalCaracter"/>
          </w:rPr>
          <w:t>18/2008</w:t>
        </w:r>
      </w:hyperlink>
      <w:r>
        <w:t xml:space="preserve">, f. único; </w:t>
      </w:r>
      <w:hyperlink w:anchor="SENTENCIA_2008_19" w:history="1">
        <w:r w:rsidRPr="00C12216">
          <w:rPr>
            <w:rStyle w:val="TextoNormalCaracter"/>
          </w:rPr>
          <w:t>19/2008</w:t>
        </w:r>
      </w:hyperlink>
      <w:r>
        <w:t xml:space="preserve">, ff. 1, 3, 4; </w:t>
      </w:r>
      <w:hyperlink w:anchor="SENTENCIA_2008_21" w:history="1">
        <w:r w:rsidRPr="00C12216">
          <w:rPr>
            <w:rStyle w:val="TextoNormalCaracter"/>
          </w:rPr>
          <w:t>21/2008</w:t>
        </w:r>
      </w:hyperlink>
      <w:r>
        <w:t xml:space="preserve">, ff. 1, 3; </w:t>
      </w:r>
      <w:hyperlink w:anchor="SENTENCIA_2008_22" w:history="1">
        <w:r w:rsidRPr="00C12216">
          <w:rPr>
            <w:rStyle w:val="TextoNormalCaracter"/>
          </w:rPr>
          <w:t>22/2008</w:t>
        </w:r>
      </w:hyperlink>
      <w:r>
        <w:t xml:space="preserve">, ff. 1, 2, 6, 7; </w:t>
      </w:r>
      <w:hyperlink w:anchor="SENTENCIA_2008_23" w:history="1">
        <w:r w:rsidRPr="00C12216">
          <w:rPr>
            <w:rStyle w:val="TextoNormalCaracter"/>
          </w:rPr>
          <w:t>23/2008</w:t>
        </w:r>
      </w:hyperlink>
      <w:r>
        <w:t xml:space="preserve">, ff. 1, 3, 5; </w:t>
      </w:r>
      <w:hyperlink w:anchor="SENTENCIA_2008_24" w:history="1">
        <w:r w:rsidRPr="00C12216">
          <w:rPr>
            <w:rStyle w:val="TextoNormalCaracter"/>
          </w:rPr>
          <w:t>24/2008</w:t>
        </w:r>
      </w:hyperlink>
      <w:r>
        <w:t xml:space="preserve">, ff. 1, 3; </w:t>
      </w:r>
      <w:hyperlink w:anchor="SENTENCIA_2008_25" w:history="1">
        <w:r w:rsidRPr="00C12216">
          <w:rPr>
            <w:rStyle w:val="TextoNormalCaracter"/>
          </w:rPr>
          <w:t>25/2008</w:t>
        </w:r>
      </w:hyperlink>
      <w:r>
        <w:t xml:space="preserve">, ff. 1 a 4, 6, 7; </w:t>
      </w:r>
      <w:hyperlink w:anchor="SENTENCIA_2008_26" w:history="1">
        <w:r w:rsidRPr="00C12216">
          <w:rPr>
            <w:rStyle w:val="TextoNormalCaracter"/>
          </w:rPr>
          <w:t>26/2008</w:t>
        </w:r>
      </w:hyperlink>
      <w:r>
        <w:t xml:space="preserve">, ff. 1, 2, 4, 5, 7, 9, 11; </w:t>
      </w:r>
      <w:hyperlink w:anchor="SENTENCIA_2008_27" w:history="1">
        <w:r w:rsidRPr="00C12216">
          <w:rPr>
            <w:rStyle w:val="TextoNormalCaracter"/>
          </w:rPr>
          <w:t>27/2008</w:t>
        </w:r>
      </w:hyperlink>
      <w:r>
        <w:t xml:space="preserve">, ff. 1, 2; </w:t>
      </w:r>
      <w:hyperlink w:anchor="SENTENCIA_2008_29" w:history="1">
        <w:r w:rsidRPr="00C12216">
          <w:rPr>
            <w:rStyle w:val="TextoNormalCaracter"/>
          </w:rPr>
          <w:t>29/2008</w:t>
        </w:r>
      </w:hyperlink>
      <w:r>
        <w:t xml:space="preserve">, ff. 1, 2, 7, 10, 13, VP; </w:t>
      </w:r>
      <w:hyperlink w:anchor="SENTENCIA_2008_30" w:history="1">
        <w:r w:rsidRPr="00C12216">
          <w:rPr>
            <w:rStyle w:val="TextoNormalCaracter"/>
          </w:rPr>
          <w:t>30/2008</w:t>
        </w:r>
      </w:hyperlink>
      <w:r>
        <w:t xml:space="preserve">, ff. 2, 7, 9; </w:t>
      </w:r>
      <w:hyperlink w:anchor="SENTENCIA_2008_31" w:history="1">
        <w:r w:rsidRPr="00C12216">
          <w:rPr>
            <w:rStyle w:val="TextoNormalCaracter"/>
          </w:rPr>
          <w:t>31/2008</w:t>
        </w:r>
      </w:hyperlink>
      <w:r>
        <w:t xml:space="preserve">, f. 1; </w:t>
      </w:r>
      <w:hyperlink w:anchor="SENTENCIA_2008_33" w:history="1">
        <w:r w:rsidRPr="00C12216">
          <w:rPr>
            <w:rStyle w:val="TextoNormalCaracter"/>
          </w:rPr>
          <w:t>33/2008</w:t>
        </w:r>
      </w:hyperlink>
      <w:r>
        <w:t xml:space="preserve">, ff. 1, 3; </w:t>
      </w:r>
      <w:hyperlink w:anchor="SENTENCIA_2008_34" w:history="1">
        <w:r w:rsidRPr="00C12216">
          <w:rPr>
            <w:rStyle w:val="TextoNormalCaracter"/>
          </w:rPr>
          <w:t>34/2008</w:t>
        </w:r>
      </w:hyperlink>
      <w:r>
        <w:t xml:space="preserve">, ff. 1 a 4, 6 a 8; </w:t>
      </w:r>
      <w:hyperlink w:anchor="SENTENCIA_2008_35" w:history="1">
        <w:r w:rsidRPr="00C12216">
          <w:rPr>
            <w:rStyle w:val="TextoNormalCaracter"/>
          </w:rPr>
          <w:t>35/2008</w:t>
        </w:r>
      </w:hyperlink>
      <w:r>
        <w:t xml:space="preserve">, f. 1; </w:t>
      </w:r>
      <w:hyperlink w:anchor="SENTENCIA_2008_40" w:history="1">
        <w:r w:rsidRPr="00C12216">
          <w:rPr>
            <w:rStyle w:val="TextoNormalCaracter"/>
          </w:rPr>
          <w:t>40/2008</w:t>
        </w:r>
      </w:hyperlink>
      <w:r>
        <w:t xml:space="preserve">, ff. 1, 3 a 6; </w:t>
      </w:r>
      <w:hyperlink w:anchor="SENTENCIA_2008_41" w:history="1">
        <w:r w:rsidRPr="00C12216">
          <w:rPr>
            <w:rStyle w:val="TextoNormalCaracter"/>
          </w:rPr>
          <w:t>41/2008</w:t>
        </w:r>
      </w:hyperlink>
      <w:r>
        <w:t xml:space="preserve">, ff. 1, 2; </w:t>
      </w:r>
      <w:hyperlink w:anchor="SENTENCIA_2008_42" w:history="1">
        <w:r w:rsidRPr="00C12216">
          <w:rPr>
            <w:rStyle w:val="TextoNormalCaracter"/>
          </w:rPr>
          <w:t>42/2008</w:t>
        </w:r>
      </w:hyperlink>
      <w:r>
        <w:t xml:space="preserve">, ff. 1, 2; </w:t>
      </w:r>
      <w:hyperlink w:anchor="SENTENCIA_2008_43" w:history="1">
        <w:r w:rsidRPr="00C12216">
          <w:rPr>
            <w:rStyle w:val="TextoNormalCaracter"/>
          </w:rPr>
          <w:t>43/2008</w:t>
        </w:r>
      </w:hyperlink>
      <w:r>
        <w:t xml:space="preserve">, ff. 1, 4; </w:t>
      </w:r>
      <w:hyperlink w:anchor="SENTENCIA_2008_44" w:history="1">
        <w:r w:rsidRPr="00C12216">
          <w:rPr>
            <w:rStyle w:val="TextoNormalCaracter"/>
          </w:rPr>
          <w:t>44/2008</w:t>
        </w:r>
      </w:hyperlink>
      <w:r>
        <w:t xml:space="preserve">, ff. 1, 2; </w:t>
      </w:r>
      <w:hyperlink w:anchor="SENTENCIA_2008_45" w:history="1">
        <w:r w:rsidRPr="00C12216">
          <w:rPr>
            <w:rStyle w:val="TextoNormalCaracter"/>
          </w:rPr>
          <w:t>45/2008</w:t>
        </w:r>
      </w:hyperlink>
      <w:r>
        <w:t xml:space="preserve">, ff. 1 a 3; </w:t>
      </w:r>
      <w:hyperlink w:anchor="SENTENCIA_2008_46" w:history="1">
        <w:r w:rsidRPr="00C12216">
          <w:rPr>
            <w:rStyle w:val="TextoNormalCaracter"/>
          </w:rPr>
          <w:t>46/2008</w:t>
        </w:r>
      </w:hyperlink>
      <w:r>
        <w:t xml:space="preserve">, ff. 2, 3; </w:t>
      </w:r>
      <w:hyperlink w:anchor="SENTENCIA_2008_48" w:history="1">
        <w:r w:rsidRPr="00C12216">
          <w:rPr>
            <w:rStyle w:val="TextoNormalCaracter"/>
          </w:rPr>
          <w:t>48/2008</w:t>
        </w:r>
      </w:hyperlink>
      <w:r>
        <w:t xml:space="preserve">, ff. 1, 2; </w:t>
      </w:r>
      <w:hyperlink w:anchor="SENTENCIA_2008_50" w:history="1">
        <w:r w:rsidRPr="00C12216">
          <w:rPr>
            <w:rStyle w:val="TextoNormalCaracter"/>
          </w:rPr>
          <w:t>50/2008</w:t>
        </w:r>
      </w:hyperlink>
      <w:r>
        <w:t xml:space="preserve">, ff. 2, 3; </w:t>
      </w:r>
      <w:hyperlink w:anchor="SENTENCIA_2008_52" w:history="1">
        <w:r w:rsidRPr="00C12216">
          <w:rPr>
            <w:rStyle w:val="TextoNormalCaracter"/>
          </w:rPr>
          <w:t>52/2008</w:t>
        </w:r>
      </w:hyperlink>
      <w:r>
        <w:t xml:space="preserve">, ff. 1 a 3, VP; </w:t>
      </w:r>
      <w:hyperlink w:anchor="SENTENCIA_2008_54" w:history="1">
        <w:r w:rsidRPr="00C12216">
          <w:rPr>
            <w:rStyle w:val="TextoNormalCaracter"/>
          </w:rPr>
          <w:t>54/2008</w:t>
        </w:r>
      </w:hyperlink>
      <w:r>
        <w:t xml:space="preserve">, f. 1; </w:t>
      </w:r>
      <w:hyperlink w:anchor="SENTENCIA_2008_55" w:history="1">
        <w:r w:rsidRPr="00C12216">
          <w:rPr>
            <w:rStyle w:val="TextoNormalCaracter"/>
          </w:rPr>
          <w:t>55/2008</w:t>
        </w:r>
      </w:hyperlink>
      <w:r>
        <w:t xml:space="preserve">, ff. 2, 6; </w:t>
      </w:r>
      <w:hyperlink w:anchor="SENTENCIA_2008_56" w:history="1">
        <w:r w:rsidRPr="00C12216">
          <w:rPr>
            <w:rStyle w:val="TextoNormalCaracter"/>
          </w:rPr>
          <w:t>56/2008</w:t>
        </w:r>
      </w:hyperlink>
      <w:r>
        <w:t xml:space="preserve">, f. 2; </w:t>
      </w:r>
      <w:hyperlink w:anchor="SENTENCIA_2008_58" w:history="1">
        <w:r w:rsidRPr="00C12216">
          <w:rPr>
            <w:rStyle w:val="TextoNormalCaracter"/>
          </w:rPr>
          <w:t>58/2008</w:t>
        </w:r>
      </w:hyperlink>
      <w:r>
        <w:t>, f. 1.</w:t>
      </w:r>
    </w:p>
    <w:p w:rsidR="00C12216" w:rsidRDefault="00C12216" w:rsidP="00C12216">
      <w:pPr>
        <w:pStyle w:val="SangriaIzquierdaArticulo"/>
      </w:pPr>
      <w:r>
        <w:t xml:space="preserve">Autos </w:t>
      </w:r>
      <w:hyperlink w:anchor="AUTO_2008_2" w:history="1">
        <w:r w:rsidRPr="00C12216">
          <w:rPr>
            <w:rStyle w:val="TextoNormalCaracter"/>
          </w:rPr>
          <w:t>2/2008</w:t>
        </w:r>
      </w:hyperlink>
      <w:r>
        <w:t xml:space="preserve">; </w:t>
      </w:r>
      <w:hyperlink w:anchor="AUTO_2008_27" w:history="1">
        <w:r w:rsidRPr="00C12216">
          <w:rPr>
            <w:rStyle w:val="TextoNormalCaracter"/>
          </w:rPr>
          <w:t>27/2008</w:t>
        </w:r>
      </w:hyperlink>
      <w:r>
        <w:t xml:space="preserve">; </w:t>
      </w:r>
      <w:hyperlink w:anchor="AUTO_2008_28" w:history="1">
        <w:r w:rsidRPr="00C12216">
          <w:rPr>
            <w:rStyle w:val="TextoNormalCaracter"/>
          </w:rPr>
          <w:t>28/2008</w:t>
        </w:r>
      </w:hyperlink>
      <w:r>
        <w:t xml:space="preserve">; </w:t>
      </w:r>
      <w:hyperlink w:anchor="AUTO_2008_30" w:history="1">
        <w:r w:rsidRPr="00C12216">
          <w:rPr>
            <w:rStyle w:val="TextoNormalCaracter"/>
          </w:rPr>
          <w:t>30/2008</w:t>
        </w:r>
      </w:hyperlink>
      <w:r>
        <w:t xml:space="preserve">; </w:t>
      </w:r>
      <w:hyperlink w:anchor="AUTO_2008_32" w:history="1">
        <w:r w:rsidRPr="00C12216">
          <w:rPr>
            <w:rStyle w:val="TextoNormalCaracter"/>
          </w:rPr>
          <w:t>32/2008</w:t>
        </w:r>
      </w:hyperlink>
      <w:r>
        <w:t xml:space="preserve">; </w:t>
      </w:r>
      <w:hyperlink w:anchor="AUTO_2008_38" w:history="1">
        <w:r w:rsidRPr="00C12216">
          <w:rPr>
            <w:rStyle w:val="TextoNormalCaracter"/>
          </w:rPr>
          <w:t>38/2008</w:t>
        </w:r>
      </w:hyperlink>
      <w:r>
        <w:t xml:space="preserve">; </w:t>
      </w:r>
      <w:hyperlink w:anchor="AUTO_2008_46" w:history="1">
        <w:r w:rsidRPr="00C12216">
          <w:rPr>
            <w:rStyle w:val="TextoNormalCaracter"/>
          </w:rPr>
          <w:t>46/2008</w:t>
        </w:r>
      </w:hyperlink>
      <w:r>
        <w:t xml:space="preserve">; </w:t>
      </w:r>
      <w:hyperlink w:anchor="AUTO_2008_48" w:history="1">
        <w:r w:rsidRPr="00C12216">
          <w:rPr>
            <w:rStyle w:val="TextoNormalCaracter"/>
          </w:rPr>
          <w:t>48/2008</w:t>
        </w:r>
      </w:hyperlink>
      <w:r>
        <w:t xml:space="preserve">; </w:t>
      </w:r>
      <w:hyperlink w:anchor="AUTO_2008_49" w:history="1">
        <w:r w:rsidRPr="00C12216">
          <w:rPr>
            <w:rStyle w:val="TextoNormalCaracter"/>
          </w:rPr>
          <w:t>49/2008</w:t>
        </w:r>
      </w:hyperlink>
      <w:r>
        <w:t xml:space="preserve">; </w:t>
      </w:r>
      <w:hyperlink w:anchor="AUTO_2008_57" w:history="1">
        <w:r w:rsidRPr="00C12216">
          <w:rPr>
            <w:rStyle w:val="TextoNormalCaracter"/>
          </w:rPr>
          <w:t>57/2008</w:t>
        </w:r>
      </w:hyperlink>
      <w:r>
        <w:t xml:space="preserve">; </w:t>
      </w:r>
      <w:hyperlink w:anchor="AUTO_2008_61" w:history="1">
        <w:r w:rsidRPr="00C12216">
          <w:rPr>
            <w:rStyle w:val="TextoNormalCaracter"/>
          </w:rPr>
          <w:t>61/2008</w:t>
        </w:r>
      </w:hyperlink>
      <w:r>
        <w:t xml:space="preserve">; </w:t>
      </w:r>
      <w:hyperlink w:anchor="AUTO_2008_75" w:history="1">
        <w:r w:rsidRPr="00C12216">
          <w:rPr>
            <w:rStyle w:val="TextoNormalCaracter"/>
          </w:rPr>
          <w:t>75/2008</w:t>
        </w:r>
      </w:hyperlink>
      <w:r>
        <w:t xml:space="preserve">; </w:t>
      </w:r>
      <w:hyperlink w:anchor="AUTO_2008_77" w:history="1">
        <w:r w:rsidRPr="00C12216">
          <w:rPr>
            <w:rStyle w:val="TextoNormalCaracter"/>
          </w:rPr>
          <w:t>77/2008</w:t>
        </w:r>
      </w:hyperlink>
      <w:r>
        <w:t xml:space="preserve">; </w:t>
      </w:r>
      <w:hyperlink w:anchor="AUTO_2008_83" w:history="1">
        <w:r w:rsidRPr="00C12216">
          <w:rPr>
            <w:rStyle w:val="TextoNormalCaracter"/>
          </w:rPr>
          <w:t>83/2008</w:t>
        </w:r>
      </w:hyperlink>
      <w:r>
        <w:t xml:space="preserve">; </w:t>
      </w:r>
      <w:hyperlink w:anchor="AUTO_2008_85" w:history="1">
        <w:r w:rsidRPr="00C12216">
          <w:rPr>
            <w:rStyle w:val="TextoNormalCaracter"/>
          </w:rPr>
          <w:t>85/2008</w:t>
        </w:r>
      </w:hyperlink>
      <w:r>
        <w:t xml:space="preserve">; </w:t>
      </w:r>
      <w:hyperlink w:anchor="AUTO_2008_86" w:history="1">
        <w:r w:rsidRPr="00C12216">
          <w:rPr>
            <w:rStyle w:val="TextoNormalCaracter"/>
          </w:rPr>
          <w:t>86/2008</w:t>
        </w:r>
      </w:hyperlink>
      <w:r>
        <w:t xml:space="preserve">; </w:t>
      </w:r>
      <w:hyperlink w:anchor="AUTO_2008_90" w:history="1">
        <w:r w:rsidRPr="00C12216">
          <w:rPr>
            <w:rStyle w:val="TextoNormalCaracter"/>
          </w:rPr>
          <w:t>90/2008</w:t>
        </w:r>
      </w:hyperlink>
      <w:r>
        <w:t xml:space="preserve">; </w:t>
      </w:r>
      <w:hyperlink w:anchor="AUTO_2008_117" w:history="1">
        <w:r w:rsidRPr="00C12216">
          <w:rPr>
            <w:rStyle w:val="TextoNormalCaracter"/>
          </w:rPr>
          <w:t>117/2008</w:t>
        </w:r>
      </w:hyperlink>
      <w:r>
        <w:t>.</w:t>
      </w:r>
    </w:p>
    <w:p w:rsidR="00C12216" w:rsidRDefault="00C12216" w:rsidP="00C12216">
      <w:pPr>
        <w:pStyle w:val="SangriaFrancesaArticulo"/>
      </w:pPr>
      <w:r w:rsidRPr="00C12216">
        <w:rPr>
          <w:rStyle w:val="TextoNormalNegritaCaracter"/>
        </w:rPr>
        <w:t>Artículo 24.2.</w:t>
      </w:r>
      <w:r w:rsidRPr="00C12216">
        <w:rPr>
          <w:rStyle w:val="TextoNormalCaracter"/>
        </w:rPr>
        <w:t>-</w:t>
      </w:r>
      <w:r>
        <w:t xml:space="preserve"> Sentencias </w:t>
      </w:r>
      <w:hyperlink w:anchor="SENTENCIA_2008_36" w:history="1">
        <w:r w:rsidRPr="00C12216">
          <w:rPr>
            <w:rStyle w:val="TextoNormalCaracter"/>
          </w:rPr>
          <w:t>36/2008</w:t>
        </w:r>
      </w:hyperlink>
      <w:r>
        <w:t xml:space="preserve">, f. 1; </w:t>
      </w:r>
      <w:hyperlink w:anchor="SENTENCIA_2008_40" w:history="1">
        <w:r w:rsidRPr="00C12216">
          <w:rPr>
            <w:rStyle w:val="TextoNormalCaracter"/>
          </w:rPr>
          <w:t>40/2008</w:t>
        </w:r>
      </w:hyperlink>
      <w:r>
        <w:t xml:space="preserve">, f. 2; </w:t>
      </w:r>
      <w:hyperlink w:anchor="SENTENCIA_2008_48" w:history="1">
        <w:r w:rsidRPr="00C12216">
          <w:rPr>
            <w:rStyle w:val="TextoNormalCaracter"/>
          </w:rPr>
          <w:t>48/2008</w:t>
        </w:r>
      </w:hyperlink>
      <w:r>
        <w:t>, ff. 2, 4, 5.</w:t>
      </w:r>
    </w:p>
    <w:p w:rsidR="00C12216" w:rsidRDefault="00C12216" w:rsidP="00C12216">
      <w:pPr>
        <w:pStyle w:val="SangriaIzquierdaArticulo"/>
      </w:pPr>
      <w:r>
        <w:t xml:space="preserve">Autos </w:t>
      </w:r>
      <w:hyperlink w:anchor="AUTO_2008_4" w:history="1">
        <w:r w:rsidRPr="00C12216">
          <w:rPr>
            <w:rStyle w:val="TextoNormalCaracter"/>
          </w:rPr>
          <w:t>4/2008</w:t>
        </w:r>
      </w:hyperlink>
      <w:r>
        <w:t xml:space="preserve">; </w:t>
      </w:r>
      <w:hyperlink w:anchor="AUTO_2008_54" w:history="1">
        <w:r w:rsidRPr="00C12216">
          <w:rPr>
            <w:rStyle w:val="TextoNormalCaracter"/>
          </w:rPr>
          <w:t>54/2008</w:t>
        </w:r>
      </w:hyperlink>
      <w:r>
        <w:t xml:space="preserve">; </w:t>
      </w:r>
      <w:hyperlink w:anchor="AUTO_2008_82" w:history="1">
        <w:r w:rsidRPr="00C12216">
          <w:rPr>
            <w:rStyle w:val="TextoNormalCaracter"/>
          </w:rPr>
          <w:t>82/2008</w:t>
        </w:r>
      </w:hyperlink>
      <w:r>
        <w:t xml:space="preserve">; </w:t>
      </w:r>
      <w:hyperlink w:anchor="AUTO_2008_115" w:history="1">
        <w:r w:rsidRPr="00C12216">
          <w:rPr>
            <w:rStyle w:val="TextoNormalCaracter"/>
          </w:rPr>
          <w:t>115/2008</w:t>
        </w:r>
      </w:hyperlink>
      <w:r>
        <w:t>.</w:t>
      </w:r>
    </w:p>
    <w:p w:rsidR="00C12216" w:rsidRDefault="00C12216" w:rsidP="00C12216">
      <w:pPr>
        <w:pStyle w:val="SangriaFrancesaArticulo"/>
      </w:pPr>
      <w:r w:rsidRPr="00C12216">
        <w:rPr>
          <w:rStyle w:val="TextoNormalNegritaCaracter"/>
        </w:rPr>
        <w:t>Artículo 24.2</w:t>
      </w:r>
      <w:r>
        <w:t xml:space="preserve"> </w:t>
      </w:r>
      <w:r w:rsidRPr="00C12216">
        <w:rPr>
          <w:rStyle w:val="TextoNormalCaracter"/>
        </w:rPr>
        <w:t>(derecho a la asistencia de letrado)</w:t>
      </w:r>
      <w:r w:rsidRPr="00C12216">
        <w:rPr>
          <w:rStyle w:val="TextoNormalNegritaCaracter"/>
        </w:rPr>
        <w:t>.</w:t>
      </w:r>
      <w:r w:rsidRPr="00C12216">
        <w:rPr>
          <w:rStyle w:val="TextoNormalCaracter"/>
        </w:rPr>
        <w:t>-</w:t>
      </w:r>
      <w:r>
        <w:t xml:space="preserve"> Sentencias </w:t>
      </w:r>
      <w:hyperlink w:anchor="SENTENCIA_2008_9" w:history="1">
        <w:r w:rsidRPr="00C12216">
          <w:rPr>
            <w:rStyle w:val="TextoNormalCaracter"/>
          </w:rPr>
          <w:t>9/2008</w:t>
        </w:r>
      </w:hyperlink>
      <w:r>
        <w:t xml:space="preserve">, passim; </w:t>
      </w:r>
      <w:hyperlink w:anchor="SENTENCIA_2008_10" w:history="1">
        <w:r w:rsidRPr="00C12216">
          <w:rPr>
            <w:rStyle w:val="TextoNormalCaracter"/>
          </w:rPr>
          <w:t>10/2008</w:t>
        </w:r>
      </w:hyperlink>
      <w:r>
        <w:t xml:space="preserve">, f. 1; </w:t>
      </w:r>
      <w:hyperlink w:anchor="SENTENCIA_2008_42" w:history="1">
        <w:r w:rsidRPr="00C12216">
          <w:rPr>
            <w:rStyle w:val="TextoNormalCaracter"/>
          </w:rPr>
          <w:t>42/2008</w:t>
        </w:r>
      </w:hyperlink>
      <w:r>
        <w:t xml:space="preserve">, ff. 1, 2, 4; </w:t>
      </w:r>
      <w:hyperlink w:anchor="SENTENCIA_2008_55" w:history="1">
        <w:r w:rsidRPr="00C12216">
          <w:rPr>
            <w:rStyle w:val="TextoNormalCaracter"/>
          </w:rPr>
          <w:t>55/2008</w:t>
        </w:r>
      </w:hyperlink>
      <w:r>
        <w:t>, ff. 2, 6.</w:t>
      </w:r>
    </w:p>
    <w:p w:rsidR="00C12216" w:rsidRDefault="00C12216" w:rsidP="00C12216">
      <w:pPr>
        <w:pStyle w:val="SangriaFrancesaArticulo"/>
      </w:pPr>
      <w:r w:rsidRPr="00C12216">
        <w:rPr>
          <w:rStyle w:val="TextoNormalNegritaCaracter"/>
        </w:rPr>
        <w:t>Artículo 24.2</w:t>
      </w:r>
      <w:r>
        <w:t xml:space="preserve"> </w:t>
      </w:r>
      <w:r w:rsidRPr="00C12216">
        <w:rPr>
          <w:rStyle w:val="TextoNormalCaracter"/>
        </w:rPr>
        <w:t>(derecho a la defensa)</w:t>
      </w:r>
      <w:r w:rsidRPr="00C12216">
        <w:rPr>
          <w:rStyle w:val="TextoNormalNegritaCaracter"/>
        </w:rPr>
        <w:t>.</w:t>
      </w:r>
      <w:r w:rsidRPr="00C12216">
        <w:rPr>
          <w:rStyle w:val="TextoNormalCaracter"/>
        </w:rPr>
        <w:t>-</w:t>
      </w:r>
      <w:r>
        <w:t xml:space="preserve"> Sentencias </w:t>
      </w:r>
      <w:hyperlink w:anchor="SENTENCIA_2008_5" w:history="1">
        <w:r w:rsidRPr="00C12216">
          <w:rPr>
            <w:rStyle w:val="TextoNormalCaracter"/>
          </w:rPr>
          <w:t>5/2008</w:t>
        </w:r>
      </w:hyperlink>
      <w:r>
        <w:t xml:space="preserve">, ff. 1 a 4, 6; </w:t>
      </w:r>
      <w:hyperlink w:anchor="SENTENCIA_2008_9" w:history="1">
        <w:r w:rsidRPr="00C12216">
          <w:rPr>
            <w:rStyle w:val="TextoNormalCaracter"/>
          </w:rPr>
          <w:t>9/2008</w:t>
        </w:r>
      </w:hyperlink>
      <w:r>
        <w:t xml:space="preserve">, ff. 3, 4; </w:t>
      </w:r>
      <w:hyperlink w:anchor="SENTENCIA_2008_10" w:history="1">
        <w:r w:rsidRPr="00C12216">
          <w:rPr>
            <w:rStyle w:val="TextoNormalCaracter"/>
          </w:rPr>
          <w:t>10/2008</w:t>
        </w:r>
      </w:hyperlink>
      <w:r>
        <w:t xml:space="preserve">, f. 1; </w:t>
      </w:r>
      <w:hyperlink w:anchor="SENTENCIA_2008_32" w:history="1">
        <w:r w:rsidRPr="00C12216">
          <w:rPr>
            <w:rStyle w:val="TextoNormalCaracter"/>
          </w:rPr>
          <w:t>32/2008</w:t>
        </w:r>
      </w:hyperlink>
      <w:r>
        <w:t>, ff. 1, 3.</w:t>
      </w:r>
    </w:p>
    <w:p w:rsidR="00C12216" w:rsidRDefault="00C12216" w:rsidP="00C12216">
      <w:pPr>
        <w:pStyle w:val="SangriaFrancesaArticulo"/>
      </w:pPr>
      <w:r w:rsidRPr="00C12216">
        <w:rPr>
          <w:rStyle w:val="TextoNormalNegritaCaracter"/>
        </w:rPr>
        <w:t>Artículo 24.2</w:t>
      </w:r>
      <w:r>
        <w:t xml:space="preserve"> </w:t>
      </w:r>
      <w:r w:rsidRPr="00C12216">
        <w:rPr>
          <w:rStyle w:val="TextoNormalCaracter"/>
        </w:rPr>
        <w:t>(derecho a la presunción de inocencia)</w:t>
      </w:r>
      <w:r w:rsidRPr="00C12216">
        <w:rPr>
          <w:rStyle w:val="TextoNormalNegritaCaracter"/>
        </w:rPr>
        <w:t>.</w:t>
      </w:r>
      <w:r w:rsidRPr="00C12216">
        <w:rPr>
          <w:rStyle w:val="TextoNormalCaracter"/>
        </w:rPr>
        <w:t>-</w:t>
      </w:r>
      <w:r>
        <w:t xml:space="preserve"> Sentencias </w:t>
      </w:r>
      <w:hyperlink w:anchor="SENTENCIA_2008_28" w:history="1">
        <w:r w:rsidRPr="00C12216">
          <w:rPr>
            <w:rStyle w:val="TextoNormalCaracter"/>
          </w:rPr>
          <w:t>28/2008</w:t>
        </w:r>
      </w:hyperlink>
      <w:r>
        <w:t xml:space="preserve">, ff. 1, 2, 4; </w:t>
      </w:r>
      <w:hyperlink w:anchor="SENTENCIA_2008_29" w:history="1">
        <w:r w:rsidRPr="00C12216">
          <w:rPr>
            <w:rStyle w:val="TextoNormalCaracter"/>
          </w:rPr>
          <w:t>29/2008</w:t>
        </w:r>
      </w:hyperlink>
      <w:r>
        <w:t xml:space="preserve">, f. 1; </w:t>
      </w:r>
      <w:hyperlink w:anchor="SENTENCIA_2008_36" w:history="1">
        <w:r w:rsidRPr="00C12216">
          <w:rPr>
            <w:rStyle w:val="TextoNormalCaracter"/>
          </w:rPr>
          <w:t>36/2008</w:t>
        </w:r>
      </w:hyperlink>
      <w:r>
        <w:t xml:space="preserve">, ff. 5, 7; </w:t>
      </w:r>
      <w:hyperlink w:anchor="SENTENCIA_2008_40" w:history="1">
        <w:r w:rsidRPr="00C12216">
          <w:rPr>
            <w:rStyle w:val="TextoNormalCaracter"/>
          </w:rPr>
          <w:t>40/2008</w:t>
        </w:r>
      </w:hyperlink>
      <w:r>
        <w:t xml:space="preserve">, ff. 1, 2, 6; </w:t>
      </w:r>
      <w:hyperlink w:anchor="SENTENCIA_2008_54" w:history="1">
        <w:r w:rsidRPr="00C12216">
          <w:rPr>
            <w:rStyle w:val="TextoNormalCaracter"/>
          </w:rPr>
          <w:t>54/2008</w:t>
        </w:r>
      </w:hyperlink>
      <w:r>
        <w:t>, ff. 1, 2, 7.</w:t>
      </w:r>
    </w:p>
    <w:p w:rsidR="00C12216" w:rsidRDefault="00C12216" w:rsidP="00C12216">
      <w:pPr>
        <w:pStyle w:val="SangriaIzquierdaArticulo"/>
      </w:pPr>
      <w:r>
        <w:t xml:space="preserve">Autos </w:t>
      </w:r>
      <w:hyperlink w:anchor="AUTO_2008_54" w:history="1">
        <w:r w:rsidRPr="00C12216">
          <w:rPr>
            <w:rStyle w:val="TextoNormalCaracter"/>
          </w:rPr>
          <w:t>54/2008</w:t>
        </w:r>
      </w:hyperlink>
      <w:r>
        <w:t xml:space="preserve">; </w:t>
      </w:r>
      <w:hyperlink w:anchor="AUTO_2008_57" w:history="1">
        <w:r w:rsidRPr="00C12216">
          <w:rPr>
            <w:rStyle w:val="TextoNormalCaracter"/>
          </w:rPr>
          <w:t>57/2008</w:t>
        </w:r>
      </w:hyperlink>
      <w:r>
        <w:t xml:space="preserve">; </w:t>
      </w:r>
      <w:hyperlink w:anchor="AUTO_2008_115" w:history="1">
        <w:r w:rsidRPr="00C12216">
          <w:rPr>
            <w:rStyle w:val="TextoNormalCaracter"/>
          </w:rPr>
          <w:t>115/2008</w:t>
        </w:r>
      </w:hyperlink>
      <w:r>
        <w:t>.</w:t>
      </w:r>
    </w:p>
    <w:p w:rsidR="00C12216" w:rsidRDefault="00C12216" w:rsidP="00C12216">
      <w:pPr>
        <w:pStyle w:val="SangriaFrancesaArticulo"/>
      </w:pPr>
      <w:r w:rsidRPr="00C12216">
        <w:rPr>
          <w:rStyle w:val="TextoNormalNegritaCaracter"/>
        </w:rPr>
        <w:t>Artículo 24.2</w:t>
      </w:r>
      <w:r>
        <w:t xml:space="preserve"> </w:t>
      </w:r>
      <w:r w:rsidRPr="00C12216">
        <w:rPr>
          <w:rStyle w:val="TextoNormalCaracter"/>
        </w:rPr>
        <w:t>(derecho a la prueba)</w:t>
      </w:r>
      <w:r w:rsidRPr="00C12216">
        <w:rPr>
          <w:rStyle w:val="TextoNormalNegritaCaracter"/>
        </w:rPr>
        <w:t>.</w:t>
      </w:r>
      <w:r w:rsidRPr="00C12216">
        <w:rPr>
          <w:rStyle w:val="TextoNormalCaracter"/>
        </w:rPr>
        <w:t>-</w:t>
      </w:r>
      <w:r>
        <w:t xml:space="preserve"> Sentencias </w:t>
      </w:r>
      <w:hyperlink w:anchor="SENTENCIA_2008_22" w:history="1">
        <w:r w:rsidRPr="00C12216">
          <w:rPr>
            <w:rStyle w:val="TextoNormalCaracter"/>
          </w:rPr>
          <w:t>22/2008</w:t>
        </w:r>
      </w:hyperlink>
      <w:r>
        <w:t xml:space="preserve">, ff. 1, 2; </w:t>
      </w:r>
      <w:hyperlink w:anchor="SENTENCIA_2008_29" w:history="1">
        <w:r w:rsidRPr="00C12216">
          <w:rPr>
            <w:rStyle w:val="TextoNormalCaracter"/>
          </w:rPr>
          <w:t>29/2008</w:t>
        </w:r>
      </w:hyperlink>
      <w:r>
        <w:t xml:space="preserve">, f. 1; </w:t>
      </w:r>
      <w:hyperlink w:anchor="SENTENCIA_2008_48" w:history="1">
        <w:r w:rsidRPr="00C12216">
          <w:rPr>
            <w:rStyle w:val="TextoNormalCaracter"/>
          </w:rPr>
          <w:t>48/2008</w:t>
        </w:r>
      </w:hyperlink>
      <w:r>
        <w:t>, ff. 1, 3.</w:t>
      </w:r>
    </w:p>
    <w:p w:rsidR="00C12216" w:rsidRDefault="00C12216" w:rsidP="00C12216">
      <w:pPr>
        <w:pStyle w:val="SangriaIzquierdaArticulo"/>
      </w:pPr>
      <w:r>
        <w:t xml:space="preserve">Autos </w:t>
      </w:r>
      <w:hyperlink w:anchor="AUTO_2008_2" w:history="1">
        <w:r w:rsidRPr="00C12216">
          <w:rPr>
            <w:rStyle w:val="TextoNormalCaracter"/>
          </w:rPr>
          <w:t>2/2008</w:t>
        </w:r>
      </w:hyperlink>
      <w:r>
        <w:t xml:space="preserve">; </w:t>
      </w:r>
      <w:hyperlink w:anchor="AUTO_2008_30" w:history="1">
        <w:r w:rsidRPr="00C12216">
          <w:rPr>
            <w:rStyle w:val="TextoNormalCaracter"/>
          </w:rPr>
          <w:t>30/2008</w:t>
        </w:r>
      </w:hyperlink>
      <w:r>
        <w:t>.</w:t>
      </w:r>
    </w:p>
    <w:p w:rsidR="00C12216" w:rsidRDefault="00C12216" w:rsidP="00C12216">
      <w:pPr>
        <w:pStyle w:val="SangriaFrancesaArticulo"/>
      </w:pPr>
      <w:r w:rsidRPr="00C12216">
        <w:rPr>
          <w:rStyle w:val="TextoNormalNegritaCaracter"/>
        </w:rPr>
        <w:t>Artículo 24.2</w:t>
      </w:r>
      <w:r>
        <w:t xml:space="preserve"> </w:t>
      </w:r>
      <w:r w:rsidRPr="00C12216">
        <w:rPr>
          <w:rStyle w:val="TextoNormalCaracter"/>
        </w:rPr>
        <w:t>(derecho a ser informado de la acusación)</w:t>
      </w:r>
      <w:r w:rsidRPr="00C12216">
        <w:rPr>
          <w:rStyle w:val="TextoNormalNegritaCaracter"/>
        </w:rPr>
        <w:t>.</w:t>
      </w:r>
      <w:r w:rsidRPr="00C12216">
        <w:rPr>
          <w:rStyle w:val="TextoNormalCaracter"/>
        </w:rPr>
        <w:t>-</w:t>
      </w:r>
      <w:r>
        <w:t xml:space="preserve"> Sentencia </w:t>
      </w:r>
      <w:hyperlink w:anchor="SENTENCIA_2008_32" w:history="1">
        <w:r w:rsidRPr="00C12216">
          <w:rPr>
            <w:rStyle w:val="TextoNormalCaracter"/>
          </w:rPr>
          <w:t>32/2008</w:t>
        </w:r>
      </w:hyperlink>
      <w:r>
        <w:t>, ff. 1, 3.</w:t>
      </w:r>
    </w:p>
    <w:p w:rsidR="00C12216" w:rsidRDefault="00C12216" w:rsidP="00C12216">
      <w:pPr>
        <w:pStyle w:val="SangriaIzquierdaArticulo"/>
      </w:pPr>
      <w:r>
        <w:t xml:space="preserve">Auto </w:t>
      </w:r>
      <w:hyperlink w:anchor="AUTO_2008_4" w:history="1">
        <w:r w:rsidRPr="00C12216">
          <w:rPr>
            <w:rStyle w:val="TextoNormalCaracter"/>
          </w:rPr>
          <w:t>4/2008</w:t>
        </w:r>
      </w:hyperlink>
      <w:r>
        <w:t>.</w:t>
      </w:r>
    </w:p>
    <w:p w:rsidR="00C12216" w:rsidRDefault="00C12216" w:rsidP="00C12216">
      <w:pPr>
        <w:pStyle w:val="SangriaFrancesaArticulo"/>
      </w:pPr>
      <w:r w:rsidRPr="00C12216">
        <w:rPr>
          <w:rStyle w:val="TextoNormalNegritaCaracter"/>
        </w:rPr>
        <w:t>Artículo 24.2</w:t>
      </w:r>
      <w:r>
        <w:t xml:space="preserve"> </w:t>
      </w:r>
      <w:r w:rsidRPr="00C12216">
        <w:rPr>
          <w:rStyle w:val="TextoNormalCaracter"/>
        </w:rPr>
        <w:t>(derecho a un juez imparcial)</w:t>
      </w:r>
      <w:r w:rsidRPr="00C12216">
        <w:rPr>
          <w:rStyle w:val="TextoNormalNegritaCaracter"/>
        </w:rPr>
        <w:t>.</w:t>
      </w:r>
      <w:r w:rsidRPr="00C12216">
        <w:rPr>
          <w:rStyle w:val="TextoNormalCaracter"/>
        </w:rPr>
        <w:t>-</w:t>
      </w:r>
      <w:r>
        <w:t xml:space="preserve"> Sentencia </w:t>
      </w:r>
      <w:hyperlink w:anchor="SENTENCIA_2008_11" w:history="1">
        <w:r w:rsidRPr="00C12216">
          <w:rPr>
            <w:rStyle w:val="TextoNormalCaracter"/>
          </w:rPr>
          <w:t>11/2008</w:t>
        </w:r>
      </w:hyperlink>
      <w:r>
        <w:t>, f. 1.</w:t>
      </w:r>
    </w:p>
    <w:p w:rsidR="00C12216" w:rsidRDefault="00C12216" w:rsidP="00C12216">
      <w:pPr>
        <w:pStyle w:val="SangriaIzquierdaArticulo"/>
      </w:pPr>
      <w:r>
        <w:t xml:space="preserve">Auto </w:t>
      </w:r>
      <w:hyperlink w:anchor="AUTO_2008_25" w:history="1">
        <w:r w:rsidRPr="00C12216">
          <w:rPr>
            <w:rStyle w:val="TextoNormalCaracter"/>
          </w:rPr>
          <w:t>25/2008</w:t>
        </w:r>
      </w:hyperlink>
      <w:r>
        <w:t>.</w:t>
      </w:r>
    </w:p>
    <w:p w:rsidR="00C12216" w:rsidRDefault="00C12216" w:rsidP="00C12216">
      <w:pPr>
        <w:pStyle w:val="SangriaFrancesaArticulo"/>
      </w:pPr>
      <w:r w:rsidRPr="00C12216">
        <w:rPr>
          <w:rStyle w:val="TextoNormalNegritaCaracter"/>
        </w:rPr>
        <w:t>Artículo 24.2</w:t>
      </w:r>
      <w:r>
        <w:t xml:space="preserve"> </w:t>
      </w:r>
      <w:r w:rsidRPr="00C12216">
        <w:rPr>
          <w:rStyle w:val="TextoNormalCaracter"/>
        </w:rPr>
        <w:t>(derecho a un proceso con todas las garantías)</w:t>
      </w:r>
      <w:r w:rsidRPr="00C12216">
        <w:rPr>
          <w:rStyle w:val="TextoNormalNegritaCaracter"/>
        </w:rPr>
        <w:t>.</w:t>
      </w:r>
      <w:r w:rsidRPr="00C12216">
        <w:rPr>
          <w:rStyle w:val="TextoNormalCaracter"/>
        </w:rPr>
        <w:t>-</w:t>
      </w:r>
      <w:r>
        <w:t xml:space="preserve"> Sentencias </w:t>
      </w:r>
      <w:hyperlink w:anchor="SENTENCIA_2008_5" w:history="1">
        <w:r w:rsidRPr="00C12216">
          <w:rPr>
            <w:rStyle w:val="TextoNormalCaracter"/>
          </w:rPr>
          <w:t>5/2008</w:t>
        </w:r>
      </w:hyperlink>
      <w:r>
        <w:t xml:space="preserve">, f. 4; </w:t>
      </w:r>
      <w:hyperlink w:anchor="SENTENCIA_2008_9" w:history="1">
        <w:r w:rsidRPr="00C12216">
          <w:rPr>
            <w:rStyle w:val="TextoNormalCaracter"/>
          </w:rPr>
          <w:t>9/2008</w:t>
        </w:r>
      </w:hyperlink>
      <w:r>
        <w:t xml:space="preserve">, f. 3; </w:t>
      </w:r>
      <w:hyperlink w:anchor="SENTENCIA_2008_11" w:history="1">
        <w:r w:rsidRPr="00C12216">
          <w:rPr>
            <w:rStyle w:val="TextoNormalCaracter"/>
          </w:rPr>
          <w:t>11/2008</w:t>
        </w:r>
      </w:hyperlink>
      <w:r>
        <w:t xml:space="preserve">, ff. 1, 3, 5; </w:t>
      </w:r>
      <w:hyperlink w:anchor="SENTENCIA_2008_21" w:history="1">
        <w:r w:rsidRPr="00C12216">
          <w:rPr>
            <w:rStyle w:val="TextoNormalCaracter"/>
          </w:rPr>
          <w:t>21/2008</w:t>
        </w:r>
      </w:hyperlink>
      <w:r>
        <w:t xml:space="preserve">, f. 1; </w:t>
      </w:r>
      <w:hyperlink w:anchor="SENTENCIA_2008_23" w:history="1">
        <w:r w:rsidRPr="00C12216">
          <w:rPr>
            <w:rStyle w:val="TextoNormalCaracter"/>
          </w:rPr>
          <w:t>23/2008</w:t>
        </w:r>
      </w:hyperlink>
      <w:r>
        <w:t xml:space="preserve">, ff. 1, 3; </w:t>
      </w:r>
      <w:hyperlink w:anchor="SENTENCIA_2008_27" w:history="1">
        <w:r w:rsidRPr="00C12216">
          <w:rPr>
            <w:rStyle w:val="TextoNormalCaracter"/>
          </w:rPr>
          <w:t>27/2008</w:t>
        </w:r>
      </w:hyperlink>
      <w:r>
        <w:t xml:space="preserve">, ff. 1, 2; </w:t>
      </w:r>
      <w:hyperlink w:anchor="SENTENCIA_2008_28" w:history="1">
        <w:r w:rsidRPr="00C12216">
          <w:rPr>
            <w:rStyle w:val="TextoNormalCaracter"/>
          </w:rPr>
          <w:t>28/2008</w:t>
        </w:r>
      </w:hyperlink>
      <w:r>
        <w:t xml:space="preserve">, ff. 1 a 3; </w:t>
      </w:r>
      <w:hyperlink w:anchor="SENTENCIA_2008_29" w:history="1">
        <w:r w:rsidRPr="00C12216">
          <w:rPr>
            <w:rStyle w:val="TextoNormalCaracter"/>
          </w:rPr>
          <w:t>29/2008</w:t>
        </w:r>
      </w:hyperlink>
      <w:r>
        <w:t xml:space="preserve">, ff. 1, 3; </w:t>
      </w:r>
      <w:hyperlink w:anchor="SENTENCIA_2008_34" w:history="1">
        <w:r w:rsidRPr="00C12216">
          <w:rPr>
            <w:rStyle w:val="TextoNormalCaracter"/>
          </w:rPr>
          <w:t>34/2008</w:t>
        </w:r>
      </w:hyperlink>
      <w:r>
        <w:t xml:space="preserve">, f. 3; </w:t>
      </w:r>
      <w:hyperlink w:anchor="SENTENCIA_2008_36" w:history="1">
        <w:r w:rsidRPr="00C12216">
          <w:rPr>
            <w:rStyle w:val="TextoNormalCaracter"/>
          </w:rPr>
          <w:t>36/2008</w:t>
        </w:r>
      </w:hyperlink>
      <w:r>
        <w:t xml:space="preserve">, ff. 2, 4 a 6; </w:t>
      </w:r>
      <w:hyperlink w:anchor="SENTENCIA_2008_48" w:history="1">
        <w:r w:rsidRPr="00C12216">
          <w:rPr>
            <w:rStyle w:val="TextoNormalCaracter"/>
          </w:rPr>
          <w:t>48/2008</w:t>
        </w:r>
      </w:hyperlink>
      <w:r>
        <w:t xml:space="preserve">, ff. 1, 2, 4, 5; </w:t>
      </w:r>
      <w:hyperlink w:anchor="SENTENCIA_2008_52" w:history="1">
        <w:r w:rsidRPr="00C12216">
          <w:rPr>
            <w:rStyle w:val="TextoNormalCaracter"/>
          </w:rPr>
          <w:t>52/2008</w:t>
        </w:r>
      </w:hyperlink>
      <w:r>
        <w:t>, f. 2.</w:t>
      </w:r>
    </w:p>
    <w:p w:rsidR="00C12216" w:rsidRDefault="00C12216" w:rsidP="00C12216">
      <w:pPr>
        <w:pStyle w:val="SangriaIzquierdaArticulo"/>
      </w:pPr>
      <w:r>
        <w:t xml:space="preserve">Autos </w:t>
      </w:r>
      <w:hyperlink w:anchor="AUTO_2008_32" w:history="1">
        <w:r w:rsidRPr="00C12216">
          <w:rPr>
            <w:rStyle w:val="TextoNormalCaracter"/>
          </w:rPr>
          <w:t>32/2008</w:t>
        </w:r>
      </w:hyperlink>
      <w:r>
        <w:t xml:space="preserve">; </w:t>
      </w:r>
      <w:hyperlink w:anchor="AUTO_2008_115" w:history="1">
        <w:r w:rsidRPr="00C12216">
          <w:rPr>
            <w:rStyle w:val="TextoNormalCaracter"/>
          </w:rPr>
          <w:t>115/2008</w:t>
        </w:r>
      </w:hyperlink>
      <w:r>
        <w:t>.</w:t>
      </w:r>
    </w:p>
    <w:p w:rsidR="00C12216" w:rsidRDefault="00C12216" w:rsidP="00C12216">
      <w:pPr>
        <w:pStyle w:val="SangriaFrancesaArticulo"/>
      </w:pPr>
      <w:r w:rsidRPr="00C12216">
        <w:rPr>
          <w:rStyle w:val="TextoNormalNegritaCaracter"/>
        </w:rPr>
        <w:t>Artículo 24.2</w:t>
      </w:r>
      <w:r>
        <w:t xml:space="preserve"> </w:t>
      </w:r>
      <w:r w:rsidRPr="00C12216">
        <w:rPr>
          <w:rStyle w:val="TextoNormalCaracter"/>
        </w:rPr>
        <w:t>(derecho a un proceso sin dilaciones)</w:t>
      </w:r>
      <w:r w:rsidRPr="00C12216">
        <w:rPr>
          <w:rStyle w:val="TextoNormalNegritaCaracter"/>
        </w:rPr>
        <w:t>.</w:t>
      </w:r>
      <w:r w:rsidRPr="00C12216">
        <w:rPr>
          <w:rStyle w:val="TextoNormalCaracter"/>
        </w:rPr>
        <w:t>-</w:t>
      </w:r>
      <w:r>
        <w:t xml:space="preserve"> Sentencia </w:t>
      </w:r>
      <w:hyperlink w:anchor="SENTENCIA_2008_38" w:history="1">
        <w:r w:rsidRPr="00C12216">
          <w:rPr>
            <w:rStyle w:val="TextoNormalCaracter"/>
          </w:rPr>
          <w:t>38/2008</w:t>
        </w:r>
      </w:hyperlink>
      <w:r>
        <w:t>, ff. 1, 2.</w:t>
      </w:r>
    </w:p>
    <w:p w:rsidR="00C12216" w:rsidRDefault="00C12216" w:rsidP="00C12216">
      <w:pPr>
        <w:pStyle w:val="SangriaIzquierdaArticulo"/>
      </w:pPr>
      <w:r>
        <w:t xml:space="preserve">Auto </w:t>
      </w:r>
      <w:hyperlink w:anchor="AUTO_2008_115" w:history="1">
        <w:r w:rsidRPr="00C12216">
          <w:rPr>
            <w:rStyle w:val="TextoNormalCaracter"/>
          </w:rPr>
          <w:t>115/2008</w:t>
        </w:r>
      </w:hyperlink>
      <w:r>
        <w:t>.</w:t>
      </w:r>
    </w:p>
    <w:p w:rsidR="00C12216" w:rsidRDefault="00C12216" w:rsidP="00C12216">
      <w:pPr>
        <w:pStyle w:val="SangriaFrancesaArticulo"/>
      </w:pPr>
      <w:r w:rsidRPr="00C12216">
        <w:rPr>
          <w:rStyle w:val="TextoNormalNegritaCaracter"/>
        </w:rPr>
        <w:t>Artículo 24.2</w:t>
      </w:r>
      <w:r>
        <w:t xml:space="preserve"> </w:t>
      </w:r>
      <w:r w:rsidRPr="00C12216">
        <w:rPr>
          <w:rStyle w:val="TextoNormalCaracter"/>
        </w:rPr>
        <w:t>(derecho al juez ordinario predeterminado por la ley)</w:t>
      </w:r>
      <w:r w:rsidRPr="00C12216">
        <w:rPr>
          <w:rStyle w:val="TextoNormalNegritaCaracter"/>
        </w:rPr>
        <w:t>.</w:t>
      </w:r>
      <w:r w:rsidRPr="00C12216">
        <w:rPr>
          <w:rStyle w:val="TextoNormalCaracter"/>
        </w:rPr>
        <w:t>-</w:t>
      </w:r>
      <w:r>
        <w:t xml:space="preserve"> Auto </w:t>
      </w:r>
      <w:hyperlink w:anchor="AUTO_2008_20" w:history="1">
        <w:r w:rsidRPr="00C12216">
          <w:rPr>
            <w:rStyle w:val="TextoNormalCaracter"/>
          </w:rPr>
          <w:t>20/2008</w:t>
        </w:r>
      </w:hyperlink>
      <w:r>
        <w:t>.</w:t>
      </w:r>
    </w:p>
    <w:p w:rsidR="00C12216" w:rsidRDefault="00C12216" w:rsidP="00C12216">
      <w:pPr>
        <w:pStyle w:val="SangriaFrancesaArticulo"/>
      </w:pPr>
      <w:r w:rsidRPr="00C12216">
        <w:rPr>
          <w:rStyle w:val="TextoNormalNegritaCaracter"/>
        </w:rPr>
        <w:t>Artículo 25.</w:t>
      </w:r>
      <w:r w:rsidRPr="00C12216">
        <w:rPr>
          <w:rStyle w:val="TextoNormalCaracter"/>
        </w:rPr>
        <w:t>-</w:t>
      </w:r>
      <w:r>
        <w:t xml:space="preserve"> Sentencia </w:t>
      </w:r>
      <w:hyperlink w:anchor="SENTENCIA_2008_29" w:history="1">
        <w:r w:rsidRPr="00C12216">
          <w:rPr>
            <w:rStyle w:val="TextoNormalCaracter"/>
          </w:rPr>
          <w:t>29/2008</w:t>
        </w:r>
      </w:hyperlink>
      <w:r>
        <w:t>, ff. 7, 12.</w:t>
      </w:r>
    </w:p>
    <w:p w:rsidR="00C12216" w:rsidRDefault="00C12216" w:rsidP="00C12216">
      <w:pPr>
        <w:pStyle w:val="SangriaIzquierdaArticulo"/>
      </w:pPr>
      <w:r>
        <w:t xml:space="preserve">Auto </w:t>
      </w:r>
      <w:hyperlink w:anchor="AUTO_2008_54" w:history="1">
        <w:r w:rsidRPr="00C12216">
          <w:rPr>
            <w:rStyle w:val="TextoNormalCaracter"/>
          </w:rPr>
          <w:t>54/2008</w:t>
        </w:r>
      </w:hyperlink>
      <w:r>
        <w:t>.</w:t>
      </w:r>
    </w:p>
    <w:p w:rsidR="00C12216" w:rsidRDefault="00C12216" w:rsidP="00C12216">
      <w:pPr>
        <w:pStyle w:val="SangriaFrancesaArticulo"/>
      </w:pPr>
      <w:r w:rsidRPr="00C12216">
        <w:rPr>
          <w:rStyle w:val="TextoNormalNegritaCaracter"/>
        </w:rPr>
        <w:t>Artículo 25.1.</w:t>
      </w:r>
      <w:r w:rsidRPr="00C12216">
        <w:rPr>
          <w:rStyle w:val="TextoNormalCaracter"/>
        </w:rPr>
        <w:t>-</w:t>
      </w:r>
      <w:r>
        <w:t xml:space="preserve"> Sentencias </w:t>
      </w:r>
      <w:hyperlink w:anchor="SENTENCIA_2008_21" w:history="1">
        <w:r w:rsidRPr="00C12216">
          <w:rPr>
            <w:rStyle w:val="TextoNormalCaracter"/>
          </w:rPr>
          <w:t>21/2008</w:t>
        </w:r>
      </w:hyperlink>
      <w:r>
        <w:t xml:space="preserve">, ff. 1, 5; </w:t>
      </w:r>
      <w:hyperlink w:anchor="SENTENCIA_2008_29" w:history="1">
        <w:r w:rsidRPr="00C12216">
          <w:rPr>
            <w:rStyle w:val="TextoNormalCaracter"/>
          </w:rPr>
          <w:t>29/2008</w:t>
        </w:r>
      </w:hyperlink>
      <w:r>
        <w:t xml:space="preserve">, ff. 1, 7, 12, 13; </w:t>
      </w:r>
      <w:hyperlink w:anchor="SENTENCIA_2008_54" w:history="1">
        <w:r w:rsidRPr="00C12216">
          <w:rPr>
            <w:rStyle w:val="TextoNormalCaracter"/>
          </w:rPr>
          <w:t>54/2008</w:t>
        </w:r>
      </w:hyperlink>
      <w:r>
        <w:t>, ff. 1 a 4, 6, 7.</w:t>
      </w:r>
    </w:p>
    <w:p w:rsidR="00C12216" w:rsidRDefault="00C12216" w:rsidP="00C12216">
      <w:pPr>
        <w:pStyle w:val="SangriaIzquierdaArticulo"/>
      </w:pPr>
      <w:r>
        <w:lastRenderedPageBreak/>
        <w:t xml:space="preserve">Autos </w:t>
      </w:r>
      <w:hyperlink w:anchor="AUTO_2008_4" w:history="1">
        <w:r w:rsidRPr="00C12216">
          <w:rPr>
            <w:rStyle w:val="TextoNormalCaracter"/>
          </w:rPr>
          <w:t>4/2008</w:t>
        </w:r>
      </w:hyperlink>
      <w:r>
        <w:t xml:space="preserve">; </w:t>
      </w:r>
      <w:hyperlink w:anchor="AUTO_2008_24" w:history="1">
        <w:r w:rsidRPr="00C12216">
          <w:rPr>
            <w:rStyle w:val="TextoNormalCaracter"/>
          </w:rPr>
          <w:t>24/2008</w:t>
        </w:r>
      </w:hyperlink>
      <w:r>
        <w:t>.</w:t>
      </w:r>
    </w:p>
    <w:p w:rsidR="00C12216" w:rsidRDefault="00C12216" w:rsidP="00C12216">
      <w:pPr>
        <w:pStyle w:val="SangriaFrancesaArticulo"/>
      </w:pPr>
      <w:r w:rsidRPr="00C12216">
        <w:rPr>
          <w:rStyle w:val="TextoNormalNegritaCaracter"/>
        </w:rPr>
        <w:t>Artículo 25.2.</w:t>
      </w:r>
      <w:r w:rsidRPr="00C12216">
        <w:rPr>
          <w:rStyle w:val="TextoNormalCaracter"/>
        </w:rPr>
        <w:t>-</w:t>
      </w:r>
      <w:r>
        <w:t xml:space="preserve"> Sentencias </w:t>
      </w:r>
      <w:hyperlink w:anchor="SENTENCIA_2008_5" w:history="1">
        <w:r w:rsidRPr="00C12216">
          <w:rPr>
            <w:rStyle w:val="TextoNormalCaracter"/>
          </w:rPr>
          <w:t>5/2008</w:t>
        </w:r>
      </w:hyperlink>
      <w:r>
        <w:t xml:space="preserve">, f. 4; </w:t>
      </w:r>
      <w:hyperlink w:anchor="SENTENCIA_2008_43" w:history="1">
        <w:r w:rsidRPr="00C12216">
          <w:rPr>
            <w:rStyle w:val="TextoNormalCaracter"/>
          </w:rPr>
          <w:t>43/2008</w:t>
        </w:r>
      </w:hyperlink>
      <w:r>
        <w:t>, f. 4.</w:t>
      </w:r>
    </w:p>
    <w:p w:rsidR="00C12216" w:rsidRDefault="00C12216" w:rsidP="00C12216">
      <w:pPr>
        <w:pStyle w:val="SangriaFrancesaArticulo"/>
      </w:pPr>
      <w:r w:rsidRPr="00C12216">
        <w:rPr>
          <w:rStyle w:val="TextoNormalNegritaCaracter"/>
        </w:rPr>
        <w:t>Artículo 27.</w:t>
      </w:r>
      <w:r w:rsidRPr="00C12216">
        <w:rPr>
          <w:rStyle w:val="TextoNormalCaracter"/>
        </w:rPr>
        <w:t>-</w:t>
      </w:r>
      <w:r>
        <w:t xml:space="preserve"> Auto </w:t>
      </w:r>
      <w:hyperlink w:anchor="AUTO_2008_61" w:history="1">
        <w:r w:rsidRPr="00C12216">
          <w:rPr>
            <w:rStyle w:val="TextoNormalCaracter"/>
          </w:rPr>
          <w:t>61/2008</w:t>
        </w:r>
      </w:hyperlink>
      <w:r>
        <w:t>.</w:t>
      </w:r>
    </w:p>
    <w:p w:rsidR="00C12216" w:rsidRDefault="00C12216" w:rsidP="00C12216">
      <w:pPr>
        <w:pStyle w:val="SangriaFrancesaArticulo"/>
      </w:pPr>
      <w:r w:rsidRPr="00C12216">
        <w:rPr>
          <w:rStyle w:val="TextoNormalNegritaCaracter"/>
        </w:rPr>
        <w:t>Artículo 28.1.</w:t>
      </w:r>
      <w:r w:rsidRPr="00C12216">
        <w:rPr>
          <w:rStyle w:val="TextoNormalCaracter"/>
        </w:rPr>
        <w:t>-</w:t>
      </w:r>
      <w:r>
        <w:t xml:space="preserve"> Autos </w:t>
      </w:r>
      <w:hyperlink w:anchor="AUTO_2008_29" w:history="1">
        <w:r w:rsidRPr="00C12216">
          <w:rPr>
            <w:rStyle w:val="TextoNormalCaracter"/>
          </w:rPr>
          <w:t>29/2008</w:t>
        </w:r>
      </w:hyperlink>
      <w:r>
        <w:t xml:space="preserve">; </w:t>
      </w:r>
      <w:hyperlink w:anchor="AUTO_2008_30" w:history="1">
        <w:r w:rsidRPr="00C12216">
          <w:rPr>
            <w:rStyle w:val="TextoNormalCaracter"/>
          </w:rPr>
          <w:t>30/2008</w:t>
        </w:r>
      </w:hyperlink>
      <w:r>
        <w:t>.</w:t>
      </w:r>
    </w:p>
    <w:p w:rsidR="00C12216" w:rsidRDefault="00C12216" w:rsidP="00C12216">
      <w:pPr>
        <w:pStyle w:val="SangriaFrancesaArticulo"/>
      </w:pPr>
      <w:r w:rsidRPr="00C12216">
        <w:rPr>
          <w:rStyle w:val="TextoNormalNegritaCaracter"/>
        </w:rPr>
        <w:t>Artículo 31.1.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31.3.</w:t>
      </w:r>
      <w:r w:rsidRPr="00C12216">
        <w:rPr>
          <w:rStyle w:val="TextoNormalCaracter"/>
        </w:rPr>
        <w:t>-</w:t>
      </w:r>
      <w:r>
        <w:t xml:space="preserve"> Sentencia </w:t>
      </w:r>
      <w:hyperlink w:anchor="SENTENCIA_2008_31" w:history="1">
        <w:r w:rsidRPr="00C12216">
          <w:rPr>
            <w:rStyle w:val="TextoNormalCaracter"/>
          </w:rPr>
          <w:t>31/2008</w:t>
        </w:r>
      </w:hyperlink>
      <w:r>
        <w:t>, f. 3.</w:t>
      </w:r>
    </w:p>
    <w:p w:rsidR="00C12216" w:rsidRDefault="00C12216" w:rsidP="00C12216">
      <w:pPr>
        <w:pStyle w:val="SangriaFrancesaArticulo"/>
      </w:pPr>
      <w:r w:rsidRPr="00C12216">
        <w:rPr>
          <w:rStyle w:val="TextoNormalNegritaCaracter"/>
        </w:rPr>
        <w:t>Artículo 32.1.</w:t>
      </w:r>
      <w:r w:rsidRPr="00C12216">
        <w:rPr>
          <w:rStyle w:val="TextoNormalCaracter"/>
        </w:rPr>
        <w:t>-</w:t>
      </w:r>
      <w:r>
        <w:t xml:space="preserve"> Auto </w:t>
      </w:r>
      <w:hyperlink w:anchor="AUTO_2008_12" w:history="1">
        <w:r w:rsidRPr="00C12216">
          <w:rPr>
            <w:rStyle w:val="TextoNormalCaracter"/>
          </w:rPr>
          <w:t>12/2008</w:t>
        </w:r>
      </w:hyperlink>
      <w:r>
        <w:t>.</w:t>
      </w:r>
    </w:p>
    <w:p w:rsidR="00C12216" w:rsidRDefault="00C12216" w:rsidP="00C12216">
      <w:pPr>
        <w:pStyle w:val="SangriaFrancesaArticulo"/>
      </w:pPr>
      <w:r w:rsidRPr="00C12216">
        <w:rPr>
          <w:rStyle w:val="TextoNormalNegritaCaracter"/>
        </w:rPr>
        <w:t>Artículo 33.</w:t>
      </w:r>
      <w:r w:rsidRPr="00C12216">
        <w:rPr>
          <w:rStyle w:val="TextoNormalCaracter"/>
        </w:rPr>
        <w:t>-</w:t>
      </w:r>
      <w:r>
        <w:t xml:space="preserve"> Sentencia </w:t>
      </w:r>
      <w:hyperlink w:anchor="SENTENCIA_2008_56" w:history="1">
        <w:r w:rsidRPr="00C12216">
          <w:rPr>
            <w:rStyle w:val="TextoNormalCaracter"/>
          </w:rPr>
          <w:t>56/2008</w:t>
        </w:r>
      </w:hyperlink>
      <w:r>
        <w:t>, f. 6.</w:t>
      </w:r>
    </w:p>
    <w:p w:rsidR="00C12216" w:rsidRDefault="00C12216" w:rsidP="00C12216">
      <w:pPr>
        <w:pStyle w:val="SangriaIzquierdaArticulo"/>
      </w:pPr>
      <w:r>
        <w:t xml:space="preserve">Autos </w:t>
      </w:r>
      <w:hyperlink w:anchor="AUTO_2008_71" w:history="1">
        <w:r w:rsidRPr="00C12216">
          <w:rPr>
            <w:rStyle w:val="TextoNormalCaracter"/>
          </w:rPr>
          <w:t>71/2008</w:t>
        </w:r>
      </w:hyperlink>
      <w:r>
        <w:t xml:space="preserve">; </w:t>
      </w:r>
      <w:hyperlink w:anchor="AUTO_2008_88" w:history="1">
        <w:r w:rsidRPr="00C12216">
          <w:rPr>
            <w:rStyle w:val="TextoNormalCaracter"/>
          </w:rPr>
          <w:t>88/2008</w:t>
        </w:r>
      </w:hyperlink>
      <w:r>
        <w:t>.</w:t>
      </w:r>
    </w:p>
    <w:p w:rsidR="00C12216" w:rsidRDefault="00C12216" w:rsidP="00C12216">
      <w:pPr>
        <w:pStyle w:val="SangriaFrancesaArticulo"/>
      </w:pPr>
      <w:r w:rsidRPr="00C12216">
        <w:rPr>
          <w:rStyle w:val="TextoNormalNegritaCaracter"/>
        </w:rPr>
        <w:t>Artículo 33.1.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37.1.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38.</w:t>
      </w:r>
      <w:r w:rsidRPr="00C12216">
        <w:rPr>
          <w:rStyle w:val="TextoNormalCaracter"/>
        </w:rPr>
        <w:t>-</w:t>
      </w:r>
      <w:r>
        <w:t xml:space="preserve"> Sentencia </w:t>
      </w:r>
      <w:hyperlink w:anchor="SENTENCIA_2008_56" w:history="1">
        <w:r w:rsidRPr="00C12216">
          <w:rPr>
            <w:rStyle w:val="TextoNormalCaracter"/>
          </w:rPr>
          <w:t>56/2008</w:t>
        </w:r>
      </w:hyperlink>
      <w:r>
        <w:t>, f. 6.</w:t>
      </w:r>
    </w:p>
    <w:p w:rsidR="00C12216" w:rsidRDefault="00C12216" w:rsidP="00C12216">
      <w:pPr>
        <w:pStyle w:val="SangriaIzquierdaArticulo"/>
      </w:pPr>
      <w:r>
        <w:t xml:space="preserve">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39.</w:t>
      </w:r>
      <w:r w:rsidRPr="00C12216">
        <w:rPr>
          <w:rStyle w:val="TextoNormalCaracter"/>
        </w:rPr>
        <w:t>-</w:t>
      </w:r>
      <w:r>
        <w:t xml:space="preserve"> Sentencia </w:t>
      </w:r>
      <w:hyperlink w:anchor="SENTENCIA_2008_58" w:history="1">
        <w:r w:rsidRPr="00C12216">
          <w:rPr>
            <w:rStyle w:val="TextoNormalCaracter"/>
          </w:rPr>
          <w:t>58/2008</w:t>
        </w:r>
      </w:hyperlink>
      <w:r>
        <w:t>, f. 5.</w:t>
      </w:r>
    </w:p>
    <w:p w:rsidR="00C12216" w:rsidRDefault="00C12216" w:rsidP="00C12216">
      <w:pPr>
        <w:pStyle w:val="SangriaFrancesaArticulo"/>
      </w:pPr>
      <w:r w:rsidRPr="00C12216">
        <w:rPr>
          <w:rStyle w:val="TextoNormalNegritaCaracter"/>
        </w:rPr>
        <w:t>Artículo 40.1.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43.1.</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Artículo 43.2.</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Artículo 45.</w:t>
      </w:r>
      <w:r w:rsidRPr="00C12216">
        <w:rPr>
          <w:rStyle w:val="TextoNormalCaracter"/>
        </w:rPr>
        <w:t>-</w:t>
      </w:r>
      <w:r>
        <w:t xml:space="preserve"> Auto </w:t>
      </w:r>
      <w:hyperlink w:anchor="AUTO_2008_88" w:history="1">
        <w:r w:rsidRPr="00C12216">
          <w:rPr>
            <w:rStyle w:val="TextoNormalCaracter"/>
          </w:rPr>
          <w:t>88/2008</w:t>
        </w:r>
      </w:hyperlink>
      <w:r>
        <w:t>.</w:t>
      </w:r>
    </w:p>
    <w:p w:rsidR="00C12216" w:rsidRDefault="00C12216" w:rsidP="00C12216">
      <w:pPr>
        <w:pStyle w:val="SangriaFrancesaArticulo"/>
      </w:pPr>
      <w:r w:rsidRPr="00C12216">
        <w:rPr>
          <w:rStyle w:val="TextoNormalNegritaCaracter"/>
        </w:rPr>
        <w:t>Artículo 49.</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53.</w:t>
      </w:r>
      <w:r w:rsidRPr="00C12216">
        <w:rPr>
          <w:rStyle w:val="TextoNormalCaracter"/>
        </w:rPr>
        <w:t>-</w:t>
      </w:r>
      <w:r>
        <w:t xml:space="preserve"> Auto </w:t>
      </w:r>
      <w:hyperlink w:anchor="AUTO_2008_54" w:history="1">
        <w:r w:rsidRPr="00C12216">
          <w:rPr>
            <w:rStyle w:val="TextoNormalCaracter"/>
          </w:rPr>
          <w:t>54/2008</w:t>
        </w:r>
      </w:hyperlink>
      <w:r>
        <w:t>.</w:t>
      </w:r>
    </w:p>
    <w:p w:rsidR="00C12216" w:rsidRDefault="00C12216" w:rsidP="00C12216">
      <w:pPr>
        <w:pStyle w:val="SangriaFrancesaArticulo"/>
      </w:pPr>
      <w:r w:rsidRPr="00C12216">
        <w:rPr>
          <w:rStyle w:val="TextoNormalNegritaCaracter"/>
        </w:rPr>
        <w:t>Artículo 53.1.</w:t>
      </w:r>
      <w:r w:rsidRPr="00C12216">
        <w:rPr>
          <w:rStyle w:val="TextoNormalCaracter"/>
        </w:rPr>
        <w:t>-</w:t>
      </w:r>
      <w:r>
        <w:t xml:space="preserve"> Sentencia </w:t>
      </w:r>
      <w:hyperlink w:anchor="SENTENCIA_2008_57" w:history="1">
        <w:r w:rsidRPr="00C12216">
          <w:rPr>
            <w:rStyle w:val="TextoNormalCaracter"/>
          </w:rPr>
          <w:t>57/2008</w:t>
        </w:r>
      </w:hyperlink>
      <w:r>
        <w:t>, f. 2.</w:t>
      </w:r>
    </w:p>
    <w:p w:rsidR="00C12216" w:rsidRDefault="00C12216" w:rsidP="00C12216">
      <w:pPr>
        <w:pStyle w:val="SangriaFrancesaArticulo"/>
      </w:pPr>
      <w:r w:rsidRPr="00C12216">
        <w:rPr>
          <w:rStyle w:val="TextoNormalNegritaCaracter"/>
        </w:rPr>
        <w:t>Artículo 53.2.</w:t>
      </w:r>
      <w:r w:rsidRPr="00C12216">
        <w:rPr>
          <w:rStyle w:val="TextoNormalCaracter"/>
        </w:rPr>
        <w:t>-</w:t>
      </w:r>
      <w:r>
        <w:t xml:space="preserve"> Sentencias </w:t>
      </w:r>
      <w:hyperlink w:anchor="SENTENCIA_2008_1" w:history="1">
        <w:r w:rsidRPr="00C12216">
          <w:rPr>
            <w:rStyle w:val="TextoNormalCaracter"/>
          </w:rPr>
          <w:t>1/2008</w:t>
        </w:r>
      </w:hyperlink>
      <w:r>
        <w:t xml:space="preserve">, f. 2; </w:t>
      </w:r>
      <w:hyperlink w:anchor="SENTENCIA_2008_46" w:history="1">
        <w:r w:rsidRPr="00C12216">
          <w:rPr>
            <w:rStyle w:val="TextoNormalCaracter"/>
          </w:rPr>
          <w:t>46/2008</w:t>
        </w:r>
      </w:hyperlink>
      <w:r>
        <w:t>, f. 2.</w:t>
      </w:r>
    </w:p>
    <w:p w:rsidR="00C12216" w:rsidRDefault="00C12216" w:rsidP="00C12216">
      <w:pPr>
        <w:pStyle w:val="SangriaFrancesaArticulo"/>
      </w:pPr>
      <w:r w:rsidRPr="00C12216">
        <w:rPr>
          <w:rStyle w:val="TextoNormalNegritaCaracter"/>
        </w:rPr>
        <w:t>Artículo 64.1.</w:t>
      </w:r>
      <w:r w:rsidRPr="00C12216">
        <w:rPr>
          <w:rStyle w:val="TextoNormalCaracter"/>
        </w:rPr>
        <w:t>-</w:t>
      </w:r>
      <w:r>
        <w:t xml:space="preserve"> Sentencia </w:t>
      </w:r>
      <w:hyperlink w:anchor="SENTENCIA_2008_49" w:history="1">
        <w:r w:rsidRPr="00C12216">
          <w:rPr>
            <w:rStyle w:val="TextoNormalCaracter"/>
          </w:rPr>
          <w:t>49/2008</w:t>
        </w:r>
      </w:hyperlink>
      <w:r>
        <w:t>, f. 7.</w:t>
      </w:r>
    </w:p>
    <w:p w:rsidR="00C12216" w:rsidRDefault="00C12216" w:rsidP="00C12216">
      <w:pPr>
        <w:pStyle w:val="SangriaFrancesaArticulo"/>
      </w:pPr>
      <w:r w:rsidRPr="00C12216">
        <w:rPr>
          <w:rStyle w:val="TextoNormalNegritaCaracter"/>
        </w:rPr>
        <w:t>Artículo 66.1.</w:t>
      </w:r>
      <w:r w:rsidRPr="00C12216">
        <w:rPr>
          <w:rStyle w:val="TextoNormalCaracter"/>
        </w:rPr>
        <w:t>-</w:t>
      </w:r>
      <w:r>
        <w:t xml:space="preserve"> Sentencias </w:t>
      </w:r>
      <w:hyperlink w:anchor="SENTENCIA_2008_12" w:history="1">
        <w:r w:rsidRPr="00C12216">
          <w:rPr>
            <w:rStyle w:val="TextoNormalCaracter"/>
          </w:rPr>
          <w:t>12/2008</w:t>
        </w:r>
      </w:hyperlink>
      <w:r>
        <w:t xml:space="preserve">, VP; </w:t>
      </w:r>
      <w:hyperlink w:anchor="SENTENCIA_2008_49" w:history="1">
        <w:r w:rsidRPr="00C12216">
          <w:rPr>
            <w:rStyle w:val="TextoNormalCaracter"/>
          </w:rPr>
          <w:t>49/2008</w:t>
        </w:r>
      </w:hyperlink>
      <w:r>
        <w:t>, ff. 1, 6, 17.</w:t>
      </w:r>
    </w:p>
    <w:p w:rsidR="00C12216" w:rsidRDefault="00C12216" w:rsidP="00C12216">
      <w:pPr>
        <w:pStyle w:val="SangriaFrancesaArticulo"/>
      </w:pPr>
      <w:r w:rsidRPr="00C12216">
        <w:rPr>
          <w:rStyle w:val="TextoNormalNegritaCaracter"/>
        </w:rPr>
        <w:t>Artículo 66.2.</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67.</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67.2.</w:t>
      </w:r>
      <w:r w:rsidRPr="00C12216">
        <w:rPr>
          <w:rStyle w:val="TextoNormalCaracter"/>
        </w:rPr>
        <w:t>-</w:t>
      </w:r>
      <w:r>
        <w:t xml:space="preserve"> Sentencia </w:t>
      </w:r>
      <w:hyperlink w:anchor="SENTENCIA_2008_49" w:history="1">
        <w:r w:rsidRPr="00C12216">
          <w:rPr>
            <w:rStyle w:val="TextoNormalCaracter"/>
          </w:rPr>
          <w:t>49/2008</w:t>
        </w:r>
      </w:hyperlink>
      <w:r>
        <w:t>, ff. 1, 6, 17.</w:t>
      </w:r>
    </w:p>
    <w:p w:rsidR="00C12216" w:rsidRDefault="00C12216" w:rsidP="00C12216">
      <w:pPr>
        <w:pStyle w:val="SangriaFrancesaArticulo"/>
      </w:pPr>
      <w:r w:rsidRPr="00C12216">
        <w:rPr>
          <w:rStyle w:val="TextoNormalNegritaCaracter"/>
        </w:rPr>
        <w:t>Artículo 68.5.</w:t>
      </w:r>
      <w:r w:rsidRPr="00C12216">
        <w:rPr>
          <w:rStyle w:val="TextoNormalCaracter"/>
        </w:rPr>
        <w:t>-</w:t>
      </w:r>
      <w:r>
        <w:t xml:space="preserve"> Sentencia </w:t>
      </w:r>
      <w:hyperlink w:anchor="SENTENCIA_2008_12" w:history="1">
        <w:r w:rsidRPr="00C12216">
          <w:rPr>
            <w:rStyle w:val="TextoNormalCaracter"/>
          </w:rPr>
          <w:t>12/2008</w:t>
        </w:r>
      </w:hyperlink>
      <w:r>
        <w:t>, ff. 1, 3, 10, VP.</w:t>
      </w:r>
    </w:p>
    <w:p w:rsidR="00C12216" w:rsidRDefault="00C12216" w:rsidP="00C12216">
      <w:pPr>
        <w:pStyle w:val="SangriaFrancesaArticulo"/>
      </w:pPr>
      <w:r w:rsidRPr="00C12216">
        <w:rPr>
          <w:rStyle w:val="TextoNormalNegritaCaracter"/>
        </w:rPr>
        <w:t>Artículo 69.</w:t>
      </w:r>
      <w:r w:rsidRPr="00C12216">
        <w:rPr>
          <w:rStyle w:val="TextoNormalCaracter"/>
        </w:rPr>
        <w:t>-</w:t>
      </w:r>
      <w:r>
        <w:t xml:space="preserve"> Sentencia </w:t>
      </w:r>
      <w:hyperlink w:anchor="SENTENCIA_2008_49" w:history="1">
        <w:r w:rsidRPr="00C12216">
          <w:rPr>
            <w:rStyle w:val="TextoNormalCaracter"/>
          </w:rPr>
          <w:t>49/2008</w:t>
        </w:r>
      </w:hyperlink>
      <w:r>
        <w:t>, ff. 1, 6, 13, 17, VP I, VP II.</w:t>
      </w:r>
    </w:p>
    <w:p w:rsidR="00C12216" w:rsidRDefault="00C12216" w:rsidP="00C12216">
      <w:pPr>
        <w:pStyle w:val="SangriaFrancesaArticulo"/>
      </w:pPr>
      <w:r w:rsidRPr="00C12216">
        <w:rPr>
          <w:rStyle w:val="TextoNormalNegritaCaracter"/>
        </w:rPr>
        <w:t>Artículo 70.</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71.</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72.</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72.1.</w:t>
      </w:r>
      <w:r w:rsidRPr="00C12216">
        <w:rPr>
          <w:rStyle w:val="TextoNormalCaracter"/>
        </w:rPr>
        <w:t>-</w:t>
      </w:r>
      <w:r>
        <w:t xml:space="preserve"> Sentencia </w:t>
      </w:r>
      <w:hyperlink w:anchor="SENTENCIA_2008_49" w:history="1">
        <w:r w:rsidRPr="00C12216">
          <w:rPr>
            <w:rStyle w:val="TextoNormalCaracter"/>
          </w:rPr>
          <w:t>49/2008</w:t>
        </w:r>
      </w:hyperlink>
      <w:r>
        <w:t>, ff. 6, 15, VP I.</w:t>
      </w:r>
    </w:p>
    <w:p w:rsidR="00C12216" w:rsidRDefault="00C12216" w:rsidP="00C12216">
      <w:pPr>
        <w:pStyle w:val="SangriaFrancesaArticulo"/>
      </w:pPr>
      <w:r w:rsidRPr="00C12216">
        <w:rPr>
          <w:rStyle w:val="TextoNormalNegritaCaracter"/>
        </w:rPr>
        <w:t>Artículo 73.</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74.</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75.</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76.</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77.</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78.</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79.</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80.</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81.1.</w:t>
      </w:r>
      <w:r w:rsidRPr="00C12216">
        <w:rPr>
          <w:rStyle w:val="TextoNormalCaracter"/>
        </w:rPr>
        <w:t>-</w:t>
      </w:r>
      <w:r>
        <w:t xml:space="preserve"> Sentencia </w:t>
      </w:r>
      <w:hyperlink w:anchor="SENTENCIA_2008_49" w:history="1">
        <w:r w:rsidRPr="00C12216">
          <w:rPr>
            <w:rStyle w:val="TextoNormalCaracter"/>
          </w:rPr>
          <w:t>49/2008</w:t>
        </w:r>
      </w:hyperlink>
      <w:r>
        <w:t>, ff. 1, 6, 17.</w:t>
      </w:r>
    </w:p>
    <w:p w:rsidR="00C12216" w:rsidRDefault="00C12216" w:rsidP="00C12216">
      <w:pPr>
        <w:pStyle w:val="SangriaIzquierdaArticulo"/>
      </w:pPr>
      <w:r>
        <w:t xml:space="preserve">Auto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82.</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86.3.</w:t>
      </w:r>
      <w:r w:rsidRPr="00C12216">
        <w:rPr>
          <w:rStyle w:val="TextoNormalCaracter"/>
        </w:rPr>
        <w:t>-</w:t>
      </w:r>
      <w:r>
        <w:t xml:space="preserve"> Sentencia </w:t>
      </w:r>
      <w:hyperlink w:anchor="SENTENCIA_2008_47" w:history="1">
        <w:r w:rsidRPr="00C12216">
          <w:rPr>
            <w:rStyle w:val="TextoNormalCaracter"/>
          </w:rPr>
          <w:t>47/2008</w:t>
        </w:r>
      </w:hyperlink>
      <w:r>
        <w:t>, VP.</w:t>
      </w:r>
    </w:p>
    <w:p w:rsidR="00C12216" w:rsidRDefault="00C12216" w:rsidP="00C12216">
      <w:pPr>
        <w:pStyle w:val="SangriaFrancesaArticulo"/>
      </w:pPr>
      <w:r w:rsidRPr="00C12216">
        <w:rPr>
          <w:rStyle w:val="TextoNormalNegritaCaracter"/>
        </w:rPr>
        <w:t>Artículo 87.</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88.</w:t>
      </w:r>
      <w:r w:rsidRPr="00C12216">
        <w:rPr>
          <w:rStyle w:val="TextoNormalCaracter"/>
        </w:rPr>
        <w:t>-</w:t>
      </w:r>
      <w:r>
        <w:t xml:space="preserve"> Sentencia </w:t>
      </w:r>
      <w:hyperlink w:anchor="SENTENCIA_2008_49" w:history="1">
        <w:r w:rsidRPr="00C12216">
          <w:rPr>
            <w:rStyle w:val="TextoNormalCaracter"/>
          </w:rPr>
          <w:t>49/2008</w:t>
        </w:r>
      </w:hyperlink>
      <w:r>
        <w:t>, f. 5.</w:t>
      </w:r>
    </w:p>
    <w:p w:rsidR="00C12216" w:rsidRDefault="00C12216" w:rsidP="00C12216">
      <w:pPr>
        <w:pStyle w:val="SangriaFrancesaArticulo"/>
      </w:pPr>
      <w:r w:rsidRPr="00C12216">
        <w:rPr>
          <w:rStyle w:val="TextoNormalNegritaCaracter"/>
        </w:rPr>
        <w:t>Artículo 89.</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lastRenderedPageBreak/>
        <w:t>Artículo 90.</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91.</w:t>
      </w:r>
      <w:r w:rsidRPr="00C12216">
        <w:rPr>
          <w:rStyle w:val="TextoNormalCaracter"/>
        </w:rPr>
        <w:t>-</w:t>
      </w:r>
      <w:r>
        <w:t xml:space="preserve"> Sentencia </w:t>
      </w:r>
      <w:hyperlink w:anchor="SENTENCIA_2008_49" w:history="1">
        <w:r w:rsidRPr="00C12216">
          <w:rPr>
            <w:rStyle w:val="TextoNormalCaracter"/>
          </w:rPr>
          <w:t>49/2008</w:t>
        </w:r>
      </w:hyperlink>
      <w:r>
        <w:t>, ff. 1, 6.</w:t>
      </w:r>
    </w:p>
    <w:p w:rsidR="00C12216" w:rsidRDefault="00C12216" w:rsidP="00C12216">
      <w:pPr>
        <w:pStyle w:val="SangriaFrancesaArticulo"/>
      </w:pPr>
      <w:r w:rsidRPr="00C12216">
        <w:rPr>
          <w:rStyle w:val="TextoNormalNegritaCaracter"/>
        </w:rPr>
        <w:t>Artículo 117.</w:t>
      </w:r>
      <w:r w:rsidRPr="00C12216">
        <w:rPr>
          <w:rStyle w:val="TextoNormalCaracter"/>
        </w:rPr>
        <w:t>-</w:t>
      </w:r>
      <w:r>
        <w:t xml:space="preserve"> Sentencias </w:t>
      </w:r>
      <w:hyperlink w:anchor="SENTENCIA_2008_15" w:history="1">
        <w:r w:rsidRPr="00C12216">
          <w:rPr>
            <w:rStyle w:val="TextoNormalCaracter"/>
          </w:rPr>
          <w:t>15/2008</w:t>
        </w:r>
      </w:hyperlink>
      <w:r>
        <w:t xml:space="preserve">, f. 6; </w:t>
      </w:r>
      <w:hyperlink w:anchor="SENTENCIA_2008_22" w:history="1">
        <w:r w:rsidRPr="00C12216">
          <w:rPr>
            <w:rStyle w:val="TextoNormalCaracter"/>
          </w:rPr>
          <w:t>22/2008</w:t>
        </w:r>
      </w:hyperlink>
      <w:r>
        <w:t xml:space="preserve">, f. 2; </w:t>
      </w:r>
      <w:hyperlink w:anchor="SENTENCIA_2008_29" w:history="1">
        <w:r w:rsidRPr="00C12216">
          <w:rPr>
            <w:rStyle w:val="TextoNormalCaracter"/>
          </w:rPr>
          <w:t>29/2008</w:t>
        </w:r>
      </w:hyperlink>
      <w:r>
        <w:t xml:space="preserve">, VP; </w:t>
      </w:r>
      <w:hyperlink w:anchor="SENTENCIA_2008_33" w:history="1">
        <w:r w:rsidRPr="00C12216">
          <w:rPr>
            <w:rStyle w:val="TextoNormalCaracter"/>
          </w:rPr>
          <w:t>33/2008</w:t>
        </w:r>
      </w:hyperlink>
      <w:r>
        <w:t>, f. 2.</w:t>
      </w:r>
    </w:p>
    <w:p w:rsidR="00C12216" w:rsidRDefault="00C12216" w:rsidP="00C12216">
      <w:pPr>
        <w:pStyle w:val="SangriaFrancesaArticulo"/>
      </w:pPr>
      <w:r w:rsidRPr="00C12216">
        <w:rPr>
          <w:rStyle w:val="TextoNormalNegritaCaracter"/>
        </w:rPr>
        <w:t>Artículo 117.1.</w:t>
      </w:r>
      <w:r w:rsidRPr="00C12216">
        <w:rPr>
          <w:rStyle w:val="TextoNormalCaracter"/>
        </w:rPr>
        <w:t>-</w:t>
      </w:r>
      <w:r>
        <w:t xml:space="preserve"> Sentencia </w:t>
      </w:r>
      <w:hyperlink w:anchor="SENTENCIA_2008_11" w:history="1">
        <w:r w:rsidRPr="00C12216">
          <w:rPr>
            <w:rStyle w:val="TextoNormalCaracter"/>
          </w:rPr>
          <w:t>11/2008</w:t>
        </w:r>
      </w:hyperlink>
      <w:r>
        <w:t>, f. 3.</w:t>
      </w:r>
    </w:p>
    <w:p w:rsidR="00C12216" w:rsidRDefault="00C12216" w:rsidP="00C12216">
      <w:pPr>
        <w:pStyle w:val="SangriaFrancesaArticulo"/>
      </w:pPr>
      <w:r w:rsidRPr="00C12216">
        <w:rPr>
          <w:rStyle w:val="TextoNormalNegritaCaracter"/>
        </w:rPr>
        <w:t>Artículo 117.3.</w:t>
      </w:r>
      <w:r w:rsidRPr="00C12216">
        <w:rPr>
          <w:rStyle w:val="TextoNormalCaracter"/>
        </w:rPr>
        <w:t>-</w:t>
      </w:r>
      <w:r>
        <w:t xml:space="preserve"> Sentencias </w:t>
      </w:r>
      <w:hyperlink w:anchor="SENTENCIA_2008_11" w:history="1">
        <w:r w:rsidRPr="00C12216">
          <w:rPr>
            <w:rStyle w:val="TextoNormalCaracter"/>
          </w:rPr>
          <w:t>11/2008</w:t>
        </w:r>
      </w:hyperlink>
      <w:r>
        <w:t xml:space="preserve">, f. 6; </w:t>
      </w:r>
      <w:hyperlink w:anchor="SENTENCIA_2008_25" w:history="1">
        <w:r w:rsidRPr="00C12216">
          <w:rPr>
            <w:rStyle w:val="TextoNormalCaracter"/>
          </w:rPr>
          <w:t>25/2008</w:t>
        </w:r>
      </w:hyperlink>
      <w:r>
        <w:t xml:space="preserve">, f. 4; </w:t>
      </w:r>
      <w:hyperlink w:anchor="SENTENCIA_2008_26" w:history="1">
        <w:r w:rsidRPr="00C12216">
          <w:rPr>
            <w:rStyle w:val="TextoNormalCaracter"/>
          </w:rPr>
          <w:t>26/2008</w:t>
        </w:r>
      </w:hyperlink>
      <w:r>
        <w:t xml:space="preserve">, f. 5; </w:t>
      </w:r>
      <w:hyperlink w:anchor="SENTENCIA_2008_31" w:history="1">
        <w:r w:rsidRPr="00C12216">
          <w:rPr>
            <w:rStyle w:val="TextoNormalCaracter"/>
          </w:rPr>
          <w:t>31/2008</w:t>
        </w:r>
      </w:hyperlink>
      <w:r>
        <w:t xml:space="preserve">, f. 2; </w:t>
      </w:r>
      <w:hyperlink w:anchor="SENTENCIA_2008_33" w:history="1">
        <w:r w:rsidRPr="00C12216">
          <w:rPr>
            <w:rStyle w:val="TextoNormalCaracter"/>
          </w:rPr>
          <w:t>33/2008</w:t>
        </w:r>
      </w:hyperlink>
      <w:r>
        <w:t xml:space="preserve">, f. 2; </w:t>
      </w:r>
      <w:hyperlink w:anchor="SENTENCIA_2008_43" w:history="1">
        <w:r w:rsidRPr="00C12216">
          <w:rPr>
            <w:rStyle w:val="TextoNormalCaracter"/>
          </w:rPr>
          <w:t>43/2008</w:t>
        </w:r>
      </w:hyperlink>
      <w:r>
        <w:t xml:space="preserve">, f. 4; </w:t>
      </w:r>
      <w:hyperlink w:anchor="SENTENCIA_2008_55" w:history="1">
        <w:r w:rsidRPr="00C12216">
          <w:rPr>
            <w:rStyle w:val="TextoNormalCaracter"/>
          </w:rPr>
          <w:t>55/2008</w:t>
        </w:r>
      </w:hyperlink>
      <w:r>
        <w:t xml:space="preserve">, f. 2; </w:t>
      </w:r>
      <w:hyperlink w:anchor="SENTENCIA_2008_57" w:history="1">
        <w:r w:rsidRPr="00C12216">
          <w:rPr>
            <w:rStyle w:val="TextoNormalCaracter"/>
          </w:rPr>
          <w:t>57/2008</w:t>
        </w:r>
      </w:hyperlink>
      <w:r>
        <w:t>, f. 2.</w:t>
      </w:r>
    </w:p>
    <w:p w:rsidR="00C12216" w:rsidRDefault="00C12216" w:rsidP="00C12216">
      <w:pPr>
        <w:pStyle w:val="SangriaIzquierdaArticulo"/>
      </w:pPr>
      <w:r>
        <w:t xml:space="preserve">Autos </w:t>
      </w:r>
      <w:hyperlink w:anchor="AUTO_2008_7" w:history="1">
        <w:r w:rsidRPr="00C12216">
          <w:rPr>
            <w:rStyle w:val="TextoNormalCaracter"/>
          </w:rPr>
          <w:t>7/2008</w:t>
        </w:r>
      </w:hyperlink>
      <w:r>
        <w:t xml:space="preserve">; </w:t>
      </w:r>
      <w:hyperlink w:anchor="AUTO_2008_12" w:history="1">
        <w:r w:rsidRPr="00C12216">
          <w:rPr>
            <w:rStyle w:val="TextoNormalCaracter"/>
          </w:rPr>
          <w:t>12/2008</w:t>
        </w:r>
      </w:hyperlink>
      <w:r>
        <w:t xml:space="preserve">; </w:t>
      </w:r>
      <w:hyperlink w:anchor="AUTO_2008_16" w:history="1">
        <w:r w:rsidRPr="00C12216">
          <w:rPr>
            <w:rStyle w:val="TextoNormalCaracter"/>
          </w:rPr>
          <w:t>16/2008</w:t>
        </w:r>
      </w:hyperlink>
      <w:r>
        <w:t xml:space="preserve">; </w:t>
      </w:r>
      <w:hyperlink w:anchor="AUTO_2008_33" w:history="1">
        <w:r w:rsidRPr="00C12216">
          <w:rPr>
            <w:rStyle w:val="TextoNormalCaracter"/>
          </w:rPr>
          <w:t>33/2008</w:t>
        </w:r>
      </w:hyperlink>
      <w:r>
        <w:t xml:space="preserve">; </w:t>
      </w:r>
      <w:hyperlink w:anchor="AUTO_2008_36" w:history="1">
        <w:r w:rsidRPr="00C12216">
          <w:rPr>
            <w:rStyle w:val="TextoNormalCaracter"/>
          </w:rPr>
          <w:t>36/2008</w:t>
        </w:r>
      </w:hyperlink>
      <w:r>
        <w:t xml:space="preserve">; </w:t>
      </w:r>
      <w:hyperlink w:anchor="AUTO_2008_37" w:history="1">
        <w:r w:rsidRPr="00C12216">
          <w:rPr>
            <w:rStyle w:val="TextoNormalCaracter"/>
          </w:rPr>
          <w:t>37/2008</w:t>
        </w:r>
      </w:hyperlink>
      <w:r>
        <w:t xml:space="preserve">; </w:t>
      </w:r>
      <w:hyperlink w:anchor="AUTO_2008_40" w:history="1">
        <w:r w:rsidRPr="00C12216">
          <w:rPr>
            <w:rStyle w:val="TextoNormalCaracter"/>
          </w:rPr>
          <w:t>40/2008</w:t>
        </w:r>
      </w:hyperlink>
      <w:r>
        <w:t xml:space="preserve">; </w:t>
      </w:r>
      <w:hyperlink w:anchor="AUTO_2008_45" w:history="1">
        <w:r w:rsidRPr="00C12216">
          <w:rPr>
            <w:rStyle w:val="TextoNormalCaracter"/>
          </w:rPr>
          <w:t>45/2008</w:t>
        </w:r>
      </w:hyperlink>
      <w:r>
        <w:t xml:space="preserve">; </w:t>
      </w:r>
      <w:hyperlink w:anchor="AUTO_2008_49" w:history="1">
        <w:r w:rsidRPr="00C12216">
          <w:rPr>
            <w:rStyle w:val="TextoNormalCaracter"/>
          </w:rPr>
          <w:t>49/2008</w:t>
        </w:r>
      </w:hyperlink>
      <w:r>
        <w:t xml:space="preserve">; </w:t>
      </w:r>
      <w:hyperlink w:anchor="AUTO_2008_59" w:history="1">
        <w:r w:rsidRPr="00C12216">
          <w:rPr>
            <w:rStyle w:val="TextoNormalCaracter"/>
          </w:rPr>
          <w:t>59/2008</w:t>
        </w:r>
      </w:hyperlink>
      <w:r>
        <w:t xml:space="preserve">; </w:t>
      </w:r>
      <w:hyperlink w:anchor="AUTO_2008_61" w:history="1">
        <w:r w:rsidRPr="00C12216">
          <w:rPr>
            <w:rStyle w:val="TextoNormalCaracter"/>
          </w:rPr>
          <w:t>61/2008</w:t>
        </w:r>
      </w:hyperlink>
      <w:r>
        <w:t xml:space="preserve">; </w:t>
      </w:r>
      <w:hyperlink w:anchor="AUTO_2008_67" w:history="1">
        <w:r w:rsidRPr="00C12216">
          <w:rPr>
            <w:rStyle w:val="TextoNormalCaracter"/>
          </w:rPr>
          <w:t>67/2008</w:t>
        </w:r>
      </w:hyperlink>
      <w:r>
        <w:t xml:space="preserve">; </w:t>
      </w:r>
      <w:hyperlink w:anchor="AUTO_2008_83" w:history="1">
        <w:r w:rsidRPr="00C12216">
          <w:rPr>
            <w:rStyle w:val="TextoNormalCaracter"/>
          </w:rPr>
          <w:t>83/2008</w:t>
        </w:r>
      </w:hyperlink>
      <w:r>
        <w:t xml:space="preserve">; </w:t>
      </w:r>
      <w:hyperlink w:anchor="AUTO_2008_109" w:history="1">
        <w:r w:rsidRPr="00C12216">
          <w:rPr>
            <w:rStyle w:val="TextoNormalCaracter"/>
          </w:rPr>
          <w:t>109/2008</w:t>
        </w:r>
      </w:hyperlink>
      <w:r>
        <w:t xml:space="preserve">; </w:t>
      </w:r>
      <w:hyperlink w:anchor="AUTO_2008_111" w:history="1">
        <w:r w:rsidRPr="00C12216">
          <w:rPr>
            <w:rStyle w:val="TextoNormalCaracter"/>
          </w:rPr>
          <w:t>111/2008</w:t>
        </w:r>
      </w:hyperlink>
      <w:r>
        <w:t xml:space="preserve">; </w:t>
      </w:r>
      <w:hyperlink w:anchor="AUTO_2008_118" w:history="1">
        <w:r w:rsidRPr="00C12216">
          <w:rPr>
            <w:rStyle w:val="TextoNormalCaracter"/>
          </w:rPr>
          <w:t>118/2008</w:t>
        </w:r>
      </w:hyperlink>
      <w:r>
        <w:t>.</w:t>
      </w:r>
    </w:p>
    <w:p w:rsidR="00C12216" w:rsidRDefault="00C12216" w:rsidP="00C12216">
      <w:pPr>
        <w:pStyle w:val="SangriaFrancesaArticulo"/>
      </w:pPr>
      <w:r w:rsidRPr="00C12216">
        <w:rPr>
          <w:rStyle w:val="TextoNormalNegritaCaracter"/>
        </w:rPr>
        <w:t>Artículo 117.4.</w:t>
      </w:r>
      <w:r w:rsidRPr="00C12216">
        <w:rPr>
          <w:rStyle w:val="TextoNormalCaracter"/>
        </w:rPr>
        <w:t>-</w:t>
      </w:r>
      <w:r>
        <w:t xml:space="preserve"> Sentencia </w:t>
      </w:r>
      <w:hyperlink w:anchor="SENTENCIA_2008_22" w:history="1">
        <w:r w:rsidRPr="00C12216">
          <w:rPr>
            <w:rStyle w:val="TextoNormalCaracter"/>
          </w:rPr>
          <w:t>22/2008</w:t>
        </w:r>
      </w:hyperlink>
      <w:r>
        <w:t>, f. 8.</w:t>
      </w:r>
    </w:p>
    <w:p w:rsidR="00C12216" w:rsidRDefault="00C12216" w:rsidP="00C12216">
      <w:pPr>
        <w:pStyle w:val="SangriaIzquierdaArticulo"/>
      </w:pPr>
      <w:r>
        <w:t xml:space="preserve">Auto </w:t>
      </w:r>
      <w:hyperlink w:anchor="AUTO_2008_12" w:history="1">
        <w:r w:rsidRPr="00C12216">
          <w:rPr>
            <w:rStyle w:val="TextoNormalCaracter"/>
          </w:rPr>
          <w:t>12/2008</w:t>
        </w:r>
      </w:hyperlink>
      <w:r>
        <w:t>.</w:t>
      </w:r>
    </w:p>
    <w:p w:rsidR="00C12216" w:rsidRDefault="00C12216" w:rsidP="00C12216">
      <w:pPr>
        <w:pStyle w:val="SangriaFrancesaArticulo"/>
      </w:pPr>
      <w:r w:rsidRPr="00C12216">
        <w:rPr>
          <w:rStyle w:val="TextoNormalNegritaCaracter"/>
        </w:rPr>
        <w:t>Artículo 118.</w:t>
      </w:r>
      <w:r w:rsidRPr="00C12216">
        <w:rPr>
          <w:rStyle w:val="TextoNormalCaracter"/>
        </w:rPr>
        <w:t>-</w:t>
      </w:r>
      <w:r>
        <w:t xml:space="preserve"> Sentencia </w:t>
      </w:r>
      <w:hyperlink w:anchor="SENTENCIA_2008_50" w:history="1">
        <w:r w:rsidRPr="00C12216">
          <w:rPr>
            <w:rStyle w:val="TextoNormalCaracter"/>
          </w:rPr>
          <w:t>50/2008</w:t>
        </w:r>
      </w:hyperlink>
      <w:r>
        <w:t>, f. 4.</w:t>
      </w:r>
    </w:p>
    <w:p w:rsidR="00C12216" w:rsidRDefault="00C12216" w:rsidP="00C12216">
      <w:pPr>
        <w:pStyle w:val="SangriaFrancesaArticulo"/>
      </w:pPr>
      <w:r w:rsidRPr="00C12216">
        <w:rPr>
          <w:rStyle w:val="TextoNormalNegritaCaracter"/>
        </w:rPr>
        <w:t>Artículo 119.</w:t>
      </w:r>
      <w:r w:rsidRPr="00C12216">
        <w:rPr>
          <w:rStyle w:val="TextoNormalCaracter"/>
        </w:rPr>
        <w:t>-</w:t>
      </w:r>
      <w:r>
        <w:t xml:space="preserve"> Sentencias </w:t>
      </w:r>
      <w:hyperlink w:anchor="SENTENCIA_2008_9" w:history="1">
        <w:r w:rsidRPr="00C12216">
          <w:rPr>
            <w:rStyle w:val="TextoNormalCaracter"/>
          </w:rPr>
          <w:t>9/2008</w:t>
        </w:r>
      </w:hyperlink>
      <w:r>
        <w:t xml:space="preserve">, passim; </w:t>
      </w:r>
      <w:hyperlink w:anchor="SENTENCIA_2008_10" w:history="1">
        <w:r w:rsidRPr="00C12216">
          <w:rPr>
            <w:rStyle w:val="TextoNormalCaracter"/>
          </w:rPr>
          <w:t>10/2008</w:t>
        </w:r>
      </w:hyperlink>
      <w:r>
        <w:t>, f. 2.</w:t>
      </w:r>
    </w:p>
    <w:p w:rsidR="00C12216" w:rsidRDefault="00C12216" w:rsidP="00C12216">
      <w:pPr>
        <w:pStyle w:val="SangriaFrancesaArticulo"/>
      </w:pPr>
      <w:r w:rsidRPr="00C12216">
        <w:rPr>
          <w:rStyle w:val="TextoNormalNegritaCaracter"/>
        </w:rPr>
        <w:t>Artículo 120.3.</w:t>
      </w:r>
      <w:r w:rsidRPr="00C12216">
        <w:rPr>
          <w:rStyle w:val="TextoNormalCaracter"/>
        </w:rPr>
        <w:t>-</w:t>
      </w:r>
      <w:r>
        <w:t xml:space="preserve"> Sentencia </w:t>
      </w:r>
      <w:hyperlink w:anchor="SENTENCIA_2008_21" w:history="1">
        <w:r w:rsidRPr="00C12216">
          <w:rPr>
            <w:rStyle w:val="TextoNormalCaracter"/>
          </w:rPr>
          <w:t>21/2008</w:t>
        </w:r>
      </w:hyperlink>
      <w:r>
        <w:t>, f. 3.</w:t>
      </w:r>
    </w:p>
    <w:p w:rsidR="00C12216" w:rsidRDefault="00C12216" w:rsidP="00C12216">
      <w:pPr>
        <w:pStyle w:val="SangriaFrancesaArticulo"/>
      </w:pPr>
      <w:r w:rsidRPr="00C12216">
        <w:rPr>
          <w:rStyle w:val="TextoNormalNegritaCaracter"/>
        </w:rPr>
        <w:t>Artículo 122.3.</w:t>
      </w:r>
      <w:r w:rsidRPr="00C12216">
        <w:rPr>
          <w:rStyle w:val="TextoNormalCaracter"/>
        </w:rPr>
        <w:t>-</w:t>
      </w:r>
      <w:r>
        <w:t xml:space="preserve"> Sentencia </w:t>
      </w:r>
      <w:hyperlink w:anchor="SENTENCIA_2008_49" w:history="1">
        <w:r w:rsidRPr="00C12216">
          <w:rPr>
            <w:rStyle w:val="TextoNormalCaracter"/>
          </w:rPr>
          <w:t>49/2008</w:t>
        </w:r>
      </w:hyperlink>
      <w:r>
        <w:t>, f. 14.</w:t>
      </w:r>
    </w:p>
    <w:p w:rsidR="00C12216" w:rsidRDefault="00C12216" w:rsidP="00C12216">
      <w:pPr>
        <w:pStyle w:val="SangriaFrancesaArticulo"/>
      </w:pPr>
      <w:r w:rsidRPr="00C12216">
        <w:rPr>
          <w:rStyle w:val="TextoNormalNegritaCaracter"/>
        </w:rPr>
        <w:t>Artículo 123.</w:t>
      </w:r>
      <w:r w:rsidRPr="00C12216">
        <w:rPr>
          <w:rStyle w:val="TextoNormalCaracter"/>
        </w:rPr>
        <w:t>-</w:t>
      </w:r>
      <w:r>
        <w:t xml:space="preserve"> Sentencia </w:t>
      </w:r>
      <w:hyperlink w:anchor="SENTENCIA_2008_29" w:history="1">
        <w:r w:rsidRPr="00C12216">
          <w:rPr>
            <w:rStyle w:val="TextoNormalCaracter"/>
          </w:rPr>
          <w:t>29/2008</w:t>
        </w:r>
      </w:hyperlink>
      <w:r>
        <w:t>, f. 12.</w:t>
      </w:r>
    </w:p>
    <w:p w:rsidR="00C12216" w:rsidRDefault="00C12216" w:rsidP="00C12216">
      <w:pPr>
        <w:pStyle w:val="SangriaFrancesaArticulo"/>
      </w:pPr>
      <w:r w:rsidRPr="00C12216">
        <w:rPr>
          <w:rStyle w:val="TextoNormalNegritaCaracter"/>
        </w:rPr>
        <w:t>Artículo 124.1.</w:t>
      </w:r>
      <w:r w:rsidRPr="00C12216">
        <w:rPr>
          <w:rStyle w:val="TextoNormalCaracter"/>
        </w:rPr>
        <w:t>-</w:t>
      </w:r>
      <w:r>
        <w:t xml:space="preserve"> Sentencia </w:t>
      </w:r>
      <w:hyperlink w:anchor="SENTENCIA_2008_9" w:history="1">
        <w:r w:rsidRPr="00C12216">
          <w:rPr>
            <w:rStyle w:val="TextoNormalCaracter"/>
          </w:rPr>
          <w:t>9/2008</w:t>
        </w:r>
      </w:hyperlink>
      <w:r>
        <w:t>, f. 3.</w:t>
      </w:r>
    </w:p>
    <w:p w:rsidR="00C12216" w:rsidRDefault="00C12216" w:rsidP="00C12216">
      <w:pPr>
        <w:pStyle w:val="SangriaFrancesaArticulo"/>
      </w:pPr>
      <w:r w:rsidRPr="00C12216">
        <w:rPr>
          <w:rStyle w:val="TextoNormalNegritaCaracter"/>
        </w:rPr>
        <w:t>Artículo 125.</w:t>
      </w:r>
      <w:r w:rsidRPr="00C12216">
        <w:rPr>
          <w:rStyle w:val="TextoNormalCaracter"/>
        </w:rPr>
        <w:t>-</w:t>
      </w:r>
      <w:r>
        <w:t xml:space="preserve"> Sentencia </w:t>
      </w:r>
      <w:hyperlink w:anchor="SENTENCIA_2008_8" w:history="1">
        <w:r w:rsidRPr="00C12216">
          <w:rPr>
            <w:rStyle w:val="TextoNormalCaracter"/>
          </w:rPr>
          <w:t>8/2008</w:t>
        </w:r>
      </w:hyperlink>
      <w:r>
        <w:t>, ff. 2, 3, VP.</w:t>
      </w:r>
    </w:p>
    <w:p w:rsidR="00C12216" w:rsidRDefault="00C12216" w:rsidP="00C12216">
      <w:pPr>
        <w:pStyle w:val="SangriaFrancesaArticulo"/>
      </w:pPr>
      <w:r w:rsidRPr="00C12216">
        <w:rPr>
          <w:rStyle w:val="TextoNormalNegritaCaracter"/>
        </w:rPr>
        <w:t>Artículo 128.</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128.2.</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130.1.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131.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131.1.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133.</w:t>
      </w:r>
      <w:r w:rsidRPr="00C12216">
        <w:rPr>
          <w:rStyle w:val="TextoNormalCaracter"/>
        </w:rPr>
        <w:t>-</w:t>
      </w:r>
      <w:r>
        <w:t xml:space="preserve"> Sentencia </w:t>
      </w:r>
      <w:hyperlink w:anchor="SENTENCIA_2008_31" w:history="1">
        <w:r w:rsidRPr="00C12216">
          <w:rPr>
            <w:rStyle w:val="TextoNormalCaracter"/>
          </w:rPr>
          <w:t>31/2008</w:t>
        </w:r>
      </w:hyperlink>
      <w:r>
        <w:t>, f. 3.</w:t>
      </w:r>
    </w:p>
    <w:p w:rsidR="00C12216" w:rsidRDefault="00C12216" w:rsidP="00C12216">
      <w:pPr>
        <w:pStyle w:val="SangriaFrancesaArticulo"/>
      </w:pPr>
      <w:r w:rsidRPr="00C12216">
        <w:rPr>
          <w:rStyle w:val="TextoNormalNegritaCaracter"/>
        </w:rPr>
        <w:t>Artículo 138.1.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147.2 c).</w:t>
      </w:r>
      <w:r w:rsidRPr="00C12216">
        <w:rPr>
          <w:rStyle w:val="TextoNormalCaracter"/>
        </w:rPr>
        <w:t>-</w:t>
      </w:r>
      <w:r>
        <w:t xml:space="preserve"> Sentencia </w:t>
      </w:r>
      <w:hyperlink w:anchor="SENTENCIA_2008_49" w:history="1">
        <w:r w:rsidRPr="00C12216">
          <w:rPr>
            <w:rStyle w:val="TextoNormalCaracter"/>
          </w:rPr>
          <w:t>49/2008</w:t>
        </w:r>
      </w:hyperlink>
      <w:r>
        <w:t>, f. 17.</w:t>
      </w:r>
    </w:p>
    <w:p w:rsidR="00C12216" w:rsidRDefault="00C12216" w:rsidP="00C12216">
      <w:pPr>
        <w:pStyle w:val="SangriaFrancesaArticulo"/>
      </w:pPr>
      <w:r w:rsidRPr="00C12216">
        <w:rPr>
          <w:rStyle w:val="TextoNormalNegritaCaracter"/>
        </w:rPr>
        <w:t>Artículo 149.1.6.</w:t>
      </w:r>
      <w:r w:rsidRPr="00C12216">
        <w:rPr>
          <w:rStyle w:val="TextoNormalCaracter"/>
        </w:rPr>
        <w:t>-</w:t>
      </w:r>
      <w:r>
        <w:t xml:space="preserve"> Sentencia </w:t>
      </w:r>
      <w:hyperlink w:anchor="SENTENCIA_2008_8" w:history="1">
        <w:r w:rsidRPr="00C12216">
          <w:rPr>
            <w:rStyle w:val="TextoNormalCaracter"/>
          </w:rPr>
          <w:t>8/2008</w:t>
        </w:r>
      </w:hyperlink>
      <w:r>
        <w:t>, VP.</w:t>
      </w:r>
    </w:p>
    <w:p w:rsidR="00C12216" w:rsidRDefault="00C12216" w:rsidP="00C12216">
      <w:pPr>
        <w:pStyle w:val="SangriaFrancesaArticulo"/>
      </w:pPr>
      <w:r w:rsidRPr="00C12216">
        <w:rPr>
          <w:rStyle w:val="TextoNormalNegritaCaracter"/>
        </w:rPr>
        <w:t>Artículo 149.1.14.</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149.1.16.</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Artículo 152.1.</w:t>
      </w:r>
      <w:r w:rsidRPr="00C12216">
        <w:rPr>
          <w:rStyle w:val="TextoNormalCaracter"/>
        </w:rPr>
        <w:t>-</w:t>
      </w:r>
      <w:r>
        <w:t xml:space="preserve"> Sentencia </w:t>
      </w:r>
      <w:hyperlink w:anchor="SENTENCIA_2008_49" w:history="1">
        <w:r w:rsidRPr="00C12216">
          <w:rPr>
            <w:rStyle w:val="TextoNormalCaracter"/>
          </w:rPr>
          <w:t>49/2008</w:t>
        </w:r>
      </w:hyperlink>
      <w:r>
        <w:t>, f. 17.</w:t>
      </w:r>
    </w:p>
    <w:p w:rsidR="00C12216" w:rsidRDefault="00C12216" w:rsidP="00C12216">
      <w:pPr>
        <w:pStyle w:val="SangriaFrancesaArticulo"/>
      </w:pPr>
      <w:r w:rsidRPr="00C12216">
        <w:rPr>
          <w:rStyle w:val="TextoNormalNegritaCaracter"/>
        </w:rPr>
        <w:t>Artículo 157.2.</w:t>
      </w:r>
      <w:r w:rsidRPr="00C12216">
        <w:rPr>
          <w:rStyle w:val="TextoNormalCaracter"/>
        </w:rPr>
        <w:t>-</w:t>
      </w:r>
      <w:r>
        <w:t xml:space="preserve"> Autos </w:t>
      </w:r>
      <w:hyperlink w:anchor="AUTO_2008_8" w:history="1">
        <w:r w:rsidRPr="00C12216">
          <w:rPr>
            <w:rStyle w:val="TextoNormalCaracter"/>
          </w:rPr>
          <w:t>8/2008</w:t>
        </w:r>
      </w:hyperlink>
      <w:r>
        <w:t xml:space="preserve">; </w:t>
      </w:r>
      <w:hyperlink w:anchor="AUTO_2008_51" w:history="1">
        <w:r w:rsidRPr="00C12216">
          <w:rPr>
            <w:rStyle w:val="TextoNormalCaracter"/>
          </w:rPr>
          <w:t>51/2008</w:t>
        </w:r>
      </w:hyperlink>
      <w:r>
        <w:t>.</w:t>
      </w:r>
    </w:p>
    <w:p w:rsidR="00C12216" w:rsidRDefault="00C12216" w:rsidP="00C12216">
      <w:pPr>
        <w:pStyle w:val="SangriaFrancesaArticulo"/>
      </w:pPr>
      <w:r w:rsidRPr="00C12216">
        <w:rPr>
          <w:rStyle w:val="TextoNormalNegritaCaracter"/>
        </w:rPr>
        <w:t>Artículo 159.</w:t>
      </w:r>
      <w:r w:rsidRPr="00C12216">
        <w:rPr>
          <w:rStyle w:val="TextoNormalCaracter"/>
        </w:rPr>
        <w:t>-</w:t>
      </w:r>
      <w:r>
        <w:t xml:space="preserve"> Sentencia </w:t>
      </w:r>
      <w:hyperlink w:anchor="SENTENCIA_2008_49" w:history="1">
        <w:r w:rsidRPr="00C12216">
          <w:rPr>
            <w:rStyle w:val="TextoNormalCaracter"/>
          </w:rPr>
          <w:t>49/2008</w:t>
        </w:r>
      </w:hyperlink>
      <w:r>
        <w:t>, VP I, VP III.</w:t>
      </w:r>
    </w:p>
    <w:p w:rsidR="00C12216" w:rsidRDefault="00C12216" w:rsidP="00C12216">
      <w:pPr>
        <w:pStyle w:val="SangriaIzquierdaArticulo"/>
      </w:pPr>
      <w:r>
        <w:t xml:space="preserve">Auto </w:t>
      </w:r>
      <w:hyperlink w:anchor="AUTO_2008_20" w:history="1">
        <w:r w:rsidRPr="00C12216">
          <w:rPr>
            <w:rStyle w:val="TextoNormalCaracter"/>
          </w:rPr>
          <w:t>20/2008</w:t>
        </w:r>
      </w:hyperlink>
      <w:r>
        <w:t>.</w:t>
      </w:r>
    </w:p>
    <w:p w:rsidR="00C12216" w:rsidRDefault="00C12216" w:rsidP="00C12216">
      <w:pPr>
        <w:pStyle w:val="SangriaFrancesaArticulo"/>
      </w:pPr>
      <w:r w:rsidRPr="00C12216">
        <w:rPr>
          <w:rStyle w:val="TextoNormalNegritaCaracter"/>
        </w:rPr>
        <w:t>Artículo 159.1.</w:t>
      </w:r>
      <w:r w:rsidRPr="00C12216">
        <w:rPr>
          <w:rStyle w:val="TextoNormalCaracter"/>
        </w:rPr>
        <w:t>-</w:t>
      </w:r>
      <w:r>
        <w:t xml:space="preserve"> Sentencia </w:t>
      </w:r>
      <w:hyperlink w:anchor="SENTENCIA_2008_49" w:history="1">
        <w:r w:rsidRPr="00C12216">
          <w:rPr>
            <w:rStyle w:val="TextoNormalCaracter"/>
          </w:rPr>
          <w:t>49/2008</w:t>
        </w:r>
      </w:hyperlink>
      <w:r>
        <w:t>, ff. 1, 6 a 8, 10, 13, 15, 19, VP I, VP II, VP III.</w:t>
      </w:r>
    </w:p>
    <w:p w:rsidR="00C12216" w:rsidRDefault="00C12216" w:rsidP="00C12216">
      <w:pPr>
        <w:pStyle w:val="SangriaFrancesaArticulo"/>
      </w:pPr>
      <w:r w:rsidRPr="00C12216">
        <w:rPr>
          <w:rStyle w:val="TextoNormalNegritaCaracter"/>
        </w:rPr>
        <w:t>Artículo 159.2.</w:t>
      </w:r>
      <w:r w:rsidRPr="00C12216">
        <w:rPr>
          <w:rStyle w:val="TextoNormalCaracter"/>
        </w:rPr>
        <w:t>-</w:t>
      </w:r>
      <w:r>
        <w:t xml:space="preserve"> Sentencia </w:t>
      </w:r>
      <w:hyperlink w:anchor="SENTENCIA_2008_49" w:history="1">
        <w:r w:rsidRPr="00C12216">
          <w:rPr>
            <w:rStyle w:val="TextoNormalCaracter"/>
          </w:rPr>
          <w:t>49/2008</w:t>
        </w:r>
      </w:hyperlink>
      <w:r>
        <w:t>, f. 7, VP I, VP II, VP III.</w:t>
      </w:r>
    </w:p>
    <w:p w:rsidR="00C12216" w:rsidRDefault="00C12216" w:rsidP="00C12216">
      <w:pPr>
        <w:pStyle w:val="SangriaIzquierdaArticulo"/>
      </w:pPr>
      <w:r>
        <w:t xml:space="preserve">Auto </w:t>
      </w:r>
      <w:hyperlink w:anchor="AUTO_2008_20" w:history="1">
        <w:r w:rsidRPr="00C12216">
          <w:rPr>
            <w:rStyle w:val="TextoNormalCaracter"/>
          </w:rPr>
          <w:t>20/2008</w:t>
        </w:r>
      </w:hyperlink>
      <w:r>
        <w:t>.</w:t>
      </w:r>
    </w:p>
    <w:p w:rsidR="00C12216" w:rsidRDefault="00C12216" w:rsidP="00C12216">
      <w:pPr>
        <w:pStyle w:val="SangriaFrancesaArticulo"/>
      </w:pPr>
      <w:r w:rsidRPr="00C12216">
        <w:rPr>
          <w:rStyle w:val="TextoNormalNegritaCaracter"/>
        </w:rPr>
        <w:t>Artículo 159.3.</w:t>
      </w:r>
      <w:r w:rsidRPr="00C12216">
        <w:rPr>
          <w:rStyle w:val="TextoNormalCaracter"/>
        </w:rPr>
        <w:t>-</w:t>
      </w:r>
      <w:r>
        <w:t xml:space="preserve"> Sentencia </w:t>
      </w:r>
      <w:hyperlink w:anchor="SENTENCIA_2008_49" w:history="1">
        <w:r w:rsidRPr="00C12216">
          <w:rPr>
            <w:rStyle w:val="TextoNormalCaracter"/>
          </w:rPr>
          <w:t>49/2008</w:t>
        </w:r>
      </w:hyperlink>
      <w:r>
        <w:t>, ff. 7, 9, 20, 21, VP I, VP III.</w:t>
      </w:r>
    </w:p>
    <w:p w:rsidR="00C12216" w:rsidRDefault="00C12216" w:rsidP="00C12216">
      <w:pPr>
        <w:pStyle w:val="SangriaFrancesaArticulo"/>
      </w:pPr>
      <w:r w:rsidRPr="00C12216">
        <w:rPr>
          <w:rStyle w:val="TextoNormalNegritaCaracter"/>
        </w:rPr>
        <w:t>Artículo 159.4.</w:t>
      </w:r>
      <w:r w:rsidRPr="00C12216">
        <w:rPr>
          <w:rStyle w:val="TextoNormalCaracter"/>
        </w:rPr>
        <w:t>-</w:t>
      </w:r>
      <w:r>
        <w:t xml:space="preserve"> Sentencia </w:t>
      </w:r>
      <w:hyperlink w:anchor="SENTENCIA_2008_49" w:history="1">
        <w:r w:rsidRPr="00C12216">
          <w:rPr>
            <w:rStyle w:val="TextoNormalCaracter"/>
          </w:rPr>
          <w:t>49/2008</w:t>
        </w:r>
      </w:hyperlink>
      <w:r>
        <w:t>, f. 7.</w:t>
      </w:r>
    </w:p>
    <w:p w:rsidR="00C12216" w:rsidRDefault="00C12216" w:rsidP="00C12216">
      <w:pPr>
        <w:pStyle w:val="SangriaFrancesaArticulo"/>
      </w:pPr>
      <w:r w:rsidRPr="00C12216">
        <w:rPr>
          <w:rStyle w:val="TextoNormalNegritaCaracter"/>
        </w:rPr>
        <w:t>Artículo 159.5.</w:t>
      </w:r>
      <w:r w:rsidRPr="00C12216">
        <w:rPr>
          <w:rStyle w:val="TextoNormalCaracter"/>
        </w:rPr>
        <w:t>-</w:t>
      </w:r>
      <w:r>
        <w:t xml:space="preserve"> Sentencia </w:t>
      </w:r>
      <w:hyperlink w:anchor="SENTENCIA_2008_49" w:history="1">
        <w:r w:rsidRPr="00C12216">
          <w:rPr>
            <w:rStyle w:val="TextoNormalCaracter"/>
          </w:rPr>
          <w:t>49/2008</w:t>
        </w:r>
      </w:hyperlink>
      <w:r>
        <w:t>, f. 7.</w:t>
      </w:r>
    </w:p>
    <w:p w:rsidR="00C12216" w:rsidRDefault="00C12216" w:rsidP="00C12216">
      <w:pPr>
        <w:pStyle w:val="SangriaFrancesaArticulo"/>
      </w:pPr>
      <w:r w:rsidRPr="00C12216">
        <w:rPr>
          <w:rStyle w:val="TextoNormalNegritaCaracter"/>
        </w:rPr>
        <w:t>Artículo 160.</w:t>
      </w:r>
      <w:r w:rsidRPr="00C12216">
        <w:rPr>
          <w:rStyle w:val="TextoNormalCaracter"/>
        </w:rPr>
        <w:t>-</w:t>
      </w:r>
      <w:r>
        <w:t xml:space="preserve"> Sentencia </w:t>
      </w:r>
      <w:hyperlink w:anchor="SENTENCIA_2008_49" w:history="1">
        <w:r w:rsidRPr="00C12216">
          <w:rPr>
            <w:rStyle w:val="TextoNormalCaracter"/>
          </w:rPr>
          <w:t>49/2008</w:t>
        </w:r>
      </w:hyperlink>
      <w:r>
        <w:t>, ff. 1, 18 a 21, VP I, VP II, VP III.</w:t>
      </w:r>
    </w:p>
    <w:p w:rsidR="00C12216" w:rsidRDefault="00C12216" w:rsidP="00C12216">
      <w:pPr>
        <w:pStyle w:val="SangriaIzquierdaArticulo"/>
      </w:pPr>
      <w:r>
        <w:t xml:space="preserve">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161.1 a).</w:t>
      </w:r>
      <w:r w:rsidRPr="00C12216">
        <w:rPr>
          <w:rStyle w:val="TextoNormalCaracter"/>
        </w:rPr>
        <w:t>-</w:t>
      </w:r>
      <w:r>
        <w:t xml:space="preserve"> Sentencias </w:t>
      </w:r>
      <w:hyperlink w:anchor="SENTENCIA_2008_46" w:history="1">
        <w:r w:rsidRPr="00C12216">
          <w:rPr>
            <w:rStyle w:val="TextoNormalCaracter"/>
          </w:rPr>
          <w:t>46/2008</w:t>
        </w:r>
      </w:hyperlink>
      <w:r>
        <w:t xml:space="preserve">, f. 2; </w:t>
      </w:r>
      <w:hyperlink w:anchor="SENTENCIA_2008_49" w:history="1">
        <w:r w:rsidRPr="00C12216">
          <w:rPr>
            <w:rStyle w:val="TextoNormalCaracter"/>
          </w:rPr>
          <w:t>49/2008</w:t>
        </w:r>
      </w:hyperlink>
      <w:r>
        <w:t>, f. 3.</w:t>
      </w:r>
    </w:p>
    <w:p w:rsidR="00C12216" w:rsidRDefault="00C12216" w:rsidP="00C12216">
      <w:pPr>
        <w:pStyle w:val="SangriaFrancesaArticulo"/>
      </w:pPr>
      <w:r w:rsidRPr="00C12216">
        <w:rPr>
          <w:rStyle w:val="TextoNormalNegritaCaracter"/>
        </w:rPr>
        <w:t>Artículo 161.1 b).</w:t>
      </w:r>
      <w:r w:rsidRPr="00C12216">
        <w:rPr>
          <w:rStyle w:val="TextoNormalCaracter"/>
        </w:rPr>
        <w:t>-</w:t>
      </w:r>
      <w:r>
        <w:t xml:space="preserve"> Sentencia </w:t>
      </w:r>
      <w:hyperlink w:anchor="SENTENCIA_2008_29" w:history="1">
        <w:r w:rsidRPr="00C12216">
          <w:rPr>
            <w:rStyle w:val="TextoNormalCaracter"/>
          </w:rPr>
          <w:t>29/2008</w:t>
        </w:r>
      </w:hyperlink>
      <w:r>
        <w:t>, f. 8.</w:t>
      </w:r>
    </w:p>
    <w:p w:rsidR="00C12216" w:rsidRDefault="00C12216" w:rsidP="00C12216">
      <w:pPr>
        <w:pStyle w:val="SangriaFrancesaArticulo"/>
      </w:pPr>
      <w:r w:rsidRPr="00C12216">
        <w:rPr>
          <w:rStyle w:val="TextoNormalNegritaCaracter"/>
        </w:rPr>
        <w:t>Artículo 161.1 c).</w:t>
      </w:r>
      <w:r w:rsidRPr="00C12216">
        <w:rPr>
          <w:rStyle w:val="TextoNormalCaracter"/>
        </w:rPr>
        <w:t>-</w:t>
      </w:r>
      <w:r>
        <w:t xml:space="preserve"> Sentencia </w:t>
      </w:r>
      <w:hyperlink w:anchor="SENTENCIA_2008_49" w:history="1">
        <w:r w:rsidRPr="00C12216">
          <w:rPr>
            <w:rStyle w:val="TextoNormalCaracter"/>
          </w:rPr>
          <w:t>49/2008</w:t>
        </w:r>
      </w:hyperlink>
      <w:r>
        <w:t>, f. 13.</w:t>
      </w:r>
    </w:p>
    <w:p w:rsidR="00C12216" w:rsidRDefault="00C12216" w:rsidP="00C12216">
      <w:pPr>
        <w:pStyle w:val="SangriaFrancesaArticulo"/>
      </w:pPr>
      <w:r w:rsidRPr="00C12216">
        <w:rPr>
          <w:rStyle w:val="TextoNormalNegritaCaracter"/>
        </w:rPr>
        <w:t>Artículo 161.1 d).</w:t>
      </w:r>
      <w:r w:rsidRPr="00C12216">
        <w:rPr>
          <w:rStyle w:val="TextoNormalCaracter"/>
        </w:rPr>
        <w:t>-</w:t>
      </w:r>
      <w:r>
        <w:t xml:space="preserve"> Sentencia </w:t>
      </w:r>
      <w:hyperlink w:anchor="SENTENCIA_2008_49" w:history="1">
        <w:r w:rsidRPr="00C12216">
          <w:rPr>
            <w:rStyle w:val="TextoNormalCaracter"/>
          </w:rPr>
          <w:t>49/2008</w:t>
        </w:r>
      </w:hyperlink>
      <w:r>
        <w:t>, ff. 2, 3, 16.</w:t>
      </w:r>
    </w:p>
    <w:p w:rsidR="00C12216" w:rsidRDefault="00C12216" w:rsidP="00C12216">
      <w:pPr>
        <w:pStyle w:val="SangriaFrancesaArticulo"/>
      </w:pPr>
      <w:r w:rsidRPr="00C12216">
        <w:rPr>
          <w:rStyle w:val="TextoNormalNegritaCaracter"/>
        </w:rPr>
        <w:t>Artículo 161.2.</w:t>
      </w:r>
      <w:r w:rsidRPr="00C12216">
        <w:rPr>
          <w:rStyle w:val="TextoNormalCaracter"/>
        </w:rPr>
        <w:t>-</w:t>
      </w:r>
      <w:r>
        <w:t xml:space="preserve"> Autos </w:t>
      </w:r>
      <w:hyperlink w:anchor="AUTO_2008_80" w:history="1">
        <w:r w:rsidRPr="00C12216">
          <w:rPr>
            <w:rStyle w:val="TextoNormalCaracter"/>
          </w:rPr>
          <w:t>80/2008</w:t>
        </w:r>
      </w:hyperlink>
      <w:r>
        <w:t xml:space="preserve">; </w:t>
      </w:r>
      <w:hyperlink w:anchor="AUTO_2008_88" w:history="1">
        <w:r w:rsidRPr="00C12216">
          <w:rPr>
            <w:rStyle w:val="TextoNormalCaracter"/>
          </w:rPr>
          <w:t>88/2008</w:t>
        </w:r>
      </w:hyperlink>
      <w:r>
        <w:t>.</w:t>
      </w:r>
    </w:p>
    <w:p w:rsidR="00C12216" w:rsidRDefault="00C12216" w:rsidP="00C12216">
      <w:pPr>
        <w:pStyle w:val="SangriaFrancesaArticulo"/>
      </w:pPr>
      <w:r w:rsidRPr="00C12216">
        <w:rPr>
          <w:rStyle w:val="TextoNormalNegritaCaracter"/>
        </w:rPr>
        <w:t>Artículo 162.1 b).</w:t>
      </w:r>
      <w:r w:rsidRPr="00C12216">
        <w:rPr>
          <w:rStyle w:val="TextoNormalCaracter"/>
        </w:rPr>
        <w:t>-</w:t>
      </w:r>
      <w:r>
        <w:t xml:space="preserve"> Sentencia </w:t>
      </w:r>
      <w:hyperlink w:anchor="SENTENCIA_2008_53" w:history="1">
        <w:r w:rsidRPr="00C12216">
          <w:rPr>
            <w:rStyle w:val="TextoNormalCaracter"/>
          </w:rPr>
          <w:t>53/2008</w:t>
        </w:r>
      </w:hyperlink>
      <w:r>
        <w:t>, f. único.</w:t>
      </w:r>
    </w:p>
    <w:p w:rsidR="00C12216" w:rsidRDefault="00C12216" w:rsidP="00C12216">
      <w:pPr>
        <w:pStyle w:val="SangriaFrancesaArticulo"/>
      </w:pPr>
      <w:r w:rsidRPr="00C12216">
        <w:rPr>
          <w:rStyle w:val="TextoNormalNegritaCaracter"/>
        </w:rPr>
        <w:t>Artículo 162.2.</w:t>
      </w:r>
      <w:r w:rsidRPr="00C12216">
        <w:rPr>
          <w:rStyle w:val="TextoNormalCaracter"/>
        </w:rPr>
        <w:t>-</w:t>
      </w:r>
      <w:r>
        <w:t xml:space="preserve"> Sentencia </w:t>
      </w:r>
      <w:hyperlink w:anchor="SENTENCIA_2008_49" w:history="1">
        <w:r w:rsidRPr="00C12216">
          <w:rPr>
            <w:rStyle w:val="TextoNormalCaracter"/>
          </w:rPr>
          <w:t>49/2008</w:t>
        </w:r>
      </w:hyperlink>
      <w:r>
        <w:t>, f. 3.</w:t>
      </w:r>
    </w:p>
    <w:p w:rsidR="00C12216" w:rsidRDefault="00C12216" w:rsidP="00C12216">
      <w:pPr>
        <w:pStyle w:val="SangriaFrancesaArticulo"/>
      </w:pPr>
      <w:r w:rsidRPr="00C12216">
        <w:rPr>
          <w:rStyle w:val="TextoNormalNegritaCaracter"/>
        </w:rPr>
        <w:t>Artículo 163.</w:t>
      </w:r>
      <w:r w:rsidRPr="00C12216">
        <w:rPr>
          <w:rStyle w:val="TextoNormalCaracter"/>
        </w:rPr>
        <w:t>-</w:t>
      </w:r>
      <w:r>
        <w:t xml:space="preserve"> Autos </w:t>
      </w:r>
      <w:hyperlink w:anchor="AUTO_2008_8" w:history="1">
        <w:r w:rsidRPr="00C12216">
          <w:rPr>
            <w:rStyle w:val="TextoNormalCaracter"/>
          </w:rPr>
          <w:t>8/2008</w:t>
        </w:r>
      </w:hyperlink>
      <w:r>
        <w:t xml:space="preserve">; </w:t>
      </w:r>
      <w:hyperlink w:anchor="AUTO_2008_12" w:history="1">
        <w:r w:rsidRPr="00C12216">
          <w:rPr>
            <w:rStyle w:val="TextoNormalCaracter"/>
          </w:rPr>
          <w:t>12/2008</w:t>
        </w:r>
      </w:hyperlink>
      <w:r>
        <w:t xml:space="preserve">; </w:t>
      </w:r>
      <w:hyperlink w:anchor="AUTO_2008_82" w:history="1">
        <w:r w:rsidRPr="00C12216">
          <w:rPr>
            <w:rStyle w:val="TextoNormalCaracter"/>
          </w:rPr>
          <w:t>82/2008</w:t>
        </w:r>
      </w:hyperlink>
      <w:r>
        <w:t>.</w:t>
      </w:r>
    </w:p>
    <w:p w:rsidR="00C12216" w:rsidRDefault="00C12216" w:rsidP="00C12216">
      <w:pPr>
        <w:pStyle w:val="SangriaFrancesaArticulo"/>
      </w:pPr>
      <w:r w:rsidRPr="00C12216">
        <w:rPr>
          <w:rStyle w:val="TextoNormalNegritaCaracter"/>
        </w:rPr>
        <w:lastRenderedPageBreak/>
        <w:t>Artículo 164.1.</w:t>
      </w:r>
      <w:r w:rsidRPr="00C12216">
        <w:rPr>
          <w:rStyle w:val="TextoNormalCaracter"/>
        </w:rPr>
        <w:t>-</w:t>
      </w:r>
      <w:r>
        <w:t xml:space="preserve"> Sentencia </w:t>
      </w:r>
      <w:hyperlink w:anchor="SENTENCIA_2008_40" w:history="1">
        <w:r w:rsidRPr="00C12216">
          <w:rPr>
            <w:rStyle w:val="TextoNormalCaracter"/>
          </w:rPr>
          <w:t>40/2008</w:t>
        </w:r>
      </w:hyperlink>
      <w:r>
        <w:t>, f. 3.</w:t>
      </w:r>
    </w:p>
    <w:p w:rsidR="00C12216" w:rsidRDefault="00C12216" w:rsidP="00C12216">
      <w:pPr>
        <w:pStyle w:val="SangriaFrancesaArticulo"/>
      </w:pPr>
      <w:r w:rsidRPr="00C12216">
        <w:rPr>
          <w:rStyle w:val="TextoNormalNegritaCaracter"/>
        </w:rPr>
        <w:t>Artículo 165.</w:t>
      </w:r>
      <w:r w:rsidRPr="00C12216">
        <w:rPr>
          <w:rStyle w:val="TextoNormalCaracter"/>
        </w:rPr>
        <w:t>-</w:t>
      </w:r>
      <w:r>
        <w:t xml:space="preserve"> Sentencias </w:t>
      </w:r>
      <w:hyperlink w:anchor="SENTENCIA_2008_29" w:history="1">
        <w:r w:rsidRPr="00C12216">
          <w:rPr>
            <w:rStyle w:val="TextoNormalCaracter"/>
          </w:rPr>
          <w:t>29/2008</w:t>
        </w:r>
      </w:hyperlink>
      <w:r>
        <w:t xml:space="preserve">, f. 8; </w:t>
      </w:r>
      <w:hyperlink w:anchor="SENTENCIA_2008_49" w:history="1">
        <w:r w:rsidRPr="00C12216">
          <w:rPr>
            <w:rStyle w:val="TextoNormalCaracter"/>
          </w:rPr>
          <w:t>49/2008</w:t>
        </w:r>
      </w:hyperlink>
      <w:r>
        <w:t>, ff. 1, 3, 4, 6, 15, 16, VP I, VP II.</w:t>
      </w:r>
    </w:p>
    <w:p w:rsidR="00C12216" w:rsidRDefault="00C12216" w:rsidP="00C12216">
      <w:pPr>
        <w:pStyle w:val="SangriaIzquierdaArticulo"/>
      </w:pPr>
      <w:r>
        <w:t xml:space="preserve">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Disposición transitoria novena.</w:t>
      </w:r>
      <w:r w:rsidRPr="00C12216">
        <w:rPr>
          <w:rStyle w:val="TextoNormalCaracter"/>
        </w:rPr>
        <w:t>-</w:t>
      </w:r>
      <w:r>
        <w:t xml:space="preserve"> Sentencia </w:t>
      </w:r>
      <w:hyperlink w:anchor="SENTENCIA_2008_49" w:history="1">
        <w:r w:rsidRPr="00C12216">
          <w:rPr>
            <w:rStyle w:val="TextoNormalCaracter"/>
          </w:rPr>
          <w:t>49/2008</w:t>
        </w:r>
      </w:hyperlink>
      <w:r>
        <w:t>, f. 21.</w:t>
      </w:r>
    </w:p>
    <w:p w:rsidR="00C12216" w:rsidRDefault="00C12216" w:rsidP="00C12216">
      <w:pPr>
        <w:pStyle w:val="TextoNormal"/>
      </w:pPr>
    </w:p>
    <w:p w:rsidR="00C12216" w:rsidRDefault="00C12216" w:rsidP="00C12216">
      <w:pPr>
        <w:pStyle w:val="SangriaFrancesaArticulo"/>
      </w:pPr>
      <w:bookmarkStart w:id="183" w:name="INDICE22843"/>
    </w:p>
    <w:bookmarkEnd w:id="183"/>
    <w:p w:rsidR="00C12216" w:rsidRDefault="00C12216" w:rsidP="00C12216">
      <w:pPr>
        <w:pStyle w:val="TextoIndiceNivel2"/>
        <w:suppressAutoHyphens/>
      </w:pPr>
      <w:r>
        <w:t>B) Tribunal Constitucional</w:t>
      </w:r>
    </w:p>
    <w:p w:rsidR="00C12216" w:rsidRDefault="00C12216" w:rsidP="00C12216">
      <w:pPr>
        <w:pStyle w:val="TextoIndiceNivel2"/>
      </w:pPr>
    </w:p>
    <w:p w:rsidR="00C12216" w:rsidRDefault="00C12216" w:rsidP="00C12216">
      <w:pPr>
        <w:pStyle w:val="TextoNormalNegritaCursivandice"/>
      </w:pPr>
      <w:r>
        <w:t>Ley Orgánica 2/1979, de 3 de octubre. Tribunal Constitucional</w:t>
      </w:r>
    </w:p>
    <w:p w:rsidR="00C12216" w:rsidRDefault="00C12216" w:rsidP="00C12216">
      <w:pPr>
        <w:pStyle w:val="SangriaFrancesaArticulo"/>
      </w:pPr>
      <w:r w:rsidRPr="00C12216">
        <w:rPr>
          <w:rStyle w:val="TextoNormalNegritaCaracter"/>
        </w:rPr>
        <w:t>Artículo 1.</w:t>
      </w:r>
      <w:r w:rsidRPr="00C12216">
        <w:rPr>
          <w:rStyle w:val="TextoNormalCaracter"/>
        </w:rPr>
        <w:t>-</w:t>
      </w:r>
      <w:r>
        <w:t xml:space="preserve"> Sentencia </w:t>
      </w:r>
      <w:hyperlink w:anchor="SENTENCIA_2008_29" w:history="1">
        <w:r w:rsidRPr="00C12216">
          <w:rPr>
            <w:rStyle w:val="TextoNormalCaracter"/>
          </w:rPr>
          <w:t>29/2008</w:t>
        </w:r>
      </w:hyperlink>
      <w:r>
        <w:t>, f. 8.</w:t>
      </w:r>
    </w:p>
    <w:p w:rsidR="00C12216" w:rsidRDefault="00C12216" w:rsidP="00C12216">
      <w:pPr>
        <w:pStyle w:val="SangriaFrancesaArticulo"/>
      </w:pPr>
      <w:r w:rsidRPr="00C12216">
        <w:rPr>
          <w:rStyle w:val="TextoNormalNegritaCaracter"/>
        </w:rPr>
        <w:t>Artículo 1.1.</w:t>
      </w:r>
      <w:r w:rsidRPr="00C12216">
        <w:rPr>
          <w:rStyle w:val="TextoNormalCaracter"/>
        </w:rPr>
        <w:t>-</w:t>
      </w:r>
      <w:r>
        <w:t xml:space="preserve"> Sentencia </w:t>
      </w:r>
      <w:hyperlink w:anchor="SENTENCIA_2008_49" w:history="1">
        <w:r w:rsidRPr="00C12216">
          <w:rPr>
            <w:rStyle w:val="TextoNormalCaracter"/>
          </w:rPr>
          <w:t>49/2008</w:t>
        </w:r>
      </w:hyperlink>
      <w:r>
        <w:t>, ff. 2, 3.</w:t>
      </w:r>
    </w:p>
    <w:p w:rsidR="00C12216" w:rsidRDefault="00C12216" w:rsidP="00C12216">
      <w:pPr>
        <w:pStyle w:val="SangriaFrancesaArticulo"/>
      </w:pPr>
      <w:r w:rsidRPr="00C12216">
        <w:rPr>
          <w:rStyle w:val="TextoNormalNegritaCaracter"/>
        </w:rPr>
        <w:t>Artículo 2.1 b).</w:t>
      </w:r>
      <w:r w:rsidRPr="00C12216">
        <w:rPr>
          <w:rStyle w:val="TextoNormalCaracter"/>
        </w:rPr>
        <w:t>-</w:t>
      </w:r>
      <w:r>
        <w:t xml:space="preserve"> Sentencia </w:t>
      </w:r>
      <w:hyperlink w:anchor="SENTENCIA_2008_29" w:history="1">
        <w:r w:rsidRPr="00C12216">
          <w:rPr>
            <w:rStyle w:val="TextoNormalCaracter"/>
          </w:rPr>
          <w:t>29/2008</w:t>
        </w:r>
      </w:hyperlink>
      <w:r>
        <w:t>, f. 8.</w:t>
      </w:r>
    </w:p>
    <w:p w:rsidR="00C12216" w:rsidRDefault="00C12216" w:rsidP="00C12216">
      <w:pPr>
        <w:pStyle w:val="SangriaFrancesaArticulo"/>
      </w:pPr>
      <w:r w:rsidRPr="00C12216">
        <w:rPr>
          <w:rStyle w:val="TextoNormalNegritaCaracter"/>
        </w:rPr>
        <w:t>Artículo 6.2.</w:t>
      </w:r>
      <w:r w:rsidRPr="00C12216">
        <w:rPr>
          <w:rStyle w:val="TextoNormalCaracter"/>
        </w:rPr>
        <w:t>-</w:t>
      </w:r>
      <w:r>
        <w:t xml:space="preserve"> Sentencia </w:t>
      </w:r>
      <w:hyperlink w:anchor="SENTENCIA_2008_49" w:history="1">
        <w:r w:rsidRPr="00C12216">
          <w:rPr>
            <w:rStyle w:val="TextoNormalCaracter"/>
          </w:rPr>
          <w:t>49/2008</w:t>
        </w:r>
      </w:hyperlink>
      <w:r>
        <w:t>, f. 18.</w:t>
      </w:r>
    </w:p>
    <w:p w:rsidR="00C12216" w:rsidRDefault="00C12216" w:rsidP="00C12216">
      <w:pPr>
        <w:pStyle w:val="SangriaFrancesaArticulo"/>
      </w:pPr>
      <w:r w:rsidRPr="00C12216">
        <w:rPr>
          <w:rStyle w:val="TextoNormalNegritaCaracter"/>
        </w:rPr>
        <w:t>Artículo 7.2.</w:t>
      </w:r>
      <w:r w:rsidRPr="00C12216">
        <w:rPr>
          <w:rStyle w:val="TextoNormalCaracter"/>
        </w:rPr>
        <w:t>-</w:t>
      </w:r>
      <w:r>
        <w:t xml:space="preserve"> Sentencia </w:t>
      </w:r>
      <w:hyperlink w:anchor="SENTENCIA_2008_49" w:history="1">
        <w:r w:rsidRPr="00C12216">
          <w:rPr>
            <w:rStyle w:val="TextoNormalCaracter"/>
          </w:rPr>
          <w:t>49/2008</w:t>
        </w:r>
      </w:hyperlink>
      <w:r>
        <w:t>, f. 18.</w:t>
      </w:r>
    </w:p>
    <w:p w:rsidR="00C12216" w:rsidRDefault="00C12216" w:rsidP="00C12216">
      <w:pPr>
        <w:pStyle w:val="SangriaFrancesaArticulo"/>
      </w:pPr>
      <w:r w:rsidRPr="00C12216">
        <w:rPr>
          <w:rStyle w:val="TextoNormalNegritaCaracter"/>
        </w:rPr>
        <w:t>Artículo 9.</w:t>
      </w:r>
      <w:r w:rsidRPr="00C12216">
        <w:rPr>
          <w:rStyle w:val="TextoNormalCaracter"/>
        </w:rPr>
        <w:t>-</w:t>
      </w:r>
      <w:r>
        <w:t xml:space="preserve"> Sentencia </w:t>
      </w:r>
      <w:hyperlink w:anchor="SENTENCIA_2008_49" w:history="1">
        <w:r w:rsidRPr="00C12216">
          <w:rPr>
            <w:rStyle w:val="TextoNormalCaracter"/>
          </w:rPr>
          <w:t>49/2008</w:t>
        </w:r>
      </w:hyperlink>
      <w:r>
        <w:t>, ff. 18 a 20.</w:t>
      </w:r>
    </w:p>
    <w:p w:rsidR="00C12216" w:rsidRDefault="00C12216" w:rsidP="00C12216">
      <w:pPr>
        <w:pStyle w:val="SangriaFrancesaArticulo"/>
      </w:pPr>
      <w:r w:rsidRPr="00C12216">
        <w:rPr>
          <w:rStyle w:val="TextoNormalNegritaCaracter"/>
        </w:rPr>
        <w:t>Artículo 9.1.</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9.3.</w:t>
      </w:r>
      <w:r w:rsidRPr="00C12216">
        <w:rPr>
          <w:rStyle w:val="TextoNormalCaracter"/>
        </w:rPr>
        <w:t>-</w:t>
      </w:r>
      <w:r>
        <w:t xml:space="preserve"> Sentencia </w:t>
      </w:r>
      <w:hyperlink w:anchor="SENTENCIA_2008_49" w:history="1">
        <w:r w:rsidRPr="00C12216">
          <w:rPr>
            <w:rStyle w:val="TextoNormalCaracter"/>
          </w:rPr>
          <w:t>49/2008</w:t>
        </w:r>
      </w:hyperlink>
      <w:r>
        <w:t>, f. 19.</w:t>
      </w:r>
    </w:p>
    <w:p w:rsidR="00C12216" w:rsidRDefault="00C12216" w:rsidP="00C12216">
      <w:pPr>
        <w:pStyle w:val="SangriaIzquierdaArticulo"/>
      </w:pPr>
      <w:r>
        <w:t xml:space="preserve">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10.1 k).</w:t>
      </w:r>
      <w:r w:rsidRPr="00C12216">
        <w:rPr>
          <w:rStyle w:val="TextoNormalCaracter"/>
        </w:rPr>
        <w:t>-</w:t>
      </w:r>
      <w:r>
        <w:t xml:space="preserve"> Sentencia </w:t>
      </w:r>
      <w:hyperlink w:anchor="SENTENCIA_2008_49" w:history="1">
        <w:r w:rsidRPr="00C12216">
          <w:rPr>
            <w:rStyle w:val="TextoNormalCaracter"/>
          </w:rPr>
          <w:t>49/2008</w:t>
        </w:r>
      </w:hyperlink>
      <w:r>
        <w:t>, f. 18.</w:t>
      </w:r>
    </w:p>
    <w:p w:rsidR="00C12216" w:rsidRDefault="00C12216" w:rsidP="00C12216">
      <w:pPr>
        <w:pStyle w:val="SangriaFrancesaArticulo"/>
      </w:pPr>
      <w:r w:rsidRPr="00C12216">
        <w:rPr>
          <w:rStyle w:val="TextoNormalNegritaCaracter"/>
        </w:rPr>
        <w:t>Artículo 10.1 n).</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12.</w:t>
      </w:r>
      <w:r w:rsidRPr="00C12216">
        <w:rPr>
          <w:rStyle w:val="TextoNormalCaracter"/>
        </w:rPr>
        <w:t>-</w:t>
      </w:r>
      <w:r>
        <w:t xml:space="preserve"> Sentencia </w:t>
      </w:r>
      <w:hyperlink w:anchor="SENTENCIA_2008_49" w:history="1">
        <w:r w:rsidRPr="00C12216">
          <w:rPr>
            <w:rStyle w:val="TextoNormalCaracter"/>
          </w:rPr>
          <w:t>49/2008</w:t>
        </w:r>
      </w:hyperlink>
      <w:r>
        <w:t>, f. 18.</w:t>
      </w:r>
    </w:p>
    <w:p w:rsidR="00C12216" w:rsidRDefault="00C12216" w:rsidP="00C12216">
      <w:pPr>
        <w:pStyle w:val="SangriaFrancesaArticulo"/>
      </w:pPr>
      <w:r w:rsidRPr="00C12216">
        <w:rPr>
          <w:rStyle w:val="TextoNormalNegritaCaracter"/>
        </w:rPr>
        <w:t>Artículo 13.</w:t>
      </w:r>
      <w:r w:rsidRPr="00C12216">
        <w:rPr>
          <w:rStyle w:val="TextoNormalCaracter"/>
        </w:rPr>
        <w:t>-</w:t>
      </w:r>
      <w:r>
        <w:t xml:space="preserve"> Sentencia </w:t>
      </w:r>
      <w:hyperlink w:anchor="SENTENCIA_2008_8" w:history="1">
        <w:r w:rsidRPr="00C12216">
          <w:rPr>
            <w:rStyle w:val="TextoNormalCaracter"/>
          </w:rPr>
          <w:t>8/2008</w:t>
        </w:r>
      </w:hyperlink>
      <w:r>
        <w:t>, VP.</w:t>
      </w:r>
    </w:p>
    <w:p w:rsidR="00C12216" w:rsidRDefault="00C12216" w:rsidP="00C12216">
      <w:pPr>
        <w:pStyle w:val="SangriaFrancesaArticulo"/>
      </w:pPr>
      <w:r w:rsidRPr="00C12216">
        <w:rPr>
          <w:rStyle w:val="TextoNormalNegritaCaracter"/>
        </w:rPr>
        <w:t>Artículo 14.</w:t>
      </w:r>
      <w:r w:rsidRPr="00C12216">
        <w:rPr>
          <w:rStyle w:val="TextoNormalCaracter"/>
        </w:rPr>
        <w:t>-</w:t>
      </w:r>
      <w:r>
        <w:t xml:space="preserve"> Autos </w:t>
      </w:r>
      <w:hyperlink w:anchor="AUTO_2008_20" w:history="1">
        <w:r w:rsidRPr="00C12216">
          <w:rPr>
            <w:rStyle w:val="TextoNormalCaracter"/>
          </w:rPr>
          <w:t>20/2008</w:t>
        </w:r>
      </w:hyperlink>
      <w:r>
        <w:t xml:space="preserve">;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15.</w:t>
      </w:r>
      <w:r w:rsidRPr="00C12216">
        <w:rPr>
          <w:rStyle w:val="TextoNormalCaracter"/>
        </w:rPr>
        <w:t>-</w:t>
      </w:r>
      <w:r>
        <w:t xml:space="preserve"> Sentencia </w:t>
      </w:r>
      <w:hyperlink w:anchor="SENTENCIA_2008_49" w:history="1">
        <w:r w:rsidRPr="00C12216">
          <w:rPr>
            <w:rStyle w:val="TextoNormalCaracter"/>
          </w:rPr>
          <w:t>49/2008</w:t>
        </w:r>
      </w:hyperlink>
      <w:r>
        <w:t>, f. 18.</w:t>
      </w:r>
    </w:p>
    <w:p w:rsidR="00C12216" w:rsidRDefault="00C12216" w:rsidP="00C12216">
      <w:pPr>
        <w:pStyle w:val="SangriaFrancesaArticulo"/>
      </w:pPr>
      <w:r w:rsidRPr="00C12216">
        <w:rPr>
          <w:rStyle w:val="TextoNormalNegritaCaracter"/>
        </w:rPr>
        <w:t>Artículo 16.1</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Sentencia </w:t>
      </w:r>
      <w:hyperlink w:anchor="SENTENCIA_2008_49" w:history="1">
        <w:r w:rsidRPr="00C12216">
          <w:rPr>
            <w:rStyle w:val="TextoNormalCaracter"/>
          </w:rPr>
          <w:t>49/2008</w:t>
        </w:r>
      </w:hyperlink>
      <w:r>
        <w:t>, ff. 1, 5 a 9, 14, 15, VP I, VP II, VP III.</w:t>
      </w:r>
    </w:p>
    <w:p w:rsidR="00C12216" w:rsidRDefault="00C12216" w:rsidP="00C12216">
      <w:pPr>
        <w:pStyle w:val="SangriaIzquierdaArticulo"/>
      </w:pPr>
      <w:r>
        <w:t xml:space="preserve">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16.2.</w:t>
      </w:r>
      <w:r w:rsidRPr="00C12216">
        <w:rPr>
          <w:rStyle w:val="TextoNormalCaracter"/>
        </w:rPr>
        <w:t>-</w:t>
      </w:r>
      <w:r>
        <w:t xml:space="preserve"> Sentencia </w:t>
      </w:r>
      <w:hyperlink w:anchor="SENTENCIA_2008_49" w:history="1">
        <w:r w:rsidRPr="00C12216">
          <w:rPr>
            <w:rStyle w:val="TextoNormalCaracter"/>
          </w:rPr>
          <w:t>49/2008</w:t>
        </w:r>
      </w:hyperlink>
      <w:r>
        <w:t>, f. 1.</w:t>
      </w:r>
    </w:p>
    <w:p w:rsidR="00C12216" w:rsidRDefault="00C12216" w:rsidP="00C12216">
      <w:pPr>
        <w:pStyle w:val="SangriaFrancesaArticulo"/>
      </w:pPr>
      <w:r w:rsidRPr="00C12216">
        <w:rPr>
          <w:rStyle w:val="TextoNormalNegritaCaracter"/>
        </w:rPr>
        <w:t>Artículo 16.3</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Sentencia </w:t>
      </w:r>
      <w:hyperlink w:anchor="SENTENCIA_2008_49" w:history="1">
        <w:r w:rsidRPr="00C12216">
          <w:rPr>
            <w:rStyle w:val="TextoNormalCaracter"/>
          </w:rPr>
          <w:t>49/2008</w:t>
        </w:r>
      </w:hyperlink>
      <w:r>
        <w:t>, ff. 1, 5, 18 a 20, VP I, VP II, VP III.</w:t>
      </w:r>
    </w:p>
    <w:p w:rsidR="00C12216" w:rsidRDefault="00C12216" w:rsidP="00C12216">
      <w:pPr>
        <w:pStyle w:val="SangriaIzquierdaArticulo"/>
      </w:pPr>
      <w:r>
        <w:t xml:space="preserve">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17.1.</w:t>
      </w:r>
      <w:r w:rsidRPr="00C12216">
        <w:rPr>
          <w:rStyle w:val="TextoNormalCaracter"/>
        </w:rPr>
        <w:t>-</w:t>
      </w:r>
      <w:r>
        <w:t xml:space="preserve"> Sentencia </w:t>
      </w:r>
      <w:hyperlink w:anchor="SENTENCIA_2008_49" w:history="1">
        <w:r w:rsidRPr="00C12216">
          <w:rPr>
            <w:rStyle w:val="TextoNormalCaracter"/>
          </w:rPr>
          <w:t>49/2008</w:t>
        </w:r>
      </w:hyperlink>
      <w:r>
        <w:t>, ff. 7, 18.</w:t>
      </w:r>
    </w:p>
    <w:p w:rsidR="00C12216" w:rsidRDefault="00C12216" w:rsidP="00C12216">
      <w:pPr>
        <w:pStyle w:val="SangriaFrancesaArticulo"/>
      </w:pPr>
      <w:r w:rsidRPr="00C12216">
        <w:rPr>
          <w:rStyle w:val="TextoNormalNegritaCaracter"/>
        </w:rPr>
        <w:t>Artículo 17.2.</w:t>
      </w:r>
      <w:r w:rsidRPr="00C12216">
        <w:rPr>
          <w:rStyle w:val="TextoNormalCaracter"/>
        </w:rPr>
        <w:t>-</w:t>
      </w:r>
      <w:r>
        <w:t xml:space="preserve"> Sentencia </w:t>
      </w:r>
      <w:hyperlink w:anchor="SENTENCIA_2008_49" w:history="1">
        <w:r w:rsidRPr="00C12216">
          <w:rPr>
            <w:rStyle w:val="TextoNormalCaracter"/>
          </w:rPr>
          <w:t>49/2008</w:t>
        </w:r>
      </w:hyperlink>
      <w:r>
        <w:t>, f. 21, VP I.</w:t>
      </w:r>
    </w:p>
    <w:p w:rsidR="00C12216" w:rsidRDefault="00C12216" w:rsidP="00C12216">
      <w:pPr>
        <w:pStyle w:val="SangriaFrancesaArticulo"/>
      </w:pPr>
      <w:r w:rsidRPr="00C12216">
        <w:rPr>
          <w:rStyle w:val="TextoNormalNegritaCaracter"/>
        </w:rPr>
        <w:t>Artículo 22.</w:t>
      </w:r>
      <w:r w:rsidRPr="00C12216">
        <w:rPr>
          <w:rStyle w:val="TextoNormalCaracter"/>
        </w:rPr>
        <w:t>-</w:t>
      </w:r>
      <w:r>
        <w:t xml:space="preserve"> Autos </w:t>
      </w:r>
      <w:hyperlink w:anchor="AUTO_2008_20" w:history="1">
        <w:r w:rsidRPr="00C12216">
          <w:rPr>
            <w:rStyle w:val="TextoNormalCaracter"/>
          </w:rPr>
          <w:t>20/2008</w:t>
        </w:r>
      </w:hyperlink>
      <w:r>
        <w:t xml:space="preserve">;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23.</w:t>
      </w:r>
      <w:r w:rsidRPr="00C12216">
        <w:rPr>
          <w:rStyle w:val="TextoNormalCaracter"/>
        </w:rPr>
        <w:t>-</w:t>
      </w:r>
      <w:r>
        <w:t xml:space="preserve"> Sentencia </w:t>
      </w:r>
      <w:hyperlink w:anchor="SENTENCIA_2008_49" w:history="1">
        <w:r w:rsidRPr="00C12216">
          <w:rPr>
            <w:rStyle w:val="TextoNormalCaracter"/>
          </w:rPr>
          <w:t>49/2008</w:t>
        </w:r>
      </w:hyperlink>
      <w:r>
        <w:t>, VP I.</w:t>
      </w:r>
    </w:p>
    <w:p w:rsidR="00C12216" w:rsidRDefault="00C12216" w:rsidP="00C12216">
      <w:pPr>
        <w:pStyle w:val="SangriaFrancesaArticulo"/>
      </w:pPr>
      <w:r w:rsidRPr="00C12216">
        <w:rPr>
          <w:rStyle w:val="TextoNormalNegritaCaracter"/>
        </w:rPr>
        <w:t>Artículo 27.</w:t>
      </w:r>
      <w:r w:rsidRPr="00C12216">
        <w:rPr>
          <w:rStyle w:val="TextoNormalCaracter"/>
        </w:rPr>
        <w:t>-</w:t>
      </w:r>
      <w:r>
        <w:t xml:space="preserve"> Auto </w:t>
      </w:r>
      <w:hyperlink w:anchor="AUTO_2008_12" w:history="1">
        <w:r w:rsidRPr="00C12216">
          <w:rPr>
            <w:rStyle w:val="TextoNormalCaracter"/>
          </w:rPr>
          <w:t>12/2008</w:t>
        </w:r>
      </w:hyperlink>
      <w:r>
        <w:t>.</w:t>
      </w:r>
    </w:p>
    <w:p w:rsidR="00C12216" w:rsidRDefault="00C12216" w:rsidP="00C12216">
      <w:pPr>
        <w:pStyle w:val="SangriaFrancesaArticulo"/>
      </w:pPr>
      <w:r w:rsidRPr="00C12216">
        <w:rPr>
          <w:rStyle w:val="TextoNormalNegritaCaracter"/>
        </w:rPr>
        <w:t>Artículo 27.2 a).</w:t>
      </w:r>
      <w:r w:rsidRPr="00C12216">
        <w:rPr>
          <w:rStyle w:val="TextoNormalCaracter"/>
        </w:rPr>
        <w:t>-</w:t>
      </w:r>
      <w:r>
        <w:t xml:space="preserve"> Sentencia </w:t>
      </w:r>
      <w:hyperlink w:anchor="SENTENCIA_2008_49" w:history="1">
        <w:r w:rsidRPr="00C12216">
          <w:rPr>
            <w:rStyle w:val="TextoNormalCaracter"/>
          </w:rPr>
          <w:t>49/2008</w:t>
        </w:r>
      </w:hyperlink>
      <w:r>
        <w:t>, f. 3.</w:t>
      </w:r>
    </w:p>
    <w:p w:rsidR="00C12216" w:rsidRDefault="00C12216" w:rsidP="00C12216">
      <w:pPr>
        <w:pStyle w:val="SangriaFrancesaArticulo"/>
      </w:pPr>
      <w:r w:rsidRPr="00C12216">
        <w:rPr>
          <w:rStyle w:val="TextoNormalNegritaCaracter"/>
        </w:rPr>
        <w:t>Artículo 27.2 c).</w:t>
      </w:r>
      <w:r w:rsidRPr="00C12216">
        <w:rPr>
          <w:rStyle w:val="TextoNormalCaracter"/>
        </w:rPr>
        <w:t>-</w:t>
      </w:r>
      <w:r>
        <w:t xml:space="preserve"> Sentencia </w:t>
      </w:r>
      <w:hyperlink w:anchor="SENTENCIA_2008_49" w:history="1">
        <w:r w:rsidRPr="00C12216">
          <w:rPr>
            <w:rStyle w:val="TextoNormalCaracter"/>
          </w:rPr>
          <w:t>49/2008</w:t>
        </w:r>
      </w:hyperlink>
      <w:r>
        <w:t>, f. 2.</w:t>
      </w:r>
    </w:p>
    <w:p w:rsidR="00C12216" w:rsidRDefault="00C12216" w:rsidP="00C12216">
      <w:pPr>
        <w:pStyle w:val="SangriaFrancesaArticulo"/>
      </w:pPr>
      <w:r w:rsidRPr="00C12216">
        <w:rPr>
          <w:rStyle w:val="TextoNormalNegritaCaracter"/>
        </w:rPr>
        <w:t>Artículo 33.1.</w:t>
      </w:r>
      <w:r w:rsidRPr="00C12216">
        <w:rPr>
          <w:rStyle w:val="TextoNormalCaracter"/>
        </w:rPr>
        <w:t>-</w:t>
      </w:r>
      <w:r>
        <w:t xml:space="preserve"> Sentencia </w:t>
      </w:r>
      <w:hyperlink w:anchor="SENTENCIA_2008_49" w:history="1">
        <w:r w:rsidRPr="00C12216">
          <w:rPr>
            <w:rStyle w:val="TextoNormalCaracter"/>
          </w:rPr>
          <w:t>49/2008</w:t>
        </w:r>
      </w:hyperlink>
      <w:r>
        <w:t>, f. 3.</w:t>
      </w:r>
    </w:p>
    <w:p w:rsidR="00C12216" w:rsidRDefault="00C12216" w:rsidP="00C12216">
      <w:pPr>
        <w:pStyle w:val="SangriaFrancesaArticulo"/>
      </w:pPr>
      <w:r w:rsidRPr="00C12216">
        <w:rPr>
          <w:rStyle w:val="TextoNormalNegritaCaracter"/>
        </w:rPr>
        <w:t>Artículo 35.</w:t>
      </w:r>
      <w:r w:rsidRPr="00C12216">
        <w:rPr>
          <w:rStyle w:val="TextoNormalCaracter"/>
        </w:rPr>
        <w:t>-</w:t>
      </w:r>
      <w:r>
        <w:t xml:space="preserve"> Autos </w:t>
      </w:r>
      <w:hyperlink w:anchor="AUTO_2008_8" w:history="1">
        <w:r w:rsidRPr="00C12216">
          <w:rPr>
            <w:rStyle w:val="TextoNormalCaracter"/>
          </w:rPr>
          <w:t>8/2008</w:t>
        </w:r>
      </w:hyperlink>
      <w:r>
        <w:t xml:space="preserve">; </w:t>
      </w:r>
      <w:hyperlink w:anchor="AUTO_2008_12" w:history="1">
        <w:r w:rsidRPr="00C12216">
          <w:rPr>
            <w:rStyle w:val="TextoNormalCaracter"/>
          </w:rPr>
          <w:t>12/2008</w:t>
        </w:r>
      </w:hyperlink>
      <w:r>
        <w:t xml:space="preserve">; </w:t>
      </w:r>
      <w:hyperlink w:anchor="AUTO_2008_13" w:history="1">
        <w:r w:rsidRPr="00C12216">
          <w:rPr>
            <w:rStyle w:val="TextoNormalCaracter"/>
          </w:rPr>
          <w:t>13/2008</w:t>
        </w:r>
      </w:hyperlink>
      <w:r>
        <w:t xml:space="preserve">; </w:t>
      </w:r>
      <w:hyperlink w:anchor="AUTO_2008_82" w:history="1">
        <w:r w:rsidRPr="00C12216">
          <w:rPr>
            <w:rStyle w:val="TextoNormalCaracter"/>
          </w:rPr>
          <w:t>82/2008</w:t>
        </w:r>
      </w:hyperlink>
      <w:r>
        <w:t>.</w:t>
      </w:r>
    </w:p>
    <w:p w:rsidR="00C12216" w:rsidRDefault="00C12216" w:rsidP="00C12216">
      <w:pPr>
        <w:pStyle w:val="SangriaFrancesaArticulo"/>
      </w:pPr>
      <w:r w:rsidRPr="00C12216">
        <w:rPr>
          <w:rStyle w:val="TextoNormalNegritaCaracter"/>
        </w:rPr>
        <w:t>Artículo 35.1.</w:t>
      </w:r>
      <w:r w:rsidRPr="00C12216">
        <w:rPr>
          <w:rStyle w:val="TextoNormalCaracter"/>
        </w:rPr>
        <w:t>-</w:t>
      </w:r>
      <w:r>
        <w:t xml:space="preserve"> Autos </w:t>
      </w:r>
      <w:hyperlink w:anchor="AUTO_2008_12" w:history="1">
        <w:r w:rsidRPr="00C12216">
          <w:rPr>
            <w:rStyle w:val="TextoNormalCaracter"/>
          </w:rPr>
          <w:t>12/2008</w:t>
        </w:r>
      </w:hyperlink>
      <w:r>
        <w:t xml:space="preserve">; </w:t>
      </w:r>
      <w:hyperlink w:anchor="AUTO_2008_13" w:history="1">
        <w:r w:rsidRPr="00C12216">
          <w:rPr>
            <w:rStyle w:val="TextoNormalCaracter"/>
          </w:rPr>
          <w:t>13/2008</w:t>
        </w:r>
      </w:hyperlink>
      <w:r>
        <w:t>.</w:t>
      </w:r>
    </w:p>
    <w:p w:rsidR="00C12216" w:rsidRDefault="00C12216" w:rsidP="00C12216">
      <w:pPr>
        <w:pStyle w:val="SangriaFrancesaArticulo"/>
      </w:pPr>
      <w:r w:rsidRPr="00C12216">
        <w:rPr>
          <w:rStyle w:val="TextoNormalNegritaCaracter"/>
        </w:rPr>
        <w:t>Artículo 35.2.</w:t>
      </w:r>
      <w:r w:rsidRPr="00C12216">
        <w:rPr>
          <w:rStyle w:val="TextoNormalCaracter"/>
        </w:rPr>
        <w:t>-</w:t>
      </w:r>
      <w:r>
        <w:t xml:space="preserve"> Autos </w:t>
      </w:r>
      <w:hyperlink w:anchor="AUTO_2008_12" w:history="1">
        <w:r w:rsidRPr="00C12216">
          <w:rPr>
            <w:rStyle w:val="TextoNormalCaracter"/>
          </w:rPr>
          <w:t>12/2008</w:t>
        </w:r>
      </w:hyperlink>
      <w:r>
        <w:t xml:space="preserve">; </w:t>
      </w:r>
      <w:hyperlink w:anchor="AUTO_2008_13" w:history="1">
        <w:r w:rsidRPr="00C12216">
          <w:rPr>
            <w:rStyle w:val="TextoNormalCaracter"/>
          </w:rPr>
          <w:t>13/2008</w:t>
        </w:r>
      </w:hyperlink>
      <w:r>
        <w:t xml:space="preserve">; </w:t>
      </w:r>
      <w:hyperlink w:anchor="AUTO_2008_24" w:history="1">
        <w:r w:rsidRPr="00C12216">
          <w:rPr>
            <w:rStyle w:val="TextoNormalCaracter"/>
          </w:rPr>
          <w:t>24/2008</w:t>
        </w:r>
      </w:hyperlink>
      <w:r>
        <w:t xml:space="preserve">; </w:t>
      </w:r>
      <w:hyperlink w:anchor="AUTO_2008_54" w:history="1">
        <w:r w:rsidRPr="00C12216">
          <w:rPr>
            <w:rStyle w:val="TextoNormalCaracter"/>
          </w:rPr>
          <w:t>54/2008</w:t>
        </w:r>
      </w:hyperlink>
      <w:r>
        <w:t>.</w:t>
      </w:r>
    </w:p>
    <w:p w:rsidR="00C12216" w:rsidRDefault="00C12216" w:rsidP="00C12216">
      <w:pPr>
        <w:pStyle w:val="SangriaFrancesaArticulo"/>
      </w:pPr>
      <w:r w:rsidRPr="00C12216">
        <w:rPr>
          <w:rStyle w:val="TextoNormalNegritaCaracter"/>
        </w:rPr>
        <w:t>Artículo 36.</w:t>
      </w:r>
      <w:r w:rsidRPr="00C12216">
        <w:rPr>
          <w:rStyle w:val="TextoNormalCaracter"/>
        </w:rPr>
        <w:t>-</w:t>
      </w:r>
      <w:r>
        <w:t xml:space="preserve"> Auto </w:t>
      </w:r>
      <w:hyperlink w:anchor="AUTO_2008_8" w:history="1">
        <w:r w:rsidRPr="00C12216">
          <w:rPr>
            <w:rStyle w:val="TextoNormalCaracter"/>
          </w:rPr>
          <w:t>8/2008</w:t>
        </w:r>
      </w:hyperlink>
      <w:r>
        <w:t>.</w:t>
      </w:r>
    </w:p>
    <w:p w:rsidR="00C12216" w:rsidRDefault="00C12216" w:rsidP="00C12216">
      <w:pPr>
        <w:pStyle w:val="SangriaFrancesaArticulo"/>
      </w:pPr>
      <w:r w:rsidRPr="00C12216">
        <w:rPr>
          <w:rStyle w:val="TextoNormalNegritaCaracter"/>
        </w:rPr>
        <w:t>Artículo 37.</w:t>
      </w:r>
      <w:r w:rsidRPr="00C12216">
        <w:rPr>
          <w:rStyle w:val="TextoNormalCaracter"/>
        </w:rPr>
        <w:t>-</w:t>
      </w:r>
      <w:r>
        <w:t xml:space="preserve"> Auto </w:t>
      </w:r>
      <w:hyperlink w:anchor="AUTO_2008_8" w:history="1">
        <w:r w:rsidRPr="00C12216">
          <w:rPr>
            <w:rStyle w:val="TextoNormalCaracter"/>
          </w:rPr>
          <w:t>8/2008</w:t>
        </w:r>
      </w:hyperlink>
      <w:r>
        <w:t>.</w:t>
      </w:r>
    </w:p>
    <w:p w:rsidR="00C12216" w:rsidRDefault="00C12216" w:rsidP="00C12216">
      <w:pPr>
        <w:pStyle w:val="SangriaFrancesaArticulo"/>
      </w:pPr>
      <w:r w:rsidRPr="00C12216">
        <w:rPr>
          <w:rStyle w:val="TextoNormalNegritaCaracter"/>
        </w:rPr>
        <w:t>Artículo 37.1.</w:t>
      </w:r>
      <w:r w:rsidRPr="00C12216">
        <w:rPr>
          <w:rStyle w:val="TextoNormalCaracter"/>
        </w:rPr>
        <w:t>-</w:t>
      </w:r>
      <w:r>
        <w:t xml:space="preserve"> Autos </w:t>
      </w:r>
      <w:hyperlink w:anchor="AUTO_2008_11" w:history="1">
        <w:r w:rsidRPr="00C12216">
          <w:rPr>
            <w:rStyle w:val="TextoNormalCaracter"/>
          </w:rPr>
          <w:t>11/2008</w:t>
        </w:r>
      </w:hyperlink>
      <w:r>
        <w:t xml:space="preserve">; </w:t>
      </w:r>
      <w:hyperlink w:anchor="AUTO_2008_13" w:history="1">
        <w:r w:rsidRPr="00C12216">
          <w:rPr>
            <w:rStyle w:val="TextoNormalCaracter"/>
          </w:rPr>
          <w:t>13/2008</w:t>
        </w:r>
      </w:hyperlink>
      <w:r>
        <w:t xml:space="preserve">; </w:t>
      </w:r>
      <w:hyperlink w:anchor="AUTO_2008_57" w:history="1">
        <w:r w:rsidRPr="00C12216">
          <w:rPr>
            <w:rStyle w:val="TextoNormalCaracter"/>
          </w:rPr>
          <w:t>57/2008</w:t>
        </w:r>
      </w:hyperlink>
      <w:r>
        <w:t xml:space="preserve">; </w:t>
      </w:r>
      <w:hyperlink w:anchor="AUTO_2008_71" w:history="1">
        <w:r w:rsidRPr="00C12216">
          <w:rPr>
            <w:rStyle w:val="TextoNormalCaracter"/>
          </w:rPr>
          <w:t>71/2008</w:t>
        </w:r>
      </w:hyperlink>
      <w:r>
        <w:t xml:space="preserve">;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38.1.</w:t>
      </w:r>
      <w:r w:rsidRPr="00C12216">
        <w:rPr>
          <w:rStyle w:val="TextoNormalCaracter"/>
        </w:rPr>
        <w:t>-</w:t>
      </w:r>
      <w:r>
        <w:t xml:space="preserve"> Sentencia </w:t>
      </w:r>
      <w:hyperlink w:anchor="SENTENCIA_2008_46" w:history="1">
        <w:r w:rsidRPr="00C12216">
          <w:rPr>
            <w:rStyle w:val="TextoNormalCaracter"/>
          </w:rPr>
          <w:t>46/2008</w:t>
        </w:r>
      </w:hyperlink>
      <w:r>
        <w:t>, f. 2.</w:t>
      </w:r>
    </w:p>
    <w:p w:rsidR="00C12216" w:rsidRDefault="00C12216" w:rsidP="00C12216">
      <w:pPr>
        <w:pStyle w:val="SangriaFrancesaArticulo"/>
      </w:pPr>
      <w:r w:rsidRPr="00C12216">
        <w:rPr>
          <w:rStyle w:val="TextoNormalNegritaCaracter"/>
        </w:rPr>
        <w:t>Artículo 39.1.</w:t>
      </w:r>
      <w:r w:rsidRPr="00C12216">
        <w:rPr>
          <w:rStyle w:val="TextoNormalCaracter"/>
        </w:rPr>
        <w:t>-</w:t>
      </w:r>
      <w:r>
        <w:t xml:space="preserve"> Sentencia </w:t>
      </w:r>
      <w:hyperlink w:anchor="SENTENCIA_2008_49" w:history="1">
        <w:r w:rsidRPr="00C12216">
          <w:rPr>
            <w:rStyle w:val="TextoNormalCaracter"/>
          </w:rPr>
          <w:t>49/2008</w:t>
        </w:r>
      </w:hyperlink>
      <w:r>
        <w:t>, VP I.</w:t>
      </w:r>
    </w:p>
    <w:p w:rsidR="00C12216" w:rsidRDefault="00C12216" w:rsidP="00C12216">
      <w:pPr>
        <w:pStyle w:val="SangriaFrancesaArticulo"/>
      </w:pPr>
      <w:r w:rsidRPr="00C12216">
        <w:rPr>
          <w:rStyle w:val="TextoNormalNegritaCaracter"/>
        </w:rPr>
        <w:lastRenderedPageBreak/>
        <w:t>Artículo 39.2.</w:t>
      </w:r>
      <w:r w:rsidRPr="00C12216">
        <w:rPr>
          <w:rStyle w:val="TextoNormalCaracter"/>
        </w:rPr>
        <w:t>-</w:t>
      </w:r>
      <w:r>
        <w:t xml:space="preserve"> Sentencia </w:t>
      </w:r>
      <w:hyperlink w:anchor="SENTENCIA_2008_49" w:history="1">
        <w:r w:rsidRPr="00C12216">
          <w:rPr>
            <w:rStyle w:val="TextoNormalCaracter"/>
          </w:rPr>
          <w:t>49/2008</w:t>
        </w:r>
      </w:hyperlink>
      <w:r>
        <w:t>, f. 1.</w:t>
      </w:r>
    </w:p>
    <w:p w:rsidR="00C12216" w:rsidRDefault="00C12216" w:rsidP="00C12216">
      <w:pPr>
        <w:pStyle w:val="SangriaFrancesaArticulo"/>
      </w:pPr>
      <w:r w:rsidRPr="00C12216">
        <w:rPr>
          <w:rStyle w:val="TextoNormalNegritaCaracter"/>
        </w:rPr>
        <w:t>Artículo 40.</w:t>
      </w:r>
      <w:r w:rsidRPr="00C12216">
        <w:rPr>
          <w:rStyle w:val="TextoNormalCaracter"/>
        </w:rPr>
        <w:t>-</w:t>
      </w:r>
      <w:r>
        <w:t xml:space="preserve"> Sentencia </w:t>
      </w:r>
      <w:hyperlink w:anchor="SENTENCIA_2008_46" w:history="1">
        <w:r w:rsidRPr="00C12216">
          <w:rPr>
            <w:rStyle w:val="TextoNormalCaracter"/>
          </w:rPr>
          <w:t>46/2008</w:t>
        </w:r>
      </w:hyperlink>
      <w:r>
        <w:t>, f. 2.</w:t>
      </w:r>
    </w:p>
    <w:p w:rsidR="00C12216" w:rsidRDefault="00C12216" w:rsidP="00C12216">
      <w:pPr>
        <w:pStyle w:val="SangriaFrancesaArticulo"/>
      </w:pPr>
      <w:r w:rsidRPr="00C12216">
        <w:rPr>
          <w:rStyle w:val="TextoNormalNegritaCaracter"/>
        </w:rPr>
        <w:t>Artículo 40.1.</w:t>
      </w:r>
      <w:r w:rsidRPr="00C12216">
        <w:rPr>
          <w:rStyle w:val="TextoNormalCaracter"/>
        </w:rPr>
        <w:t>-</w:t>
      </w:r>
      <w:r>
        <w:t xml:space="preserve"> Sentencias </w:t>
      </w:r>
      <w:hyperlink w:anchor="SENTENCIA_2008_46" w:history="1">
        <w:r w:rsidRPr="00C12216">
          <w:rPr>
            <w:rStyle w:val="TextoNormalCaracter"/>
          </w:rPr>
          <w:t>46/2008</w:t>
        </w:r>
      </w:hyperlink>
      <w:r>
        <w:t xml:space="preserve">, f. 2; </w:t>
      </w:r>
      <w:hyperlink w:anchor="SENTENCIA_2008_49" w:history="1">
        <w:r w:rsidRPr="00C12216">
          <w:rPr>
            <w:rStyle w:val="TextoNormalCaracter"/>
          </w:rPr>
          <w:t>49/2008</w:t>
        </w:r>
      </w:hyperlink>
      <w:r>
        <w:t>, f. 3.</w:t>
      </w:r>
    </w:p>
    <w:p w:rsidR="00C12216" w:rsidRDefault="00C12216" w:rsidP="00C12216">
      <w:pPr>
        <w:pStyle w:val="SangriaFrancesaArticulo"/>
      </w:pPr>
      <w:r w:rsidRPr="00C12216">
        <w:rPr>
          <w:rStyle w:val="TextoNormalNegritaCaracter"/>
        </w:rPr>
        <w:t>Artículo 41.</w:t>
      </w:r>
      <w:r w:rsidRPr="00C12216">
        <w:rPr>
          <w:rStyle w:val="TextoNormalCaracter"/>
        </w:rPr>
        <w:t>-</w:t>
      </w:r>
      <w:r>
        <w:t xml:space="preserve"> Auto </w:t>
      </w:r>
      <w:hyperlink w:anchor="AUTO_2008_87" w:history="1">
        <w:r w:rsidRPr="00C12216">
          <w:rPr>
            <w:rStyle w:val="TextoNormalCaracter"/>
          </w:rPr>
          <w:t>87/2008</w:t>
        </w:r>
      </w:hyperlink>
      <w:r>
        <w:t>.</w:t>
      </w:r>
    </w:p>
    <w:p w:rsidR="00C12216" w:rsidRDefault="00C12216" w:rsidP="00C12216">
      <w:pPr>
        <w:pStyle w:val="SangriaFrancesaArticulo"/>
      </w:pPr>
      <w:r w:rsidRPr="00C12216">
        <w:rPr>
          <w:rStyle w:val="TextoNormalNegritaCaracter"/>
        </w:rPr>
        <w:t>Artículo 41.3.</w:t>
      </w:r>
      <w:r w:rsidRPr="00C12216">
        <w:rPr>
          <w:rStyle w:val="TextoNormalCaracter"/>
        </w:rPr>
        <w:t>-</w:t>
      </w:r>
      <w:r>
        <w:t xml:space="preserve"> Auto </w:t>
      </w:r>
      <w:hyperlink w:anchor="AUTO_2008_84" w:history="1">
        <w:r w:rsidRPr="00C12216">
          <w:rPr>
            <w:rStyle w:val="TextoNormalCaracter"/>
          </w:rPr>
          <w:t>84/2008</w:t>
        </w:r>
      </w:hyperlink>
      <w:r>
        <w:t>.</w:t>
      </w:r>
    </w:p>
    <w:p w:rsidR="00C12216" w:rsidRDefault="00C12216" w:rsidP="00C12216">
      <w:pPr>
        <w:pStyle w:val="SangriaFrancesaArticulo"/>
      </w:pPr>
      <w:r w:rsidRPr="00C12216">
        <w:rPr>
          <w:rStyle w:val="TextoNormalNegritaCaracter"/>
        </w:rPr>
        <w:t>Artículo 42.</w:t>
      </w:r>
      <w:r w:rsidRPr="00C12216">
        <w:rPr>
          <w:rStyle w:val="TextoNormalCaracter"/>
        </w:rPr>
        <w:t>-</w:t>
      </w:r>
      <w:r>
        <w:t xml:space="preserve"> Sentencia </w:t>
      </w:r>
      <w:hyperlink w:anchor="SENTENCIA_2008_20" w:history="1">
        <w:r w:rsidRPr="00C12216">
          <w:rPr>
            <w:rStyle w:val="TextoNormalCaracter"/>
          </w:rPr>
          <w:t>20/2008</w:t>
        </w:r>
      </w:hyperlink>
      <w:r>
        <w:t>, ff. 3, 4.</w:t>
      </w:r>
    </w:p>
    <w:p w:rsidR="00C12216" w:rsidRDefault="00C12216" w:rsidP="00C12216">
      <w:pPr>
        <w:pStyle w:val="SangriaFrancesaArticulo"/>
      </w:pPr>
      <w:r w:rsidRPr="00C12216">
        <w:rPr>
          <w:rStyle w:val="TextoNormalNegritaCaracter"/>
        </w:rPr>
        <w:t>Artículo 43.</w:t>
      </w:r>
      <w:r w:rsidRPr="00C12216">
        <w:rPr>
          <w:rStyle w:val="TextoNormalCaracter"/>
        </w:rPr>
        <w:t>-</w:t>
      </w:r>
      <w:r>
        <w:t xml:space="preserve"> Sentencias </w:t>
      </w:r>
      <w:hyperlink w:anchor="SENTENCIA_2008_5" w:history="1">
        <w:r w:rsidRPr="00C12216">
          <w:rPr>
            <w:rStyle w:val="TextoNormalCaracter"/>
          </w:rPr>
          <w:t>5/2008</w:t>
        </w:r>
      </w:hyperlink>
      <w:r>
        <w:t xml:space="preserve">, f. 3; </w:t>
      </w:r>
      <w:hyperlink w:anchor="SENTENCIA_2008_25" w:history="1">
        <w:r w:rsidRPr="00C12216">
          <w:rPr>
            <w:rStyle w:val="TextoNormalCaracter"/>
          </w:rPr>
          <w:t>25/2008</w:t>
        </w:r>
      </w:hyperlink>
      <w:r>
        <w:t xml:space="preserve">, f. 2; </w:t>
      </w:r>
      <w:hyperlink w:anchor="SENTENCIA_2008_30" w:history="1">
        <w:r w:rsidRPr="00C12216">
          <w:rPr>
            <w:rStyle w:val="TextoNormalCaracter"/>
          </w:rPr>
          <w:t>30/2008</w:t>
        </w:r>
      </w:hyperlink>
      <w:r>
        <w:t xml:space="preserve">, f. 3; </w:t>
      </w:r>
      <w:hyperlink w:anchor="SENTENCIA_2008_32" w:history="1">
        <w:r w:rsidRPr="00C12216">
          <w:rPr>
            <w:rStyle w:val="TextoNormalCaracter"/>
          </w:rPr>
          <w:t>32/2008</w:t>
        </w:r>
      </w:hyperlink>
      <w:r>
        <w:t xml:space="preserve">, f. 1; </w:t>
      </w:r>
      <w:hyperlink w:anchor="SENTENCIA_2008_40" w:history="1">
        <w:r w:rsidRPr="00C12216">
          <w:rPr>
            <w:rStyle w:val="TextoNormalCaracter"/>
          </w:rPr>
          <w:t>40/2008</w:t>
        </w:r>
      </w:hyperlink>
      <w:r>
        <w:t>, ff. 1, 2.</w:t>
      </w:r>
    </w:p>
    <w:p w:rsidR="00C12216" w:rsidRDefault="00C12216" w:rsidP="00C12216">
      <w:pPr>
        <w:pStyle w:val="SangriaIzquierdaArticulo"/>
      </w:pPr>
      <w:r>
        <w:t xml:space="preserve">Auto </w:t>
      </w:r>
      <w:hyperlink w:anchor="AUTO_2008_75" w:history="1">
        <w:r w:rsidRPr="00C12216">
          <w:rPr>
            <w:rStyle w:val="TextoNormalCaracter"/>
          </w:rPr>
          <w:t>75/2008</w:t>
        </w:r>
      </w:hyperlink>
      <w:r>
        <w:t>.</w:t>
      </w:r>
    </w:p>
    <w:p w:rsidR="00C12216" w:rsidRDefault="00C12216" w:rsidP="00C12216">
      <w:pPr>
        <w:pStyle w:val="SangriaFrancesaArticulo"/>
      </w:pPr>
      <w:r w:rsidRPr="00C12216">
        <w:rPr>
          <w:rStyle w:val="TextoNormalNegritaCaracter"/>
        </w:rPr>
        <w:t>Artículo 43.1.</w:t>
      </w:r>
      <w:r w:rsidRPr="00C12216">
        <w:rPr>
          <w:rStyle w:val="TextoNormalCaracter"/>
        </w:rPr>
        <w:t>-</w:t>
      </w:r>
      <w:r>
        <w:t xml:space="preserve"> Sentencias </w:t>
      </w:r>
      <w:hyperlink w:anchor="SENTENCIA_2008_5" w:history="1">
        <w:r w:rsidRPr="00C12216">
          <w:rPr>
            <w:rStyle w:val="TextoNormalCaracter"/>
          </w:rPr>
          <w:t>5/2008</w:t>
        </w:r>
      </w:hyperlink>
      <w:r>
        <w:t xml:space="preserve">, ff. 3 a 6; </w:t>
      </w:r>
      <w:hyperlink w:anchor="SENTENCIA_2008_25" w:history="1">
        <w:r w:rsidRPr="00C12216">
          <w:rPr>
            <w:rStyle w:val="TextoNormalCaracter"/>
          </w:rPr>
          <w:t>25/2008</w:t>
        </w:r>
      </w:hyperlink>
      <w:r>
        <w:t>, f. 3.</w:t>
      </w:r>
    </w:p>
    <w:p w:rsidR="00C12216" w:rsidRDefault="00C12216" w:rsidP="00C12216">
      <w:pPr>
        <w:pStyle w:val="SangriaIzquierdaArticulo"/>
      </w:pPr>
      <w:r>
        <w:t xml:space="preserve">Auto </w:t>
      </w:r>
      <w:hyperlink w:anchor="AUTO_2008_75" w:history="1">
        <w:r w:rsidRPr="00C12216">
          <w:rPr>
            <w:rStyle w:val="TextoNormalCaracter"/>
          </w:rPr>
          <w:t>75/2008</w:t>
        </w:r>
      </w:hyperlink>
      <w:r>
        <w:t>.</w:t>
      </w:r>
    </w:p>
    <w:p w:rsidR="00C12216" w:rsidRDefault="00C12216" w:rsidP="00C12216">
      <w:pPr>
        <w:pStyle w:val="SangriaFrancesaArticulo"/>
      </w:pPr>
      <w:r w:rsidRPr="00C12216">
        <w:rPr>
          <w:rStyle w:val="TextoNormalNegritaCaracter"/>
        </w:rPr>
        <w:t>Artículo 43.2.</w:t>
      </w:r>
      <w:r w:rsidRPr="00C12216">
        <w:rPr>
          <w:rStyle w:val="TextoNormalCaracter"/>
        </w:rPr>
        <w:t>-</w:t>
      </w:r>
      <w:r>
        <w:t xml:space="preserve"> Sentencia </w:t>
      </w:r>
      <w:hyperlink w:anchor="SENTENCIA_2008_26" w:history="1">
        <w:r w:rsidRPr="00C12216">
          <w:rPr>
            <w:rStyle w:val="TextoNormalCaracter"/>
          </w:rPr>
          <w:t>26/2008</w:t>
        </w:r>
      </w:hyperlink>
      <w:r>
        <w:t>, f. 2.</w:t>
      </w:r>
    </w:p>
    <w:p w:rsidR="00C12216" w:rsidRDefault="00C12216" w:rsidP="00C12216">
      <w:pPr>
        <w:pStyle w:val="SangriaFrancesaArticulo"/>
      </w:pPr>
      <w:r w:rsidRPr="00C12216">
        <w:rPr>
          <w:rStyle w:val="TextoNormalNegritaCaracter"/>
        </w:rPr>
        <w:t>Artículo 44.</w:t>
      </w:r>
      <w:r w:rsidRPr="00C12216">
        <w:rPr>
          <w:rStyle w:val="TextoNormalCaracter"/>
        </w:rPr>
        <w:t>-</w:t>
      </w:r>
      <w:r>
        <w:t xml:space="preserve"> Sentencias </w:t>
      </w:r>
      <w:hyperlink w:anchor="SENTENCIA_2008_5" w:history="1">
        <w:r w:rsidRPr="00C12216">
          <w:rPr>
            <w:rStyle w:val="TextoNormalCaracter"/>
          </w:rPr>
          <w:t>5/2008</w:t>
        </w:r>
      </w:hyperlink>
      <w:r>
        <w:t xml:space="preserve">, ff. 3, 5, 6; </w:t>
      </w:r>
      <w:hyperlink w:anchor="SENTENCIA_2008_11" w:history="1">
        <w:r w:rsidRPr="00C12216">
          <w:rPr>
            <w:rStyle w:val="TextoNormalCaracter"/>
          </w:rPr>
          <w:t>11/2008</w:t>
        </w:r>
      </w:hyperlink>
      <w:r>
        <w:t xml:space="preserve">, f. 4; </w:t>
      </w:r>
      <w:hyperlink w:anchor="SENTENCIA_2008_25" w:history="1">
        <w:r w:rsidRPr="00C12216">
          <w:rPr>
            <w:rStyle w:val="TextoNormalCaracter"/>
          </w:rPr>
          <w:t>25/2008</w:t>
        </w:r>
      </w:hyperlink>
      <w:r>
        <w:t xml:space="preserve">, f. 2; </w:t>
      </w:r>
      <w:hyperlink w:anchor="SENTENCIA_2008_30" w:history="1">
        <w:r w:rsidRPr="00C12216">
          <w:rPr>
            <w:rStyle w:val="TextoNormalCaracter"/>
          </w:rPr>
          <w:t>30/2008</w:t>
        </w:r>
      </w:hyperlink>
      <w:r>
        <w:t xml:space="preserve">, f. 3; </w:t>
      </w:r>
      <w:hyperlink w:anchor="SENTENCIA_2008_37" w:history="1">
        <w:r w:rsidRPr="00C12216">
          <w:rPr>
            <w:rStyle w:val="TextoNormalCaracter"/>
          </w:rPr>
          <w:t>37/2008</w:t>
        </w:r>
      </w:hyperlink>
      <w:r>
        <w:t xml:space="preserve">, f. 1; </w:t>
      </w:r>
      <w:hyperlink w:anchor="SENTENCIA_2008_40" w:history="1">
        <w:r w:rsidRPr="00C12216">
          <w:rPr>
            <w:rStyle w:val="TextoNormalCaracter"/>
          </w:rPr>
          <w:t>40/2008</w:t>
        </w:r>
      </w:hyperlink>
      <w:r>
        <w:t xml:space="preserve">, ff. 1 a 3; </w:t>
      </w:r>
      <w:hyperlink w:anchor="SENTENCIA_2008_51" w:history="1">
        <w:r w:rsidRPr="00C12216">
          <w:rPr>
            <w:rStyle w:val="TextoNormalCaracter"/>
          </w:rPr>
          <w:t>51/2008</w:t>
        </w:r>
      </w:hyperlink>
      <w:r>
        <w:t>, f. 1.</w:t>
      </w:r>
    </w:p>
    <w:p w:rsidR="00C12216" w:rsidRDefault="00C12216" w:rsidP="00C12216">
      <w:pPr>
        <w:pStyle w:val="SangriaFrancesaArticulo"/>
      </w:pPr>
      <w:r w:rsidRPr="00C12216">
        <w:rPr>
          <w:rStyle w:val="TextoNormalNegritaCaracter"/>
        </w:rPr>
        <w:t>Artículo 44.1.</w:t>
      </w:r>
      <w:r w:rsidRPr="00C12216">
        <w:rPr>
          <w:rStyle w:val="TextoNormalCaracter"/>
        </w:rPr>
        <w:t>-</w:t>
      </w:r>
      <w:r>
        <w:t xml:space="preserve"> Autos </w:t>
      </w:r>
      <w:hyperlink w:anchor="AUTO_2008_46" w:history="1">
        <w:r w:rsidRPr="00C12216">
          <w:rPr>
            <w:rStyle w:val="TextoNormalCaracter"/>
          </w:rPr>
          <w:t>46/2008</w:t>
        </w:r>
      </w:hyperlink>
      <w:r>
        <w:t xml:space="preserve">; </w:t>
      </w:r>
      <w:hyperlink w:anchor="AUTO_2008_48" w:history="1">
        <w:r w:rsidRPr="00C12216">
          <w:rPr>
            <w:rStyle w:val="TextoNormalCaracter"/>
          </w:rPr>
          <w:t>48/2008</w:t>
        </w:r>
      </w:hyperlink>
      <w:r>
        <w:t>.</w:t>
      </w:r>
    </w:p>
    <w:p w:rsidR="00C12216" w:rsidRDefault="00C12216" w:rsidP="00C12216">
      <w:pPr>
        <w:pStyle w:val="SangriaFrancesaArticulo"/>
      </w:pPr>
      <w:r w:rsidRPr="00C12216">
        <w:rPr>
          <w:rStyle w:val="TextoNormalNegritaCaracter"/>
        </w:rPr>
        <w:t>Artículo 44.1 a).</w:t>
      </w:r>
      <w:r w:rsidRPr="00C12216">
        <w:rPr>
          <w:rStyle w:val="TextoNormalCaracter"/>
        </w:rPr>
        <w:t>-</w:t>
      </w:r>
      <w:r>
        <w:t xml:space="preserve"> Sentencias </w:t>
      </w:r>
      <w:hyperlink w:anchor="SENTENCIA_2008_1" w:history="1">
        <w:r w:rsidRPr="00C12216">
          <w:rPr>
            <w:rStyle w:val="TextoNormalCaracter"/>
          </w:rPr>
          <w:t>1/2008</w:t>
        </w:r>
      </w:hyperlink>
      <w:r>
        <w:t xml:space="preserve">, ff. 1, 2; </w:t>
      </w:r>
      <w:hyperlink w:anchor="SENTENCIA_2008_11" w:history="1">
        <w:r w:rsidRPr="00C12216">
          <w:rPr>
            <w:rStyle w:val="TextoNormalCaracter"/>
          </w:rPr>
          <w:t>11/2008</w:t>
        </w:r>
      </w:hyperlink>
      <w:r>
        <w:t xml:space="preserve">, ff. 1, 4; </w:t>
      </w:r>
      <w:hyperlink w:anchor="SENTENCIA_2008_19" w:history="1">
        <w:r w:rsidRPr="00C12216">
          <w:rPr>
            <w:rStyle w:val="TextoNormalCaracter"/>
          </w:rPr>
          <w:t>19/2008</w:t>
        </w:r>
      </w:hyperlink>
      <w:r>
        <w:t xml:space="preserve">, f. 2; </w:t>
      </w:r>
      <w:hyperlink w:anchor="SENTENCIA_2008_20" w:history="1">
        <w:r w:rsidRPr="00C12216">
          <w:rPr>
            <w:rStyle w:val="TextoNormalCaracter"/>
          </w:rPr>
          <w:t>20/2008</w:t>
        </w:r>
      </w:hyperlink>
      <w:r>
        <w:t xml:space="preserve">, f. 4; </w:t>
      </w:r>
      <w:hyperlink w:anchor="SENTENCIA_2008_25" w:history="1">
        <w:r w:rsidRPr="00C12216">
          <w:rPr>
            <w:rStyle w:val="TextoNormalCaracter"/>
          </w:rPr>
          <w:t>25/2008</w:t>
        </w:r>
      </w:hyperlink>
      <w:r>
        <w:t xml:space="preserve">, f. 3; </w:t>
      </w:r>
      <w:hyperlink w:anchor="SENTENCIA_2008_26" w:history="1">
        <w:r w:rsidRPr="00C12216">
          <w:rPr>
            <w:rStyle w:val="TextoNormalCaracter"/>
          </w:rPr>
          <w:t>26/2008</w:t>
        </w:r>
      </w:hyperlink>
      <w:r>
        <w:t xml:space="preserve">, f. 2; </w:t>
      </w:r>
      <w:hyperlink w:anchor="SENTENCIA_2008_43" w:history="1">
        <w:r w:rsidRPr="00C12216">
          <w:rPr>
            <w:rStyle w:val="TextoNormalCaracter"/>
          </w:rPr>
          <w:t>43/2008</w:t>
        </w:r>
      </w:hyperlink>
      <w:r>
        <w:t xml:space="preserve">, f. 2; </w:t>
      </w:r>
      <w:hyperlink w:anchor="SENTENCIA_2008_45" w:history="1">
        <w:r w:rsidRPr="00C12216">
          <w:rPr>
            <w:rStyle w:val="TextoNormalCaracter"/>
          </w:rPr>
          <w:t>45/2008</w:t>
        </w:r>
      </w:hyperlink>
      <w:r>
        <w:t xml:space="preserve">, f. 3, VP; </w:t>
      </w:r>
      <w:hyperlink w:anchor="SENTENCIA_2008_50" w:history="1">
        <w:r w:rsidRPr="00C12216">
          <w:rPr>
            <w:rStyle w:val="TextoNormalCaracter"/>
          </w:rPr>
          <w:t>50/2008</w:t>
        </w:r>
      </w:hyperlink>
      <w:r>
        <w:t xml:space="preserve">, f. 3; </w:t>
      </w:r>
      <w:hyperlink w:anchor="SENTENCIA_2008_54" w:history="1">
        <w:r w:rsidRPr="00C12216">
          <w:rPr>
            <w:rStyle w:val="TextoNormalCaracter"/>
          </w:rPr>
          <w:t>54/2008</w:t>
        </w:r>
      </w:hyperlink>
      <w:r>
        <w:t>, f. 2.</w:t>
      </w:r>
    </w:p>
    <w:p w:rsidR="00C12216" w:rsidRDefault="00C12216" w:rsidP="00C12216">
      <w:pPr>
        <w:pStyle w:val="SangriaIzquierdaArticulo"/>
      </w:pPr>
      <w:r>
        <w:t xml:space="preserve">Autos </w:t>
      </w:r>
      <w:hyperlink w:anchor="AUTO_2008_41" w:history="1">
        <w:r w:rsidRPr="00C12216">
          <w:rPr>
            <w:rStyle w:val="TextoNormalCaracter"/>
          </w:rPr>
          <w:t>41/2008</w:t>
        </w:r>
      </w:hyperlink>
      <w:r>
        <w:t xml:space="preserve">; </w:t>
      </w:r>
      <w:hyperlink w:anchor="AUTO_2008_84" w:history="1">
        <w:r w:rsidRPr="00C12216">
          <w:rPr>
            <w:rStyle w:val="TextoNormalCaracter"/>
          </w:rPr>
          <w:t>84/2008</w:t>
        </w:r>
      </w:hyperlink>
      <w:r>
        <w:t xml:space="preserve">; </w:t>
      </w:r>
      <w:hyperlink w:anchor="AUTO_2008_115" w:history="1">
        <w:r w:rsidRPr="00C12216">
          <w:rPr>
            <w:rStyle w:val="TextoNormalCaracter"/>
          </w:rPr>
          <w:t>115/2008</w:t>
        </w:r>
      </w:hyperlink>
      <w:r>
        <w:t xml:space="preserve">; </w:t>
      </w:r>
      <w:hyperlink w:anchor="AUTO_2008_117" w:history="1">
        <w:r w:rsidRPr="00C12216">
          <w:rPr>
            <w:rStyle w:val="TextoNormalCaracter"/>
          </w:rPr>
          <w:t>117/2008</w:t>
        </w:r>
      </w:hyperlink>
      <w:r>
        <w:t>.</w:t>
      </w:r>
    </w:p>
    <w:p w:rsidR="00C12216" w:rsidRDefault="00C12216" w:rsidP="00C12216">
      <w:pPr>
        <w:pStyle w:val="SangriaFrancesaArticulo"/>
      </w:pPr>
      <w:r w:rsidRPr="00C12216">
        <w:rPr>
          <w:rStyle w:val="TextoNormalNegritaCaracter"/>
        </w:rPr>
        <w:t>Artículo 44.1 b).</w:t>
      </w:r>
      <w:r w:rsidRPr="00C12216">
        <w:rPr>
          <w:rStyle w:val="TextoNormalCaracter"/>
        </w:rPr>
        <w:t>-</w:t>
      </w:r>
      <w:r>
        <w:t xml:space="preserve"> Sentencia </w:t>
      </w:r>
      <w:hyperlink w:anchor="SENTENCIA_2008_15" w:history="1">
        <w:r w:rsidRPr="00C12216">
          <w:rPr>
            <w:rStyle w:val="TextoNormalCaracter"/>
          </w:rPr>
          <w:t>15/2008</w:t>
        </w:r>
      </w:hyperlink>
      <w:r>
        <w:t>, f. 6.</w:t>
      </w:r>
    </w:p>
    <w:p w:rsidR="00C12216" w:rsidRDefault="00C12216" w:rsidP="00C12216">
      <w:pPr>
        <w:pStyle w:val="SangriaIzquierdaArticulo"/>
      </w:pPr>
      <w:r>
        <w:t xml:space="preserve">Autos </w:t>
      </w:r>
      <w:hyperlink w:anchor="AUTO_2008_83" w:history="1">
        <w:r w:rsidRPr="00C12216">
          <w:rPr>
            <w:rStyle w:val="TextoNormalCaracter"/>
          </w:rPr>
          <w:t>83/2008</w:t>
        </w:r>
      </w:hyperlink>
      <w:r>
        <w:t xml:space="preserve">; </w:t>
      </w:r>
      <w:hyperlink w:anchor="AUTO_2008_115" w:history="1">
        <w:r w:rsidRPr="00C12216">
          <w:rPr>
            <w:rStyle w:val="TextoNormalCaracter"/>
          </w:rPr>
          <w:t>115/2008</w:t>
        </w:r>
      </w:hyperlink>
      <w:r>
        <w:t>.</w:t>
      </w:r>
    </w:p>
    <w:p w:rsidR="00C12216" w:rsidRDefault="00C12216" w:rsidP="00C12216">
      <w:pPr>
        <w:pStyle w:val="SangriaFrancesaArticulo"/>
      </w:pPr>
      <w:r w:rsidRPr="00C12216">
        <w:rPr>
          <w:rStyle w:val="TextoNormalNegritaCaracter"/>
        </w:rPr>
        <w:t>Artículo 44.1 c).</w:t>
      </w:r>
      <w:r w:rsidRPr="00C12216">
        <w:rPr>
          <w:rStyle w:val="TextoNormalCaracter"/>
        </w:rPr>
        <w:t>-</w:t>
      </w:r>
      <w:r>
        <w:t xml:space="preserve"> Sentencias </w:t>
      </w:r>
      <w:hyperlink w:anchor="SENTENCIA_2008_11" w:history="1">
        <w:r w:rsidRPr="00C12216">
          <w:rPr>
            <w:rStyle w:val="TextoNormalCaracter"/>
          </w:rPr>
          <w:t>11/2008</w:t>
        </w:r>
      </w:hyperlink>
      <w:r>
        <w:t xml:space="preserve">, ff. 1, 4; </w:t>
      </w:r>
      <w:hyperlink w:anchor="SENTENCIA_2008_27" w:history="1">
        <w:r w:rsidRPr="00C12216">
          <w:rPr>
            <w:rStyle w:val="TextoNormalCaracter"/>
          </w:rPr>
          <w:t>27/2008</w:t>
        </w:r>
      </w:hyperlink>
      <w:r>
        <w:t>, f. 2.</w:t>
      </w:r>
    </w:p>
    <w:p w:rsidR="00C12216" w:rsidRDefault="00C12216" w:rsidP="00C12216">
      <w:pPr>
        <w:pStyle w:val="SangriaFrancesaArticulo"/>
      </w:pPr>
      <w:r w:rsidRPr="00C12216">
        <w:rPr>
          <w:rStyle w:val="TextoNormalNegritaCaracter"/>
        </w:rPr>
        <w:t>Artículo 44.2.</w:t>
      </w:r>
      <w:r w:rsidRPr="00C12216">
        <w:rPr>
          <w:rStyle w:val="TextoNormalCaracter"/>
        </w:rPr>
        <w:t>-</w:t>
      </w:r>
      <w:r>
        <w:t xml:space="preserve"> Sentencias </w:t>
      </w:r>
      <w:hyperlink w:anchor="SENTENCIA_2008_4" w:history="1">
        <w:r w:rsidRPr="00C12216">
          <w:rPr>
            <w:rStyle w:val="TextoNormalCaracter"/>
          </w:rPr>
          <w:t>4/2008</w:t>
        </w:r>
      </w:hyperlink>
      <w:r>
        <w:t xml:space="preserve">, f. 2; </w:t>
      </w:r>
      <w:hyperlink w:anchor="SENTENCIA_2008_13" w:history="1">
        <w:r w:rsidRPr="00C12216">
          <w:rPr>
            <w:rStyle w:val="TextoNormalCaracter"/>
          </w:rPr>
          <w:t>13/2008</w:t>
        </w:r>
      </w:hyperlink>
      <w:r>
        <w:t xml:space="preserve">, f. 2; </w:t>
      </w:r>
      <w:hyperlink w:anchor="SENTENCIA_2008_14" w:history="1">
        <w:r w:rsidRPr="00C12216">
          <w:rPr>
            <w:rStyle w:val="TextoNormalCaracter"/>
          </w:rPr>
          <w:t>14/2008</w:t>
        </w:r>
      </w:hyperlink>
      <w:r>
        <w:t xml:space="preserve">, f. 2; </w:t>
      </w:r>
      <w:hyperlink w:anchor="SENTENCIA_2008_17" w:history="1">
        <w:r w:rsidRPr="00C12216">
          <w:rPr>
            <w:rStyle w:val="TextoNormalCaracter"/>
          </w:rPr>
          <w:t>17/2008</w:t>
        </w:r>
      </w:hyperlink>
      <w:r>
        <w:t xml:space="preserve">, f. 2; </w:t>
      </w:r>
      <w:hyperlink w:anchor="SENTENCIA_2008_19" w:history="1">
        <w:r w:rsidRPr="00C12216">
          <w:rPr>
            <w:rStyle w:val="TextoNormalCaracter"/>
          </w:rPr>
          <w:t>19/2008</w:t>
        </w:r>
      </w:hyperlink>
      <w:r>
        <w:t xml:space="preserve">, f. 3; </w:t>
      </w:r>
      <w:hyperlink w:anchor="SENTENCIA_2008_26" w:history="1">
        <w:r w:rsidRPr="00C12216">
          <w:rPr>
            <w:rStyle w:val="TextoNormalCaracter"/>
          </w:rPr>
          <w:t>26/2008</w:t>
        </w:r>
      </w:hyperlink>
      <w:r>
        <w:t xml:space="preserve">, f. 2; </w:t>
      </w:r>
      <w:hyperlink w:anchor="SENTENCIA_2008_56" w:history="1">
        <w:r w:rsidRPr="00C12216">
          <w:rPr>
            <w:rStyle w:val="TextoNormalCaracter"/>
          </w:rPr>
          <w:t>56/2008</w:t>
        </w:r>
      </w:hyperlink>
      <w:r>
        <w:t>, f. 2.</w:t>
      </w:r>
    </w:p>
    <w:p w:rsidR="00C12216" w:rsidRDefault="00C12216" w:rsidP="00C12216">
      <w:pPr>
        <w:pStyle w:val="SangriaIzquierdaArticulo"/>
      </w:pPr>
      <w:r>
        <w:t xml:space="preserve">Auto </w:t>
      </w:r>
      <w:hyperlink w:anchor="AUTO_2008_63" w:history="1">
        <w:r w:rsidRPr="00C12216">
          <w:rPr>
            <w:rStyle w:val="TextoNormalCaracter"/>
          </w:rPr>
          <w:t>63/2008</w:t>
        </w:r>
      </w:hyperlink>
      <w:r>
        <w:t>.</w:t>
      </w:r>
    </w:p>
    <w:p w:rsidR="00C12216" w:rsidRDefault="00C12216" w:rsidP="00C12216">
      <w:pPr>
        <w:pStyle w:val="SangriaFrancesaArticulo"/>
      </w:pPr>
      <w:r w:rsidRPr="00C12216">
        <w:rPr>
          <w:rStyle w:val="TextoNormalNegritaCaracter"/>
        </w:rPr>
        <w:t>Artículo 49.1.</w:t>
      </w:r>
      <w:r w:rsidRPr="00C12216">
        <w:rPr>
          <w:rStyle w:val="TextoNormalCaracter"/>
        </w:rPr>
        <w:t>-</w:t>
      </w:r>
      <w:r>
        <w:t xml:space="preserve"> Sentencia </w:t>
      </w:r>
      <w:hyperlink w:anchor="SENTENCIA_2008_7" w:history="1">
        <w:r w:rsidRPr="00C12216">
          <w:rPr>
            <w:rStyle w:val="TextoNormalCaracter"/>
          </w:rPr>
          <w:t>7/2008</w:t>
        </w:r>
      </w:hyperlink>
      <w:r>
        <w:t>, f. 1.</w:t>
      </w:r>
    </w:p>
    <w:p w:rsidR="00C12216" w:rsidRDefault="00C12216" w:rsidP="00C12216">
      <w:pPr>
        <w:pStyle w:val="SangriaFrancesaArticulo"/>
      </w:pPr>
      <w:r w:rsidRPr="00C12216">
        <w:rPr>
          <w:rStyle w:val="TextoNormalNegritaCaracter"/>
        </w:rPr>
        <w:t>Artículo 50.1.</w:t>
      </w:r>
      <w:r w:rsidRPr="00C12216">
        <w:rPr>
          <w:rStyle w:val="TextoNormalCaracter"/>
        </w:rPr>
        <w:t>-</w:t>
      </w:r>
      <w:r>
        <w:t xml:space="preserve"> Sentencias </w:t>
      </w:r>
      <w:hyperlink w:anchor="SENTENCIA_2008_20" w:history="1">
        <w:r w:rsidRPr="00C12216">
          <w:rPr>
            <w:rStyle w:val="TextoNormalCaracter"/>
          </w:rPr>
          <w:t>20/2008</w:t>
        </w:r>
      </w:hyperlink>
      <w:r>
        <w:t xml:space="preserve">, f. 3; </w:t>
      </w:r>
      <w:hyperlink w:anchor="SENTENCIA_2008_54" w:history="1">
        <w:r w:rsidRPr="00C12216">
          <w:rPr>
            <w:rStyle w:val="TextoNormalCaracter"/>
          </w:rPr>
          <w:t>54/2008</w:t>
        </w:r>
      </w:hyperlink>
      <w:r>
        <w:t>, f. 2.</w:t>
      </w:r>
    </w:p>
    <w:p w:rsidR="00C12216" w:rsidRDefault="00C12216" w:rsidP="00C12216">
      <w:pPr>
        <w:pStyle w:val="SangriaIzquierdaArticulo"/>
      </w:pPr>
      <w:r>
        <w:t xml:space="preserve">Autos </w:t>
      </w:r>
      <w:hyperlink w:anchor="AUTO_2008_41" w:history="1">
        <w:r w:rsidRPr="00C12216">
          <w:rPr>
            <w:rStyle w:val="TextoNormalCaracter"/>
          </w:rPr>
          <w:t>41/2008</w:t>
        </w:r>
      </w:hyperlink>
      <w:r>
        <w:t xml:space="preserve">; </w:t>
      </w:r>
      <w:hyperlink w:anchor="AUTO_2008_47" w:history="1">
        <w:r w:rsidRPr="00C12216">
          <w:rPr>
            <w:rStyle w:val="TextoNormalCaracter"/>
          </w:rPr>
          <w:t>47/2008</w:t>
        </w:r>
      </w:hyperlink>
      <w:r>
        <w:t>.</w:t>
      </w:r>
    </w:p>
    <w:p w:rsidR="00C12216" w:rsidRDefault="00C12216" w:rsidP="00C12216">
      <w:pPr>
        <w:pStyle w:val="SangriaFrancesaArticulo"/>
      </w:pPr>
      <w:r w:rsidRPr="00C12216">
        <w:rPr>
          <w:rStyle w:val="TextoNormalNegritaCaracter"/>
        </w:rPr>
        <w:t>Artículo 50.1 a).</w:t>
      </w:r>
      <w:r w:rsidRPr="00C12216">
        <w:rPr>
          <w:rStyle w:val="TextoNormalCaracter"/>
        </w:rPr>
        <w:t>-</w:t>
      </w:r>
      <w:r>
        <w:t xml:space="preserve"> Sentencias </w:t>
      </w:r>
      <w:hyperlink w:anchor="SENTENCIA_2008_1" w:history="1">
        <w:r w:rsidRPr="00C12216">
          <w:rPr>
            <w:rStyle w:val="TextoNormalCaracter"/>
          </w:rPr>
          <w:t>1/2008</w:t>
        </w:r>
      </w:hyperlink>
      <w:r>
        <w:t xml:space="preserve">, ff. 1, 2; </w:t>
      </w:r>
      <w:hyperlink w:anchor="SENTENCIA_2008_13" w:history="1">
        <w:r w:rsidRPr="00C12216">
          <w:rPr>
            <w:rStyle w:val="TextoNormalCaracter"/>
          </w:rPr>
          <w:t>13/2008</w:t>
        </w:r>
      </w:hyperlink>
      <w:r>
        <w:t xml:space="preserve">, f. 2; </w:t>
      </w:r>
      <w:hyperlink w:anchor="SENTENCIA_2008_19" w:history="1">
        <w:r w:rsidRPr="00C12216">
          <w:rPr>
            <w:rStyle w:val="TextoNormalCaracter"/>
          </w:rPr>
          <w:t>19/2008</w:t>
        </w:r>
      </w:hyperlink>
      <w:r>
        <w:t xml:space="preserve">, f. 3; </w:t>
      </w:r>
      <w:hyperlink w:anchor="SENTENCIA_2008_25" w:history="1">
        <w:r w:rsidRPr="00C12216">
          <w:rPr>
            <w:rStyle w:val="TextoNormalCaracter"/>
          </w:rPr>
          <w:t>25/2008</w:t>
        </w:r>
      </w:hyperlink>
      <w:r>
        <w:t xml:space="preserve">, f. 3; </w:t>
      </w:r>
      <w:hyperlink w:anchor="SENTENCIA_2008_27" w:history="1">
        <w:r w:rsidRPr="00C12216">
          <w:rPr>
            <w:rStyle w:val="TextoNormalCaracter"/>
          </w:rPr>
          <w:t>27/2008</w:t>
        </w:r>
      </w:hyperlink>
      <w:r>
        <w:t xml:space="preserve">, f. 2; </w:t>
      </w:r>
      <w:hyperlink w:anchor="SENTENCIA_2008_50" w:history="1">
        <w:r w:rsidRPr="00C12216">
          <w:rPr>
            <w:rStyle w:val="TextoNormalCaracter"/>
          </w:rPr>
          <w:t>50/2008</w:t>
        </w:r>
      </w:hyperlink>
      <w:r>
        <w:t>, f. 3.</w:t>
      </w:r>
    </w:p>
    <w:p w:rsidR="00C12216" w:rsidRDefault="00C12216" w:rsidP="00C12216">
      <w:pPr>
        <w:pStyle w:val="SangriaIzquierdaArticulo"/>
      </w:pPr>
      <w:r>
        <w:t xml:space="preserve">Autos </w:t>
      </w:r>
      <w:hyperlink w:anchor="AUTO_2008_41" w:history="1">
        <w:r w:rsidRPr="00C12216">
          <w:rPr>
            <w:rStyle w:val="TextoNormalCaracter"/>
          </w:rPr>
          <w:t>41/2008</w:t>
        </w:r>
      </w:hyperlink>
      <w:r>
        <w:t xml:space="preserve">; </w:t>
      </w:r>
      <w:hyperlink w:anchor="AUTO_2008_84" w:history="1">
        <w:r w:rsidRPr="00C12216">
          <w:rPr>
            <w:rStyle w:val="TextoNormalCaracter"/>
          </w:rPr>
          <w:t>84/2008</w:t>
        </w:r>
      </w:hyperlink>
      <w:r>
        <w:t xml:space="preserve">; </w:t>
      </w:r>
      <w:hyperlink w:anchor="AUTO_2008_117" w:history="1">
        <w:r w:rsidRPr="00C12216">
          <w:rPr>
            <w:rStyle w:val="TextoNormalCaracter"/>
          </w:rPr>
          <w:t>117/2008</w:t>
        </w:r>
      </w:hyperlink>
      <w:r>
        <w:t>.</w:t>
      </w:r>
    </w:p>
    <w:p w:rsidR="00C12216" w:rsidRDefault="00C12216" w:rsidP="00C12216">
      <w:pPr>
        <w:pStyle w:val="SangriaFrancesaArticulo"/>
      </w:pPr>
      <w:r w:rsidRPr="00C12216">
        <w:rPr>
          <w:rStyle w:val="TextoNormalNegritaCaracter"/>
        </w:rPr>
        <w:t>Artículo 50.1 c).</w:t>
      </w:r>
      <w:r w:rsidRPr="00C12216">
        <w:rPr>
          <w:rStyle w:val="TextoNormalCaracter"/>
        </w:rPr>
        <w:t>-</w:t>
      </w:r>
      <w:r>
        <w:t xml:space="preserve"> Sentencia </w:t>
      </w:r>
      <w:hyperlink w:anchor="SENTENCIA_2008_50" w:history="1">
        <w:r w:rsidRPr="00C12216">
          <w:rPr>
            <w:rStyle w:val="TextoNormalCaracter"/>
          </w:rPr>
          <w:t>50/2008</w:t>
        </w:r>
      </w:hyperlink>
      <w:r>
        <w:t>, f. 3.</w:t>
      </w:r>
    </w:p>
    <w:p w:rsidR="00C12216" w:rsidRDefault="00C12216" w:rsidP="00C12216">
      <w:pPr>
        <w:pStyle w:val="SangriaIzquierdaArticulo"/>
      </w:pPr>
      <w:r>
        <w:t xml:space="preserve">Autos </w:t>
      </w:r>
      <w:hyperlink w:anchor="AUTO_2008_2" w:history="1">
        <w:r w:rsidRPr="00C12216">
          <w:rPr>
            <w:rStyle w:val="TextoNormalCaracter"/>
          </w:rPr>
          <w:t>2/2008</w:t>
        </w:r>
      </w:hyperlink>
      <w:r>
        <w:t xml:space="preserve">; </w:t>
      </w:r>
      <w:hyperlink w:anchor="AUTO_2008_28" w:history="1">
        <w:r w:rsidRPr="00C12216">
          <w:rPr>
            <w:rStyle w:val="TextoNormalCaracter"/>
          </w:rPr>
          <w:t>28/2008</w:t>
        </w:r>
      </w:hyperlink>
      <w:r>
        <w:t xml:space="preserve">; </w:t>
      </w:r>
      <w:hyperlink w:anchor="AUTO_2008_41" w:history="1">
        <w:r w:rsidRPr="00C12216">
          <w:rPr>
            <w:rStyle w:val="TextoNormalCaracter"/>
          </w:rPr>
          <w:t>41/2008</w:t>
        </w:r>
      </w:hyperlink>
      <w:r>
        <w:t xml:space="preserve">; </w:t>
      </w:r>
      <w:hyperlink w:anchor="AUTO_2008_49" w:history="1">
        <w:r w:rsidRPr="00C12216">
          <w:rPr>
            <w:rStyle w:val="TextoNormalCaracter"/>
          </w:rPr>
          <w:t>49/2008</w:t>
        </w:r>
      </w:hyperlink>
      <w:r>
        <w:t xml:space="preserve">; </w:t>
      </w:r>
      <w:hyperlink w:anchor="AUTO_2008_61" w:history="1">
        <w:r w:rsidRPr="00C12216">
          <w:rPr>
            <w:rStyle w:val="TextoNormalCaracter"/>
          </w:rPr>
          <w:t>61/2008</w:t>
        </w:r>
      </w:hyperlink>
      <w:r>
        <w:t xml:space="preserve">; </w:t>
      </w:r>
      <w:hyperlink w:anchor="AUTO_2008_77" w:history="1">
        <w:r w:rsidRPr="00C12216">
          <w:rPr>
            <w:rStyle w:val="TextoNormalCaracter"/>
          </w:rPr>
          <w:t>77/2008</w:t>
        </w:r>
      </w:hyperlink>
      <w:r>
        <w:t xml:space="preserve">; </w:t>
      </w:r>
      <w:hyperlink w:anchor="AUTO_2008_82" w:history="1">
        <w:r w:rsidRPr="00C12216">
          <w:rPr>
            <w:rStyle w:val="TextoNormalCaracter"/>
          </w:rPr>
          <w:t>82/2008</w:t>
        </w:r>
      </w:hyperlink>
      <w:r>
        <w:t xml:space="preserve">; </w:t>
      </w:r>
      <w:hyperlink w:anchor="AUTO_2008_83" w:history="1">
        <w:r w:rsidRPr="00C12216">
          <w:rPr>
            <w:rStyle w:val="TextoNormalCaracter"/>
          </w:rPr>
          <w:t>83/2008</w:t>
        </w:r>
      </w:hyperlink>
      <w:r>
        <w:t xml:space="preserve">; </w:t>
      </w:r>
      <w:hyperlink w:anchor="AUTO_2008_85" w:history="1">
        <w:r w:rsidRPr="00C12216">
          <w:rPr>
            <w:rStyle w:val="TextoNormalCaracter"/>
          </w:rPr>
          <w:t>85/2008</w:t>
        </w:r>
      </w:hyperlink>
      <w:r>
        <w:t xml:space="preserve">; </w:t>
      </w:r>
      <w:hyperlink w:anchor="AUTO_2008_86" w:history="1">
        <w:r w:rsidRPr="00C12216">
          <w:rPr>
            <w:rStyle w:val="TextoNormalCaracter"/>
          </w:rPr>
          <w:t>86/2008</w:t>
        </w:r>
      </w:hyperlink>
      <w:r>
        <w:t xml:space="preserve">; </w:t>
      </w:r>
      <w:hyperlink w:anchor="AUTO_2008_112" w:history="1">
        <w:r w:rsidRPr="00C12216">
          <w:rPr>
            <w:rStyle w:val="TextoNormalCaracter"/>
          </w:rPr>
          <w:t>112/2008</w:t>
        </w:r>
      </w:hyperlink>
      <w:r>
        <w:t xml:space="preserve">; </w:t>
      </w:r>
      <w:hyperlink w:anchor="AUTO_2008_117" w:history="1">
        <w:r w:rsidRPr="00C12216">
          <w:rPr>
            <w:rStyle w:val="TextoNormalCaracter"/>
          </w:rPr>
          <w:t>117/2008</w:t>
        </w:r>
      </w:hyperlink>
      <w:r>
        <w:t>.</w:t>
      </w:r>
    </w:p>
    <w:p w:rsidR="00C12216" w:rsidRDefault="00C12216" w:rsidP="00C12216">
      <w:pPr>
        <w:pStyle w:val="SangriaFrancesaArticulo"/>
      </w:pPr>
      <w:r w:rsidRPr="00C12216">
        <w:rPr>
          <w:rStyle w:val="TextoNormalNegritaCaracter"/>
        </w:rPr>
        <w:t>Artículo 50.1 d).</w:t>
      </w:r>
      <w:r w:rsidRPr="00C12216">
        <w:rPr>
          <w:rStyle w:val="TextoNormalCaracter"/>
        </w:rPr>
        <w:t>-</w:t>
      </w:r>
      <w:r>
        <w:t xml:space="preserve"> Auto </w:t>
      </w:r>
      <w:hyperlink w:anchor="AUTO_2008_4" w:history="1">
        <w:r w:rsidRPr="00C12216">
          <w:rPr>
            <w:rStyle w:val="TextoNormalCaracter"/>
          </w:rPr>
          <w:t>4/2008</w:t>
        </w:r>
      </w:hyperlink>
      <w:r>
        <w:t>.</w:t>
      </w:r>
    </w:p>
    <w:p w:rsidR="00C12216" w:rsidRDefault="00C12216" w:rsidP="00C12216">
      <w:pPr>
        <w:pStyle w:val="SangriaFrancesaArticulo"/>
      </w:pPr>
      <w:r w:rsidRPr="00C12216">
        <w:rPr>
          <w:rStyle w:val="TextoNormalNegritaCaracter"/>
        </w:rPr>
        <w:t>Artículo 50.2.</w:t>
      </w:r>
      <w:r w:rsidRPr="00C12216">
        <w:rPr>
          <w:rStyle w:val="TextoNormalCaracter"/>
        </w:rPr>
        <w:t>-</w:t>
      </w:r>
      <w:r>
        <w:t xml:space="preserve"> Auto </w:t>
      </w:r>
      <w:hyperlink w:anchor="AUTO_2008_85" w:history="1">
        <w:r w:rsidRPr="00C12216">
          <w:rPr>
            <w:rStyle w:val="TextoNormalCaracter"/>
          </w:rPr>
          <w:t>85/2008</w:t>
        </w:r>
      </w:hyperlink>
      <w:r>
        <w:t>.</w:t>
      </w:r>
    </w:p>
    <w:p w:rsidR="00C12216" w:rsidRDefault="00C12216" w:rsidP="00C12216">
      <w:pPr>
        <w:pStyle w:val="SangriaFrancesaArticulo"/>
      </w:pPr>
      <w:r w:rsidRPr="00C12216">
        <w:rPr>
          <w:rStyle w:val="TextoNormalNegritaCaracter"/>
        </w:rPr>
        <w:t>Artículo 50.3.</w:t>
      </w:r>
      <w:r w:rsidRPr="00C12216">
        <w:rPr>
          <w:rStyle w:val="TextoNormalCaracter"/>
        </w:rPr>
        <w:t>-</w:t>
      </w:r>
      <w:r>
        <w:t xml:space="preserve"> Sentencias </w:t>
      </w:r>
      <w:hyperlink w:anchor="SENTENCIA_2008_13" w:history="1">
        <w:r w:rsidRPr="00C12216">
          <w:rPr>
            <w:rStyle w:val="TextoNormalCaracter"/>
          </w:rPr>
          <w:t>13/2008</w:t>
        </w:r>
      </w:hyperlink>
      <w:r>
        <w:t xml:space="preserve">, f. 3; </w:t>
      </w:r>
      <w:hyperlink w:anchor="SENTENCIA_2008_42" w:history="1">
        <w:r w:rsidRPr="00C12216">
          <w:rPr>
            <w:rStyle w:val="TextoNormalCaracter"/>
          </w:rPr>
          <w:t>42/2008</w:t>
        </w:r>
      </w:hyperlink>
      <w:r>
        <w:t>, f. 2.</w:t>
      </w:r>
    </w:p>
    <w:p w:rsidR="00C12216" w:rsidRDefault="00C12216" w:rsidP="00C12216">
      <w:pPr>
        <w:pStyle w:val="SangriaIzquierdaArticulo"/>
      </w:pPr>
      <w:r>
        <w:t xml:space="preserve">Autos </w:t>
      </w:r>
      <w:hyperlink w:anchor="AUTO_2008_4" w:history="1">
        <w:r w:rsidRPr="00C12216">
          <w:rPr>
            <w:rStyle w:val="TextoNormalCaracter"/>
          </w:rPr>
          <w:t>4/2008</w:t>
        </w:r>
      </w:hyperlink>
      <w:r>
        <w:t xml:space="preserve">; </w:t>
      </w:r>
      <w:hyperlink w:anchor="AUTO_2008_47" w:history="1">
        <w:r w:rsidRPr="00C12216">
          <w:rPr>
            <w:rStyle w:val="TextoNormalCaracter"/>
          </w:rPr>
          <w:t>47/2008</w:t>
        </w:r>
      </w:hyperlink>
      <w:r>
        <w:t xml:space="preserve">; </w:t>
      </w:r>
      <w:hyperlink w:anchor="AUTO_2008_82" w:history="1">
        <w:r w:rsidRPr="00C12216">
          <w:rPr>
            <w:rStyle w:val="TextoNormalCaracter"/>
          </w:rPr>
          <w:t>82/2008</w:t>
        </w:r>
      </w:hyperlink>
      <w:r>
        <w:t>.</w:t>
      </w:r>
    </w:p>
    <w:p w:rsidR="00C12216" w:rsidRDefault="00C12216" w:rsidP="00C12216">
      <w:pPr>
        <w:pStyle w:val="SangriaFrancesaArticulo"/>
      </w:pPr>
      <w:r w:rsidRPr="00C12216">
        <w:rPr>
          <w:rStyle w:val="TextoNormalNegritaCaracter"/>
        </w:rPr>
        <w:t>Artículo 50.3</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Auto </w:t>
      </w:r>
      <w:hyperlink w:anchor="AUTO_2008_28" w:history="1">
        <w:r w:rsidRPr="00C12216">
          <w:rPr>
            <w:rStyle w:val="TextoNormalCaracter"/>
          </w:rPr>
          <w:t>28/2008</w:t>
        </w:r>
      </w:hyperlink>
      <w:r>
        <w:t>.</w:t>
      </w:r>
    </w:p>
    <w:p w:rsidR="00C12216" w:rsidRDefault="00C12216" w:rsidP="00C12216">
      <w:pPr>
        <w:pStyle w:val="SangriaFrancesaArticulo"/>
      </w:pPr>
      <w:r w:rsidRPr="00C12216">
        <w:rPr>
          <w:rStyle w:val="TextoNormalNegritaCaracter"/>
        </w:rPr>
        <w:t>Artículo 50.4</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Autos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r w:rsidRPr="00C12216">
        <w:rPr>
          <w:rStyle w:val="TextoNormalNegritaCaracter"/>
        </w:rPr>
        <w:t>Artículo 50.5.</w:t>
      </w:r>
      <w:r w:rsidRPr="00C12216">
        <w:rPr>
          <w:rStyle w:val="TextoNormalCaracter"/>
        </w:rPr>
        <w:t>-</w:t>
      </w:r>
      <w:r>
        <w:t xml:space="preserve"> Autos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r w:rsidRPr="00C12216">
        <w:rPr>
          <w:rStyle w:val="TextoNormalNegritaCaracter"/>
        </w:rPr>
        <w:t>Artículo 51.1.</w:t>
      </w:r>
      <w:r w:rsidRPr="00C12216">
        <w:rPr>
          <w:rStyle w:val="TextoNormalCaracter"/>
        </w:rPr>
        <w:t>-</w:t>
      </w:r>
      <w:r>
        <w:t xml:space="preserve"> Sentencia </w:t>
      </w:r>
      <w:hyperlink w:anchor="SENTENCIA_2008_20" w:history="1">
        <w:r w:rsidRPr="00C12216">
          <w:rPr>
            <w:rStyle w:val="TextoNormalCaracter"/>
          </w:rPr>
          <w:t>20/2008</w:t>
        </w:r>
      </w:hyperlink>
      <w:r>
        <w:t>, f. 3.</w:t>
      </w:r>
    </w:p>
    <w:p w:rsidR="00C12216" w:rsidRDefault="00C12216" w:rsidP="00C12216">
      <w:pPr>
        <w:pStyle w:val="SangriaFrancesaArticulo"/>
      </w:pPr>
      <w:r w:rsidRPr="00C12216">
        <w:rPr>
          <w:rStyle w:val="TextoNormalNegritaCaracter"/>
        </w:rPr>
        <w:t>Artículo 52.</w:t>
      </w:r>
      <w:r w:rsidRPr="00C12216">
        <w:rPr>
          <w:rStyle w:val="TextoNormalCaracter"/>
        </w:rPr>
        <w:t>-</w:t>
      </w:r>
      <w:r>
        <w:t xml:space="preserve"> Sentencias </w:t>
      </w:r>
      <w:hyperlink w:anchor="SENTENCIA_2008_5" w:history="1">
        <w:r w:rsidRPr="00C12216">
          <w:rPr>
            <w:rStyle w:val="TextoNormalCaracter"/>
          </w:rPr>
          <w:t>5/2008</w:t>
        </w:r>
      </w:hyperlink>
      <w:r>
        <w:t xml:space="preserve">, f. 2; </w:t>
      </w:r>
      <w:hyperlink w:anchor="SENTENCIA_2008_6" w:history="1">
        <w:r w:rsidRPr="00C12216">
          <w:rPr>
            <w:rStyle w:val="TextoNormalCaracter"/>
          </w:rPr>
          <w:t>6/2008</w:t>
        </w:r>
      </w:hyperlink>
      <w:r>
        <w:t xml:space="preserve">, f. 5; </w:t>
      </w:r>
      <w:hyperlink w:anchor="SENTENCIA_2008_13" w:history="1">
        <w:r w:rsidRPr="00C12216">
          <w:rPr>
            <w:rStyle w:val="TextoNormalCaracter"/>
          </w:rPr>
          <w:t>13/2008</w:t>
        </w:r>
      </w:hyperlink>
      <w:r>
        <w:t>, f. 3.</w:t>
      </w:r>
    </w:p>
    <w:p w:rsidR="00C12216" w:rsidRDefault="00C12216" w:rsidP="00C12216">
      <w:pPr>
        <w:pStyle w:val="SangriaFrancesaArticulo"/>
      </w:pPr>
      <w:r w:rsidRPr="00C12216">
        <w:rPr>
          <w:rStyle w:val="TextoNormalNegritaCaracter"/>
        </w:rPr>
        <w:t>Artículo 52.1.</w:t>
      </w:r>
      <w:r w:rsidRPr="00C12216">
        <w:rPr>
          <w:rStyle w:val="TextoNormalCaracter"/>
        </w:rPr>
        <w:t>-</w:t>
      </w:r>
      <w:r>
        <w:t xml:space="preserve"> Sentencia </w:t>
      </w:r>
      <w:hyperlink w:anchor="SENTENCIA_2008_42" w:history="1">
        <w:r w:rsidRPr="00C12216">
          <w:rPr>
            <w:rStyle w:val="TextoNormalCaracter"/>
          </w:rPr>
          <w:t>42/2008</w:t>
        </w:r>
      </w:hyperlink>
      <w:r>
        <w:t>, f. 2.</w:t>
      </w:r>
    </w:p>
    <w:p w:rsidR="00C12216" w:rsidRDefault="00C12216" w:rsidP="00C12216">
      <w:pPr>
        <w:pStyle w:val="SangriaIzquierdaArticulo"/>
      </w:pPr>
      <w:r>
        <w:t xml:space="preserve">Auto </w:t>
      </w:r>
      <w:hyperlink w:anchor="AUTO_2008_27" w:history="1">
        <w:r w:rsidRPr="00C12216">
          <w:rPr>
            <w:rStyle w:val="TextoNormalCaracter"/>
          </w:rPr>
          <w:t>27/2008</w:t>
        </w:r>
      </w:hyperlink>
      <w:r>
        <w:t>.</w:t>
      </w:r>
    </w:p>
    <w:p w:rsidR="00C12216" w:rsidRDefault="00C12216" w:rsidP="00C12216">
      <w:pPr>
        <w:pStyle w:val="SangriaFrancesaArticulo"/>
      </w:pPr>
      <w:r w:rsidRPr="00C12216">
        <w:rPr>
          <w:rStyle w:val="TextoNormalNegritaCaracter"/>
        </w:rPr>
        <w:t>Artículo 52.2.</w:t>
      </w:r>
      <w:r w:rsidRPr="00C12216">
        <w:rPr>
          <w:rStyle w:val="TextoNormalCaracter"/>
        </w:rPr>
        <w:t>-</w:t>
      </w:r>
      <w:r>
        <w:t xml:space="preserve"> Autos </w:t>
      </w:r>
      <w:hyperlink w:anchor="AUTO_2008_19" w:history="1">
        <w:r w:rsidRPr="00C12216">
          <w:rPr>
            <w:rStyle w:val="TextoNormalCaracter"/>
          </w:rPr>
          <w:t>19/2008</w:t>
        </w:r>
      </w:hyperlink>
      <w:r>
        <w:t xml:space="preserve">; </w:t>
      </w:r>
      <w:hyperlink w:anchor="AUTO_2008_32" w:history="1">
        <w:r w:rsidRPr="00C12216">
          <w:rPr>
            <w:rStyle w:val="TextoNormalCaracter"/>
          </w:rPr>
          <w:t>32/2008</w:t>
        </w:r>
      </w:hyperlink>
      <w:r>
        <w:t xml:space="preserve">; </w:t>
      </w:r>
      <w:hyperlink w:anchor="AUTO_2008_36" w:history="1">
        <w:r w:rsidRPr="00C12216">
          <w:rPr>
            <w:rStyle w:val="TextoNormalCaracter"/>
          </w:rPr>
          <w:t>36/2008</w:t>
        </w:r>
      </w:hyperlink>
      <w:r>
        <w:t xml:space="preserve">; </w:t>
      </w:r>
      <w:hyperlink w:anchor="AUTO_2008_37" w:history="1">
        <w:r w:rsidRPr="00C12216">
          <w:rPr>
            <w:rStyle w:val="TextoNormalCaracter"/>
          </w:rPr>
          <w:t>37/2008</w:t>
        </w:r>
      </w:hyperlink>
      <w:r>
        <w:t xml:space="preserve">; </w:t>
      </w:r>
      <w:hyperlink w:anchor="AUTO_2008_39" w:history="1">
        <w:r w:rsidRPr="00C12216">
          <w:rPr>
            <w:rStyle w:val="TextoNormalCaracter"/>
          </w:rPr>
          <w:t>39/2008</w:t>
        </w:r>
      </w:hyperlink>
      <w:r>
        <w:t xml:space="preserve">; </w:t>
      </w:r>
      <w:hyperlink w:anchor="AUTO_2008_40" w:history="1">
        <w:r w:rsidRPr="00C12216">
          <w:rPr>
            <w:rStyle w:val="TextoNormalCaracter"/>
          </w:rPr>
          <w:t>40/2008</w:t>
        </w:r>
      </w:hyperlink>
      <w:r>
        <w:t xml:space="preserve">; </w:t>
      </w:r>
      <w:hyperlink w:anchor="AUTO_2008_42" w:history="1">
        <w:r w:rsidRPr="00C12216">
          <w:rPr>
            <w:rStyle w:val="TextoNormalCaracter"/>
          </w:rPr>
          <w:t>42/2008</w:t>
        </w:r>
      </w:hyperlink>
      <w:r>
        <w:t xml:space="preserve">; </w:t>
      </w:r>
      <w:hyperlink w:anchor="AUTO_2008_45" w:history="1">
        <w:r w:rsidRPr="00C12216">
          <w:rPr>
            <w:rStyle w:val="TextoNormalCaracter"/>
          </w:rPr>
          <w:t>45/2008</w:t>
        </w:r>
      </w:hyperlink>
      <w:r>
        <w:t xml:space="preserve">; </w:t>
      </w:r>
      <w:hyperlink w:anchor="AUTO_2008_111" w:history="1">
        <w:r w:rsidRPr="00C12216">
          <w:rPr>
            <w:rStyle w:val="TextoNormalCaracter"/>
          </w:rPr>
          <w:t>111/2008</w:t>
        </w:r>
      </w:hyperlink>
      <w:r>
        <w:t>.</w:t>
      </w:r>
    </w:p>
    <w:p w:rsidR="00C12216" w:rsidRDefault="00C12216" w:rsidP="00C12216">
      <w:pPr>
        <w:pStyle w:val="SangriaFrancesaArticulo"/>
      </w:pPr>
      <w:r w:rsidRPr="00C12216">
        <w:rPr>
          <w:rStyle w:val="TextoNormalNegritaCaracter"/>
        </w:rPr>
        <w:lastRenderedPageBreak/>
        <w:t>Artículo 53.</w:t>
      </w:r>
      <w:r w:rsidRPr="00C12216">
        <w:rPr>
          <w:rStyle w:val="TextoNormalCaracter"/>
        </w:rPr>
        <w:t>-</w:t>
      </w:r>
      <w:r>
        <w:t xml:space="preserve"> Sentencias </w:t>
      </w:r>
      <w:hyperlink w:anchor="SENTENCIA_2008_13" w:history="1">
        <w:r w:rsidRPr="00C12216">
          <w:rPr>
            <w:rStyle w:val="TextoNormalCaracter"/>
          </w:rPr>
          <w:t>13/2008</w:t>
        </w:r>
      </w:hyperlink>
      <w:r>
        <w:t xml:space="preserve">, f. 2; </w:t>
      </w:r>
      <w:hyperlink w:anchor="SENTENCIA_2008_17" w:history="1">
        <w:r w:rsidRPr="00C12216">
          <w:rPr>
            <w:rStyle w:val="TextoNormalCaracter"/>
          </w:rPr>
          <w:t>17/2008</w:t>
        </w:r>
      </w:hyperlink>
      <w:r>
        <w:t xml:space="preserve">, f. 2; </w:t>
      </w:r>
      <w:hyperlink w:anchor="SENTENCIA_2008_20" w:history="1">
        <w:r w:rsidRPr="00C12216">
          <w:rPr>
            <w:rStyle w:val="TextoNormalCaracter"/>
          </w:rPr>
          <w:t>20/2008</w:t>
        </w:r>
      </w:hyperlink>
      <w:r>
        <w:t xml:space="preserve">, f. 5; </w:t>
      </w:r>
      <w:hyperlink w:anchor="SENTENCIA_2008_43" w:history="1">
        <w:r w:rsidRPr="00C12216">
          <w:rPr>
            <w:rStyle w:val="TextoNormalCaracter"/>
          </w:rPr>
          <w:t>43/2008</w:t>
        </w:r>
      </w:hyperlink>
      <w:r>
        <w:t>, f. 2.</w:t>
      </w:r>
    </w:p>
    <w:p w:rsidR="00C12216" w:rsidRDefault="00C12216" w:rsidP="00C12216">
      <w:pPr>
        <w:pStyle w:val="SangriaFrancesaArticulo"/>
      </w:pPr>
      <w:r w:rsidRPr="00C12216">
        <w:rPr>
          <w:rStyle w:val="TextoNormalNegritaCaracter"/>
        </w:rPr>
        <w:t>Artículo 53 a).</w:t>
      </w:r>
      <w:r w:rsidRPr="00C12216">
        <w:rPr>
          <w:rStyle w:val="TextoNormalCaracter"/>
        </w:rPr>
        <w:t>-</w:t>
      </w:r>
      <w:r>
        <w:t xml:space="preserve"> Sentencias </w:t>
      </w:r>
      <w:hyperlink w:anchor="SENTENCIA_2008_2" w:history="1">
        <w:r w:rsidRPr="00C12216">
          <w:rPr>
            <w:rStyle w:val="TextoNormalCaracter"/>
          </w:rPr>
          <w:t>2/2008</w:t>
        </w:r>
      </w:hyperlink>
      <w:r>
        <w:t xml:space="preserve">, f. 4; </w:t>
      </w:r>
      <w:hyperlink w:anchor="SENTENCIA_2008_10" w:history="1">
        <w:r w:rsidRPr="00C12216">
          <w:rPr>
            <w:rStyle w:val="TextoNormalCaracter"/>
          </w:rPr>
          <w:t>10/2008</w:t>
        </w:r>
      </w:hyperlink>
      <w:r>
        <w:t xml:space="preserve">, f. 3; </w:t>
      </w:r>
      <w:hyperlink w:anchor="SENTENCIA_2008_21" w:history="1">
        <w:r w:rsidRPr="00C12216">
          <w:rPr>
            <w:rStyle w:val="TextoNormalCaracter"/>
          </w:rPr>
          <w:t>21/2008</w:t>
        </w:r>
      </w:hyperlink>
      <w:r>
        <w:t xml:space="preserve">, f. 5; </w:t>
      </w:r>
      <w:hyperlink w:anchor="SENTENCIA_2008_28" w:history="1">
        <w:r w:rsidRPr="00C12216">
          <w:rPr>
            <w:rStyle w:val="TextoNormalCaracter"/>
          </w:rPr>
          <w:t>28/2008</w:t>
        </w:r>
      </w:hyperlink>
      <w:r>
        <w:t>, f. 4.</w:t>
      </w:r>
    </w:p>
    <w:p w:rsidR="00C12216" w:rsidRDefault="00C12216" w:rsidP="00C12216">
      <w:pPr>
        <w:pStyle w:val="SangriaFrancesaArticulo"/>
      </w:pPr>
      <w:r w:rsidRPr="00C12216">
        <w:rPr>
          <w:rStyle w:val="TextoNormalNegritaCaracter"/>
        </w:rPr>
        <w:t>Artículo 53 b).</w:t>
      </w:r>
      <w:r w:rsidRPr="00C12216">
        <w:rPr>
          <w:rStyle w:val="TextoNormalCaracter"/>
        </w:rPr>
        <w:t>-</w:t>
      </w:r>
      <w:r>
        <w:t xml:space="preserve"> Sentencia </w:t>
      </w:r>
      <w:hyperlink w:anchor="SENTENCIA_2008_33" w:history="1">
        <w:r w:rsidRPr="00C12216">
          <w:rPr>
            <w:rStyle w:val="TextoNormalCaracter"/>
          </w:rPr>
          <w:t>33/2008</w:t>
        </w:r>
      </w:hyperlink>
      <w:r>
        <w:t>, f. 4.</w:t>
      </w:r>
    </w:p>
    <w:p w:rsidR="00C12216" w:rsidRDefault="00C12216" w:rsidP="00C12216">
      <w:pPr>
        <w:pStyle w:val="SangriaFrancesaArticulo"/>
      </w:pPr>
      <w:r w:rsidRPr="00C12216">
        <w:rPr>
          <w:rStyle w:val="TextoNormalNegritaCaracter"/>
        </w:rPr>
        <w:t>Artículo 55.</w:t>
      </w:r>
      <w:r w:rsidRPr="00C12216">
        <w:rPr>
          <w:rStyle w:val="TextoNormalCaracter"/>
        </w:rPr>
        <w:t>-</w:t>
      </w:r>
      <w:r>
        <w:t xml:space="preserve"> Sentencias </w:t>
      </w:r>
      <w:hyperlink w:anchor="SENTENCIA_2008_5" w:history="1">
        <w:r w:rsidRPr="00C12216">
          <w:rPr>
            <w:rStyle w:val="TextoNormalCaracter"/>
          </w:rPr>
          <w:t>5/2008</w:t>
        </w:r>
      </w:hyperlink>
      <w:r>
        <w:t xml:space="preserve">, f. 6; </w:t>
      </w:r>
      <w:hyperlink w:anchor="SENTENCIA_2008_40" w:history="1">
        <w:r w:rsidRPr="00C12216">
          <w:rPr>
            <w:rStyle w:val="TextoNormalCaracter"/>
          </w:rPr>
          <w:t>40/2008</w:t>
        </w:r>
      </w:hyperlink>
      <w:r>
        <w:t xml:space="preserve">, f. 6; </w:t>
      </w:r>
      <w:hyperlink w:anchor="SENTENCIA_2008_56" w:history="1">
        <w:r w:rsidRPr="00C12216">
          <w:rPr>
            <w:rStyle w:val="TextoNormalCaracter"/>
          </w:rPr>
          <w:t>56/2008</w:t>
        </w:r>
      </w:hyperlink>
      <w:r>
        <w:t xml:space="preserve">, f. 10; </w:t>
      </w:r>
      <w:hyperlink w:anchor="SENTENCIA_2008_57" w:history="1">
        <w:r w:rsidRPr="00C12216">
          <w:rPr>
            <w:rStyle w:val="TextoNormalCaracter"/>
          </w:rPr>
          <w:t>57/2008</w:t>
        </w:r>
      </w:hyperlink>
      <w:r>
        <w:t>, f. 8.</w:t>
      </w:r>
    </w:p>
    <w:p w:rsidR="00C12216" w:rsidRDefault="00C12216" w:rsidP="00C12216">
      <w:pPr>
        <w:pStyle w:val="SangriaFrancesaArticulo"/>
      </w:pPr>
      <w:r w:rsidRPr="00C12216">
        <w:rPr>
          <w:rStyle w:val="TextoNormalNegritaCaracter"/>
        </w:rPr>
        <w:t>Artículo 55.1.</w:t>
      </w:r>
      <w:r w:rsidRPr="00C12216">
        <w:rPr>
          <w:rStyle w:val="TextoNormalCaracter"/>
        </w:rPr>
        <w:t>-</w:t>
      </w:r>
      <w:r>
        <w:t xml:space="preserve"> Sentencias </w:t>
      </w:r>
      <w:hyperlink w:anchor="SENTENCIA_2008_6" w:history="1">
        <w:r w:rsidRPr="00C12216">
          <w:rPr>
            <w:rStyle w:val="TextoNormalCaracter"/>
          </w:rPr>
          <w:t>6/2008</w:t>
        </w:r>
      </w:hyperlink>
      <w:r>
        <w:t xml:space="preserve">, f. 5; </w:t>
      </w:r>
      <w:hyperlink w:anchor="SENTENCIA_2008_8" w:history="1">
        <w:r w:rsidRPr="00C12216">
          <w:rPr>
            <w:rStyle w:val="TextoNormalCaracter"/>
          </w:rPr>
          <w:t>8/2008</w:t>
        </w:r>
      </w:hyperlink>
      <w:r>
        <w:t>, f. 4.</w:t>
      </w:r>
    </w:p>
    <w:p w:rsidR="00C12216" w:rsidRDefault="00C12216" w:rsidP="00C12216">
      <w:pPr>
        <w:pStyle w:val="SangriaFrancesaArticulo"/>
      </w:pPr>
      <w:r w:rsidRPr="00C12216">
        <w:rPr>
          <w:rStyle w:val="TextoNormalNegritaCaracter"/>
        </w:rPr>
        <w:t>Artículo 55.1 c).</w:t>
      </w:r>
      <w:r w:rsidRPr="00C12216">
        <w:rPr>
          <w:rStyle w:val="TextoNormalCaracter"/>
        </w:rPr>
        <w:t>-</w:t>
      </w:r>
      <w:r>
        <w:t xml:space="preserve"> Auto </w:t>
      </w:r>
      <w:hyperlink w:anchor="AUTO_2008_115" w:history="1">
        <w:r w:rsidRPr="00C12216">
          <w:rPr>
            <w:rStyle w:val="TextoNormalCaracter"/>
          </w:rPr>
          <w:t>115/2008</w:t>
        </w:r>
      </w:hyperlink>
      <w:r>
        <w:t>.</w:t>
      </w:r>
    </w:p>
    <w:p w:rsidR="00C12216" w:rsidRDefault="00C12216" w:rsidP="00C12216">
      <w:pPr>
        <w:pStyle w:val="SangriaFrancesaArticulo"/>
      </w:pPr>
      <w:r w:rsidRPr="00C12216">
        <w:rPr>
          <w:rStyle w:val="TextoNormalNegritaCaracter"/>
        </w:rPr>
        <w:t>Artículo 55.2</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Sentencia </w:t>
      </w:r>
      <w:hyperlink w:anchor="SENTENCIA_2008_46" w:history="1">
        <w:r w:rsidRPr="00C12216">
          <w:rPr>
            <w:rStyle w:val="TextoNormalCaracter"/>
          </w:rPr>
          <w:t>46/2008</w:t>
        </w:r>
      </w:hyperlink>
      <w:r>
        <w:t>, f. 2.</w:t>
      </w:r>
    </w:p>
    <w:p w:rsidR="00C12216" w:rsidRDefault="00C12216" w:rsidP="00C12216">
      <w:pPr>
        <w:pStyle w:val="SangriaFrancesaArticulo"/>
      </w:pPr>
      <w:r w:rsidRPr="00C12216">
        <w:rPr>
          <w:rStyle w:val="TextoNormalNegritaCaracter"/>
        </w:rPr>
        <w:t>Artículo 56.</w:t>
      </w:r>
      <w:r w:rsidRPr="00C12216">
        <w:rPr>
          <w:rStyle w:val="TextoNormalCaracter"/>
        </w:rPr>
        <w:t>-</w:t>
      </w:r>
      <w:r>
        <w:t xml:space="preserve"> Autos </w:t>
      </w:r>
      <w:hyperlink w:anchor="AUTO_2008_16" w:history="1">
        <w:r w:rsidRPr="00C12216">
          <w:rPr>
            <w:rStyle w:val="TextoNormalCaracter"/>
          </w:rPr>
          <w:t>16/2008</w:t>
        </w:r>
      </w:hyperlink>
      <w:r>
        <w:t xml:space="preserve">; </w:t>
      </w:r>
      <w:hyperlink w:anchor="AUTO_2008_17" w:history="1">
        <w:r w:rsidRPr="00C12216">
          <w:rPr>
            <w:rStyle w:val="TextoNormalCaracter"/>
          </w:rPr>
          <w:t>17/2008</w:t>
        </w:r>
      </w:hyperlink>
      <w:r>
        <w:t xml:space="preserve">; </w:t>
      </w:r>
      <w:hyperlink w:anchor="AUTO_2008_19" w:history="1">
        <w:r w:rsidRPr="00C12216">
          <w:rPr>
            <w:rStyle w:val="TextoNormalCaracter"/>
          </w:rPr>
          <w:t>19/2008</w:t>
        </w:r>
      </w:hyperlink>
      <w:r>
        <w:t xml:space="preserve">; </w:t>
      </w:r>
      <w:hyperlink w:anchor="AUTO_2008_36" w:history="1">
        <w:r w:rsidRPr="00C12216">
          <w:rPr>
            <w:rStyle w:val="TextoNormalCaracter"/>
          </w:rPr>
          <w:t>36/2008</w:t>
        </w:r>
      </w:hyperlink>
      <w:r>
        <w:t xml:space="preserve">; </w:t>
      </w:r>
      <w:hyperlink w:anchor="AUTO_2008_37" w:history="1">
        <w:r w:rsidRPr="00C12216">
          <w:rPr>
            <w:rStyle w:val="TextoNormalCaracter"/>
          </w:rPr>
          <w:t>37/2008</w:t>
        </w:r>
      </w:hyperlink>
      <w:r>
        <w:t xml:space="preserve">; </w:t>
      </w:r>
      <w:hyperlink w:anchor="AUTO_2008_40" w:history="1">
        <w:r w:rsidRPr="00C12216">
          <w:rPr>
            <w:rStyle w:val="TextoNormalCaracter"/>
          </w:rPr>
          <w:t>40/2008</w:t>
        </w:r>
      </w:hyperlink>
      <w:r>
        <w:t xml:space="preserve">; </w:t>
      </w:r>
      <w:hyperlink w:anchor="AUTO_2008_43" w:history="1">
        <w:r w:rsidRPr="00C12216">
          <w:rPr>
            <w:rStyle w:val="TextoNormalCaracter"/>
          </w:rPr>
          <w:t>43/2008</w:t>
        </w:r>
      </w:hyperlink>
      <w:r>
        <w:t xml:space="preserve">; </w:t>
      </w:r>
      <w:hyperlink w:anchor="AUTO_2008_45" w:history="1">
        <w:r w:rsidRPr="00C12216">
          <w:rPr>
            <w:rStyle w:val="TextoNormalCaracter"/>
          </w:rPr>
          <w:t>45/2008</w:t>
        </w:r>
      </w:hyperlink>
      <w:r>
        <w:t xml:space="preserve">; </w:t>
      </w:r>
      <w:hyperlink w:anchor="AUTO_2008_67" w:history="1">
        <w:r w:rsidRPr="00C12216">
          <w:rPr>
            <w:rStyle w:val="TextoNormalCaracter"/>
          </w:rPr>
          <w:t>67/2008</w:t>
        </w:r>
      </w:hyperlink>
      <w:r>
        <w:t xml:space="preserve">; </w:t>
      </w:r>
      <w:hyperlink w:anchor="AUTO_2008_75" w:history="1">
        <w:r w:rsidRPr="00C12216">
          <w:rPr>
            <w:rStyle w:val="TextoNormalCaracter"/>
          </w:rPr>
          <w:t>75/2008</w:t>
        </w:r>
      </w:hyperlink>
      <w:r>
        <w:t xml:space="preserve">; </w:t>
      </w:r>
      <w:hyperlink w:anchor="AUTO_2008_109" w:history="1">
        <w:r w:rsidRPr="00C12216">
          <w:rPr>
            <w:rStyle w:val="TextoNormalCaracter"/>
          </w:rPr>
          <w:t>109/2008</w:t>
        </w:r>
      </w:hyperlink>
      <w:r>
        <w:t>.</w:t>
      </w:r>
    </w:p>
    <w:p w:rsidR="00C12216" w:rsidRDefault="00C12216" w:rsidP="00C12216">
      <w:pPr>
        <w:pStyle w:val="SangriaFrancesaArticulo"/>
      </w:pPr>
      <w:r w:rsidRPr="00C12216">
        <w:rPr>
          <w:rStyle w:val="TextoNormalNegritaCaracter"/>
        </w:rPr>
        <w:t>Artículo 56</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Auto </w:t>
      </w:r>
      <w:hyperlink w:anchor="AUTO_2008_44" w:history="1">
        <w:r w:rsidRPr="00C12216">
          <w:rPr>
            <w:rStyle w:val="TextoNormalCaracter"/>
          </w:rPr>
          <w:t>44/2008</w:t>
        </w:r>
      </w:hyperlink>
      <w:r>
        <w:t>.</w:t>
      </w:r>
    </w:p>
    <w:p w:rsidR="00C12216" w:rsidRDefault="00C12216" w:rsidP="00C12216">
      <w:pPr>
        <w:pStyle w:val="SangriaFrancesaArticulo"/>
      </w:pPr>
      <w:r w:rsidRPr="00C12216">
        <w:rPr>
          <w:rStyle w:val="TextoNormalNegritaCaracter"/>
        </w:rPr>
        <w:t>Artículo 56.1.</w:t>
      </w:r>
      <w:r w:rsidRPr="00C12216">
        <w:rPr>
          <w:rStyle w:val="TextoNormalCaracter"/>
        </w:rPr>
        <w:t>-</w:t>
      </w:r>
      <w:r>
        <w:t xml:space="preserve"> Autos </w:t>
      </w:r>
      <w:hyperlink w:anchor="AUTO_2008_7" w:history="1">
        <w:r w:rsidRPr="00C12216">
          <w:rPr>
            <w:rStyle w:val="TextoNormalCaracter"/>
          </w:rPr>
          <w:t>7/2008</w:t>
        </w:r>
      </w:hyperlink>
      <w:r>
        <w:t xml:space="preserve">; </w:t>
      </w:r>
      <w:hyperlink w:anchor="AUTO_2008_16" w:history="1">
        <w:r w:rsidRPr="00C12216">
          <w:rPr>
            <w:rStyle w:val="TextoNormalCaracter"/>
          </w:rPr>
          <w:t>16/2008</w:t>
        </w:r>
      </w:hyperlink>
      <w:r>
        <w:t xml:space="preserve">; </w:t>
      </w:r>
      <w:hyperlink w:anchor="AUTO_2008_17" w:history="1">
        <w:r w:rsidRPr="00C12216">
          <w:rPr>
            <w:rStyle w:val="TextoNormalCaracter"/>
          </w:rPr>
          <w:t>17/2008</w:t>
        </w:r>
      </w:hyperlink>
      <w:r>
        <w:t xml:space="preserve">; </w:t>
      </w:r>
      <w:hyperlink w:anchor="AUTO_2008_18" w:history="1">
        <w:r w:rsidRPr="00C12216">
          <w:rPr>
            <w:rStyle w:val="TextoNormalCaracter"/>
          </w:rPr>
          <w:t>18/2008</w:t>
        </w:r>
      </w:hyperlink>
      <w:r>
        <w:t xml:space="preserve">; </w:t>
      </w:r>
      <w:hyperlink w:anchor="AUTO_2008_19" w:history="1">
        <w:r w:rsidRPr="00C12216">
          <w:rPr>
            <w:rStyle w:val="TextoNormalCaracter"/>
          </w:rPr>
          <w:t>19/2008</w:t>
        </w:r>
      </w:hyperlink>
      <w:r>
        <w:t xml:space="preserve">; </w:t>
      </w:r>
      <w:hyperlink w:anchor="AUTO_2008_32" w:history="1">
        <w:r w:rsidRPr="00C12216">
          <w:rPr>
            <w:rStyle w:val="TextoNormalCaracter"/>
          </w:rPr>
          <w:t>32/2008</w:t>
        </w:r>
      </w:hyperlink>
      <w:r>
        <w:t xml:space="preserve">; </w:t>
      </w:r>
      <w:hyperlink w:anchor="AUTO_2008_33" w:history="1">
        <w:r w:rsidRPr="00C12216">
          <w:rPr>
            <w:rStyle w:val="TextoNormalCaracter"/>
          </w:rPr>
          <w:t>33/2008</w:t>
        </w:r>
      </w:hyperlink>
      <w:r>
        <w:t xml:space="preserve">; </w:t>
      </w:r>
      <w:hyperlink w:anchor="AUTO_2008_37" w:history="1">
        <w:r w:rsidRPr="00C12216">
          <w:rPr>
            <w:rStyle w:val="TextoNormalCaracter"/>
          </w:rPr>
          <w:t>37/2008</w:t>
        </w:r>
      </w:hyperlink>
      <w:r>
        <w:t xml:space="preserve">; </w:t>
      </w:r>
      <w:hyperlink w:anchor="AUTO_2008_39" w:history="1">
        <w:r w:rsidRPr="00C12216">
          <w:rPr>
            <w:rStyle w:val="TextoNormalCaracter"/>
          </w:rPr>
          <w:t>39/2008</w:t>
        </w:r>
      </w:hyperlink>
      <w:r>
        <w:t xml:space="preserve">; </w:t>
      </w:r>
      <w:hyperlink w:anchor="AUTO_2008_40" w:history="1">
        <w:r w:rsidRPr="00C12216">
          <w:rPr>
            <w:rStyle w:val="TextoNormalCaracter"/>
          </w:rPr>
          <w:t>40/2008</w:t>
        </w:r>
      </w:hyperlink>
      <w:r>
        <w:t xml:space="preserve">; </w:t>
      </w:r>
      <w:hyperlink w:anchor="AUTO_2008_42" w:history="1">
        <w:r w:rsidRPr="00C12216">
          <w:rPr>
            <w:rStyle w:val="TextoNormalCaracter"/>
          </w:rPr>
          <w:t>42/2008</w:t>
        </w:r>
      </w:hyperlink>
      <w:r>
        <w:t xml:space="preserve">; </w:t>
      </w:r>
      <w:hyperlink w:anchor="AUTO_2008_59" w:history="1">
        <w:r w:rsidRPr="00C12216">
          <w:rPr>
            <w:rStyle w:val="TextoNormalCaracter"/>
          </w:rPr>
          <w:t>59/2008</w:t>
        </w:r>
      </w:hyperlink>
      <w:r>
        <w:t xml:space="preserve">; </w:t>
      </w:r>
      <w:hyperlink w:anchor="AUTO_2008_65" w:history="1">
        <w:r w:rsidRPr="00C12216">
          <w:rPr>
            <w:rStyle w:val="TextoNormalCaracter"/>
          </w:rPr>
          <w:t>65/2008</w:t>
        </w:r>
      </w:hyperlink>
      <w:r>
        <w:t xml:space="preserve">; </w:t>
      </w:r>
      <w:hyperlink w:anchor="AUTO_2008_109" w:history="1">
        <w:r w:rsidRPr="00C12216">
          <w:rPr>
            <w:rStyle w:val="TextoNormalCaracter"/>
          </w:rPr>
          <w:t>109/2008</w:t>
        </w:r>
      </w:hyperlink>
      <w:r>
        <w:t xml:space="preserve">; </w:t>
      </w:r>
      <w:hyperlink w:anchor="AUTO_2008_118" w:history="1">
        <w:r w:rsidRPr="00C12216">
          <w:rPr>
            <w:rStyle w:val="TextoNormalCaracter"/>
          </w:rPr>
          <w:t>118/2008</w:t>
        </w:r>
      </w:hyperlink>
      <w:r>
        <w:t>.</w:t>
      </w:r>
    </w:p>
    <w:p w:rsidR="00C12216" w:rsidRDefault="00C12216" w:rsidP="00C12216">
      <w:pPr>
        <w:pStyle w:val="SangriaFrancesaArticulo"/>
      </w:pPr>
      <w:r w:rsidRPr="00C12216">
        <w:rPr>
          <w:rStyle w:val="TextoNormalNegritaCaracter"/>
        </w:rPr>
        <w:t>Artículo 56.1</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Autos </w:t>
      </w:r>
      <w:hyperlink w:anchor="AUTO_2008_36" w:history="1">
        <w:r w:rsidRPr="00C12216">
          <w:rPr>
            <w:rStyle w:val="TextoNormalCaracter"/>
          </w:rPr>
          <w:t>36/2008</w:t>
        </w:r>
      </w:hyperlink>
      <w:r>
        <w:t xml:space="preserve">; </w:t>
      </w:r>
      <w:hyperlink w:anchor="AUTO_2008_45" w:history="1">
        <w:r w:rsidRPr="00C12216">
          <w:rPr>
            <w:rStyle w:val="TextoNormalCaracter"/>
          </w:rPr>
          <w:t>45/2008</w:t>
        </w:r>
      </w:hyperlink>
      <w:r>
        <w:t xml:space="preserve">; </w:t>
      </w:r>
      <w:hyperlink w:anchor="AUTO_2008_111" w:history="1">
        <w:r w:rsidRPr="00C12216">
          <w:rPr>
            <w:rStyle w:val="TextoNormalCaracter"/>
          </w:rPr>
          <w:t>111/2008</w:t>
        </w:r>
      </w:hyperlink>
      <w:r>
        <w:t>.</w:t>
      </w:r>
    </w:p>
    <w:p w:rsidR="00C12216" w:rsidRDefault="00C12216" w:rsidP="00C12216">
      <w:pPr>
        <w:pStyle w:val="SangriaFrancesaArticulo"/>
      </w:pPr>
      <w:r w:rsidRPr="00C12216">
        <w:rPr>
          <w:rStyle w:val="TextoNormalNegritaCaracter"/>
        </w:rPr>
        <w:t>Artículo 56.2.</w:t>
      </w:r>
      <w:r w:rsidRPr="00C12216">
        <w:rPr>
          <w:rStyle w:val="TextoNormalCaracter"/>
        </w:rPr>
        <w:t>-</w:t>
      </w:r>
      <w:r>
        <w:t xml:space="preserve"> Autos </w:t>
      </w:r>
      <w:hyperlink w:anchor="AUTO_2008_19" w:history="1">
        <w:r w:rsidRPr="00C12216">
          <w:rPr>
            <w:rStyle w:val="TextoNormalCaracter"/>
          </w:rPr>
          <w:t>19/2008</w:t>
        </w:r>
      </w:hyperlink>
      <w:r>
        <w:t xml:space="preserve">; </w:t>
      </w:r>
      <w:hyperlink w:anchor="AUTO_2008_32" w:history="1">
        <w:r w:rsidRPr="00C12216">
          <w:rPr>
            <w:rStyle w:val="TextoNormalCaracter"/>
          </w:rPr>
          <w:t>32/2008</w:t>
        </w:r>
      </w:hyperlink>
      <w:r>
        <w:t xml:space="preserve">; </w:t>
      </w:r>
      <w:hyperlink w:anchor="AUTO_2008_39" w:history="1">
        <w:r w:rsidRPr="00C12216">
          <w:rPr>
            <w:rStyle w:val="TextoNormalCaracter"/>
          </w:rPr>
          <w:t>39/2008</w:t>
        </w:r>
      </w:hyperlink>
      <w:r>
        <w:t xml:space="preserve">; </w:t>
      </w:r>
      <w:hyperlink w:anchor="AUTO_2008_42" w:history="1">
        <w:r w:rsidRPr="00C12216">
          <w:rPr>
            <w:rStyle w:val="TextoNormalCaracter"/>
          </w:rPr>
          <w:t>42/2008</w:t>
        </w:r>
      </w:hyperlink>
      <w:r>
        <w:t xml:space="preserve">; </w:t>
      </w:r>
      <w:hyperlink w:anchor="AUTO_2008_45" w:history="1">
        <w:r w:rsidRPr="00C12216">
          <w:rPr>
            <w:rStyle w:val="TextoNormalCaracter"/>
          </w:rPr>
          <w:t>45/2008</w:t>
        </w:r>
      </w:hyperlink>
      <w:r>
        <w:t xml:space="preserve">; </w:t>
      </w:r>
      <w:hyperlink w:anchor="AUTO_2008_59" w:history="1">
        <w:r w:rsidRPr="00C12216">
          <w:rPr>
            <w:rStyle w:val="TextoNormalCaracter"/>
          </w:rPr>
          <w:t>59/2008</w:t>
        </w:r>
      </w:hyperlink>
      <w:r>
        <w:t xml:space="preserve">; </w:t>
      </w:r>
      <w:hyperlink w:anchor="AUTO_2008_111" w:history="1">
        <w:r w:rsidRPr="00C12216">
          <w:rPr>
            <w:rStyle w:val="TextoNormalCaracter"/>
          </w:rPr>
          <w:t>111/2008</w:t>
        </w:r>
      </w:hyperlink>
      <w:r>
        <w:t>.</w:t>
      </w:r>
    </w:p>
    <w:p w:rsidR="00C12216" w:rsidRDefault="00C12216" w:rsidP="00C12216">
      <w:pPr>
        <w:pStyle w:val="SangriaFrancesaArticulo"/>
      </w:pPr>
      <w:r w:rsidRPr="00C12216">
        <w:rPr>
          <w:rStyle w:val="TextoNormalNegritaCaracter"/>
        </w:rPr>
        <w:t>Artículo 56.2</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Autos </w:t>
      </w:r>
      <w:hyperlink w:anchor="AUTO_2008_36" w:history="1">
        <w:r w:rsidRPr="00C12216">
          <w:rPr>
            <w:rStyle w:val="TextoNormalCaracter"/>
          </w:rPr>
          <w:t>36/2008</w:t>
        </w:r>
      </w:hyperlink>
      <w:r>
        <w:t xml:space="preserve">; </w:t>
      </w:r>
      <w:hyperlink w:anchor="AUTO_2008_37" w:history="1">
        <w:r w:rsidRPr="00C12216">
          <w:rPr>
            <w:rStyle w:val="TextoNormalCaracter"/>
          </w:rPr>
          <w:t>37/2008</w:t>
        </w:r>
      </w:hyperlink>
      <w:r>
        <w:t xml:space="preserve">; </w:t>
      </w:r>
      <w:hyperlink w:anchor="AUTO_2008_40" w:history="1">
        <w:r w:rsidRPr="00C12216">
          <w:rPr>
            <w:rStyle w:val="TextoNormalCaracter"/>
          </w:rPr>
          <w:t>40/2008</w:t>
        </w:r>
      </w:hyperlink>
      <w:r>
        <w:t xml:space="preserve">; </w:t>
      </w:r>
      <w:hyperlink w:anchor="AUTO_2008_45" w:history="1">
        <w:r w:rsidRPr="00C12216">
          <w:rPr>
            <w:rStyle w:val="TextoNormalCaracter"/>
          </w:rPr>
          <w:t>45/2008</w:t>
        </w:r>
      </w:hyperlink>
      <w:r>
        <w:t xml:space="preserve">; </w:t>
      </w:r>
      <w:hyperlink w:anchor="AUTO_2008_109" w:history="1">
        <w:r w:rsidRPr="00C12216">
          <w:rPr>
            <w:rStyle w:val="TextoNormalCaracter"/>
          </w:rPr>
          <w:t>109/2008</w:t>
        </w:r>
      </w:hyperlink>
      <w:r>
        <w:t>.</w:t>
      </w:r>
    </w:p>
    <w:p w:rsidR="00C12216" w:rsidRDefault="00C12216" w:rsidP="00C12216">
      <w:pPr>
        <w:pStyle w:val="SangriaFrancesaArticulo"/>
      </w:pPr>
      <w:r w:rsidRPr="00C12216">
        <w:rPr>
          <w:rStyle w:val="TextoNormalNegritaCaracter"/>
        </w:rPr>
        <w:t>Artículo 56.3.</w:t>
      </w:r>
      <w:r w:rsidRPr="00C12216">
        <w:rPr>
          <w:rStyle w:val="TextoNormalCaracter"/>
        </w:rPr>
        <w:t>-</w:t>
      </w:r>
      <w:r>
        <w:t xml:space="preserve"> Auto </w:t>
      </w:r>
      <w:hyperlink w:anchor="AUTO_2008_39" w:history="1">
        <w:r w:rsidRPr="00C12216">
          <w:rPr>
            <w:rStyle w:val="TextoNormalCaracter"/>
          </w:rPr>
          <w:t>39/2008</w:t>
        </w:r>
      </w:hyperlink>
      <w:r>
        <w:t>.</w:t>
      </w:r>
    </w:p>
    <w:p w:rsidR="00C12216" w:rsidRDefault="00C12216" w:rsidP="00C12216">
      <w:pPr>
        <w:pStyle w:val="SangriaFrancesaArticulo"/>
      </w:pPr>
      <w:r w:rsidRPr="00C12216">
        <w:rPr>
          <w:rStyle w:val="TextoNormalNegritaCaracter"/>
        </w:rPr>
        <w:t>Artículo 56.3</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Auto </w:t>
      </w:r>
      <w:hyperlink w:anchor="AUTO_2008_44" w:history="1">
        <w:r w:rsidRPr="00C12216">
          <w:rPr>
            <w:rStyle w:val="TextoNormalCaracter"/>
          </w:rPr>
          <w:t>44/2008</w:t>
        </w:r>
      </w:hyperlink>
      <w:r>
        <w:t>.</w:t>
      </w:r>
    </w:p>
    <w:p w:rsidR="00C12216" w:rsidRDefault="00C12216" w:rsidP="00C12216">
      <w:pPr>
        <w:pStyle w:val="SangriaFrancesaArticulo"/>
      </w:pPr>
      <w:r w:rsidRPr="00C12216">
        <w:rPr>
          <w:rStyle w:val="TextoNormalNegritaCaracter"/>
        </w:rPr>
        <w:t>Artículo 57.</w:t>
      </w:r>
      <w:r w:rsidRPr="00C12216">
        <w:rPr>
          <w:rStyle w:val="TextoNormalCaracter"/>
        </w:rPr>
        <w:t>-</w:t>
      </w:r>
      <w:r>
        <w:t xml:space="preserve"> Autos </w:t>
      </w:r>
      <w:hyperlink w:anchor="AUTO_2008_33" w:history="1">
        <w:r w:rsidRPr="00C12216">
          <w:rPr>
            <w:rStyle w:val="TextoNormalCaracter"/>
          </w:rPr>
          <w:t>33/2008</w:t>
        </w:r>
      </w:hyperlink>
      <w:r>
        <w:t xml:space="preserve">; </w:t>
      </w:r>
      <w:hyperlink w:anchor="AUTO_2008_36" w:history="1">
        <w:r w:rsidRPr="00C12216">
          <w:rPr>
            <w:rStyle w:val="TextoNormalCaracter"/>
          </w:rPr>
          <w:t>36/2008</w:t>
        </w:r>
      </w:hyperlink>
      <w:r>
        <w:t xml:space="preserve">; </w:t>
      </w:r>
      <w:hyperlink w:anchor="AUTO_2008_59" w:history="1">
        <w:r w:rsidRPr="00C12216">
          <w:rPr>
            <w:rStyle w:val="TextoNormalCaracter"/>
          </w:rPr>
          <w:t>59/2008</w:t>
        </w:r>
      </w:hyperlink>
      <w:r>
        <w:t xml:space="preserve">; </w:t>
      </w:r>
      <w:hyperlink w:anchor="AUTO_2008_109" w:history="1">
        <w:r w:rsidRPr="00C12216">
          <w:rPr>
            <w:rStyle w:val="TextoNormalCaracter"/>
          </w:rPr>
          <w:t>109/2008</w:t>
        </w:r>
      </w:hyperlink>
      <w:r>
        <w:t xml:space="preserve">; </w:t>
      </w:r>
      <w:hyperlink w:anchor="AUTO_2008_116" w:history="1">
        <w:r w:rsidRPr="00C12216">
          <w:rPr>
            <w:rStyle w:val="TextoNormalCaracter"/>
          </w:rPr>
          <w:t>116/2008</w:t>
        </w:r>
      </w:hyperlink>
      <w:r>
        <w:t>.</w:t>
      </w:r>
    </w:p>
    <w:p w:rsidR="00C12216" w:rsidRDefault="00C12216" w:rsidP="00C12216">
      <w:pPr>
        <w:pStyle w:val="SangriaFrancesaArticulo"/>
      </w:pPr>
      <w:r w:rsidRPr="00C12216">
        <w:rPr>
          <w:rStyle w:val="TextoNormalNegritaCaracter"/>
        </w:rPr>
        <w:t>Artículo 75 quinquies, apartado 5.</w:t>
      </w:r>
      <w:r w:rsidRPr="00C12216">
        <w:rPr>
          <w:rStyle w:val="TextoNormalCaracter"/>
        </w:rPr>
        <w:t>-</w:t>
      </w:r>
      <w:r>
        <w:t xml:space="preserve"> Sentencia </w:t>
      </w:r>
      <w:hyperlink w:anchor="SENTENCIA_2008_47" w:history="1">
        <w:r w:rsidRPr="00C12216">
          <w:rPr>
            <w:rStyle w:val="TextoNormalCaracter"/>
          </w:rPr>
          <w:t>47/2008</w:t>
        </w:r>
      </w:hyperlink>
      <w:r>
        <w:t>, VP.</w:t>
      </w:r>
    </w:p>
    <w:p w:rsidR="00C12216" w:rsidRDefault="00C12216" w:rsidP="00C12216">
      <w:pPr>
        <w:pStyle w:val="SangriaFrancesaArticulo"/>
      </w:pPr>
      <w:r w:rsidRPr="00C12216">
        <w:rPr>
          <w:rStyle w:val="TextoNormalNegritaCaracter"/>
        </w:rPr>
        <w:t>Artículo 79.</w:t>
      </w:r>
      <w:r w:rsidRPr="00C12216">
        <w:rPr>
          <w:rStyle w:val="TextoNormalCaracter"/>
        </w:rPr>
        <w:t>-</w:t>
      </w:r>
      <w:r>
        <w:t xml:space="preserve"> Sentencia </w:t>
      </w:r>
      <w:hyperlink w:anchor="SENTENCIA_2008_49" w:history="1">
        <w:r w:rsidRPr="00C12216">
          <w:rPr>
            <w:rStyle w:val="TextoNormalCaracter"/>
          </w:rPr>
          <w:t>49/2008</w:t>
        </w:r>
      </w:hyperlink>
      <w:r>
        <w:t>, f. 2.</w:t>
      </w:r>
    </w:p>
    <w:p w:rsidR="00C12216" w:rsidRDefault="00C12216" w:rsidP="00C12216">
      <w:pPr>
        <w:pStyle w:val="SangriaFrancesaArticulo"/>
      </w:pPr>
      <w:r w:rsidRPr="00C12216">
        <w:rPr>
          <w:rStyle w:val="TextoNormalNegritaCaracter"/>
        </w:rPr>
        <w:t>Artículo 80.</w:t>
      </w:r>
      <w:r w:rsidRPr="00C12216">
        <w:rPr>
          <w:rStyle w:val="TextoNormalCaracter"/>
        </w:rPr>
        <w:t>-</w:t>
      </w:r>
      <w:r>
        <w:t xml:space="preserve"> Autos </w:t>
      </w:r>
      <w:hyperlink w:anchor="AUTO_2008_20" w:history="1">
        <w:r w:rsidRPr="00C12216">
          <w:rPr>
            <w:rStyle w:val="TextoNormalCaracter"/>
          </w:rPr>
          <w:t>20/2008</w:t>
        </w:r>
      </w:hyperlink>
      <w:r>
        <w:t xml:space="preserve">; </w:t>
      </w:r>
      <w:hyperlink w:anchor="AUTO_2008_22" w:history="1">
        <w:r w:rsidRPr="00C12216">
          <w:rPr>
            <w:rStyle w:val="TextoNormalCaracter"/>
          </w:rPr>
          <w:t>22/2008</w:t>
        </w:r>
      </w:hyperlink>
      <w:r>
        <w:t xml:space="preserve">; </w:t>
      </w:r>
      <w:hyperlink w:anchor="AUTO_2008_25" w:history="1">
        <w:r w:rsidRPr="00C12216">
          <w:rPr>
            <w:rStyle w:val="TextoNormalCaracter"/>
          </w:rPr>
          <w:t>25/2008</w:t>
        </w:r>
      </w:hyperlink>
      <w:r>
        <w:t xml:space="preserve">; </w:t>
      </w:r>
      <w:hyperlink w:anchor="AUTO_2008_34" w:history="1">
        <w:r w:rsidRPr="00C12216">
          <w:rPr>
            <w:rStyle w:val="TextoNormalCaracter"/>
          </w:rPr>
          <w:t>34/2008</w:t>
        </w:r>
      </w:hyperlink>
      <w:r>
        <w:t xml:space="preserve">; </w:t>
      </w:r>
      <w:hyperlink w:anchor="AUTO_2008_50" w:history="1">
        <w:r w:rsidRPr="00C12216">
          <w:rPr>
            <w:rStyle w:val="TextoNormalCaracter"/>
          </w:rPr>
          <w:t>50/2008</w:t>
        </w:r>
      </w:hyperlink>
      <w:r>
        <w:t xml:space="preserve">; </w:t>
      </w:r>
      <w:hyperlink w:anchor="AUTO_2008_79" w:history="1">
        <w:r w:rsidRPr="00C12216">
          <w:rPr>
            <w:rStyle w:val="TextoNormalCaracter"/>
          </w:rPr>
          <w:t>79/2008</w:t>
        </w:r>
      </w:hyperlink>
      <w:r>
        <w:t xml:space="preserve">; </w:t>
      </w:r>
      <w:hyperlink w:anchor="AUTO_2008_81" w:history="1">
        <w:r w:rsidRPr="00C12216">
          <w:rPr>
            <w:rStyle w:val="TextoNormalCaracter"/>
          </w:rPr>
          <w:t>81/2008</w:t>
        </w:r>
      </w:hyperlink>
      <w:r>
        <w:t xml:space="preserve">; </w:t>
      </w:r>
      <w:hyperlink w:anchor="AUTO_2008_113" w:history="1">
        <w:r w:rsidRPr="00C12216">
          <w:rPr>
            <w:rStyle w:val="TextoNormalCaracter"/>
          </w:rPr>
          <w:t>113/2008</w:t>
        </w:r>
      </w:hyperlink>
      <w:r>
        <w:t xml:space="preserve">; </w:t>
      </w:r>
      <w:hyperlink w:anchor="AUTO_2008_114" w:history="1">
        <w:r w:rsidRPr="00C12216">
          <w:rPr>
            <w:rStyle w:val="TextoNormalCaracter"/>
          </w:rPr>
          <w:t>114/2008</w:t>
        </w:r>
      </w:hyperlink>
      <w:r>
        <w:t>.</w:t>
      </w:r>
    </w:p>
    <w:p w:rsidR="00C12216" w:rsidRDefault="00C12216" w:rsidP="00C12216">
      <w:pPr>
        <w:pStyle w:val="SangriaFrancesaArticulo"/>
      </w:pPr>
      <w:r w:rsidRPr="00C12216">
        <w:rPr>
          <w:rStyle w:val="TextoNormalNegritaCaracter"/>
        </w:rPr>
        <w:t>Artículo 81.</w:t>
      </w:r>
      <w:r w:rsidRPr="00C12216">
        <w:rPr>
          <w:rStyle w:val="TextoNormalCaracter"/>
        </w:rPr>
        <w:t>-</w:t>
      </w:r>
      <w:r>
        <w:t xml:space="preserve"> Autos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r w:rsidRPr="00C12216">
        <w:rPr>
          <w:rStyle w:val="TextoNormalNegritaCaracter"/>
        </w:rPr>
        <w:t>Artículo 84.</w:t>
      </w:r>
      <w:r w:rsidRPr="00C12216">
        <w:rPr>
          <w:rStyle w:val="TextoNormalCaracter"/>
        </w:rPr>
        <w:t>-</w:t>
      </w:r>
      <w:r>
        <w:t xml:space="preserve"> Sentencias </w:t>
      </w:r>
      <w:hyperlink w:anchor="SENTENCIA_2008_20" w:history="1">
        <w:r w:rsidRPr="00C12216">
          <w:rPr>
            <w:rStyle w:val="TextoNormalCaracter"/>
          </w:rPr>
          <w:t>20/2008</w:t>
        </w:r>
      </w:hyperlink>
      <w:r>
        <w:t xml:space="preserve">, f. 2; </w:t>
      </w:r>
      <w:hyperlink w:anchor="SENTENCIA_2008_42" w:history="1">
        <w:r w:rsidRPr="00C12216">
          <w:rPr>
            <w:rStyle w:val="TextoNormalCaracter"/>
          </w:rPr>
          <w:t>42/2008</w:t>
        </w:r>
      </w:hyperlink>
      <w:r>
        <w:t>, f. 2.</w:t>
      </w:r>
    </w:p>
    <w:p w:rsidR="00C12216" w:rsidRDefault="00C12216" w:rsidP="00C12216">
      <w:pPr>
        <w:pStyle w:val="SangriaIzquierdaArticulo"/>
      </w:pPr>
      <w:r>
        <w:t xml:space="preserve">Autos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r w:rsidRPr="00C12216">
        <w:rPr>
          <w:rStyle w:val="TextoNormalNegritaCaracter"/>
        </w:rPr>
        <w:t>Artículo 86.</w:t>
      </w:r>
      <w:r w:rsidRPr="00C12216">
        <w:rPr>
          <w:rStyle w:val="TextoNormalCaracter"/>
        </w:rPr>
        <w:t>-</w:t>
      </w:r>
      <w:r>
        <w:t xml:space="preserve"> Autos </w:t>
      </w:r>
      <w:hyperlink w:anchor="AUTO_2008_22" w:history="1">
        <w:r w:rsidRPr="00C12216">
          <w:rPr>
            <w:rStyle w:val="TextoNormalCaracter"/>
          </w:rPr>
          <w:t>22/2008</w:t>
        </w:r>
      </w:hyperlink>
      <w:r>
        <w:t xml:space="preserve">; </w:t>
      </w:r>
      <w:hyperlink w:anchor="AUTO_2008_79" w:history="1">
        <w:r w:rsidRPr="00C12216">
          <w:rPr>
            <w:rStyle w:val="TextoNormalCaracter"/>
          </w:rPr>
          <w:t>79/2008</w:t>
        </w:r>
      </w:hyperlink>
      <w:r>
        <w:t>.</w:t>
      </w:r>
    </w:p>
    <w:p w:rsidR="00C12216" w:rsidRDefault="00C12216" w:rsidP="00C12216">
      <w:pPr>
        <w:pStyle w:val="SangriaFrancesaArticulo"/>
      </w:pPr>
      <w:r w:rsidRPr="00C12216">
        <w:rPr>
          <w:rStyle w:val="TextoNormalNegritaCaracter"/>
        </w:rPr>
        <w:t>Artículo 86.1.</w:t>
      </w:r>
      <w:r w:rsidRPr="00C12216">
        <w:rPr>
          <w:rStyle w:val="TextoNormalCaracter"/>
        </w:rPr>
        <w:t>-</w:t>
      </w:r>
      <w:r>
        <w:t xml:space="preserve"> Sentencia </w:t>
      </w:r>
      <w:hyperlink w:anchor="SENTENCIA_2008_53" w:history="1">
        <w:r w:rsidRPr="00C12216">
          <w:rPr>
            <w:rStyle w:val="TextoNormalCaracter"/>
          </w:rPr>
          <w:t>53/2008</w:t>
        </w:r>
      </w:hyperlink>
      <w:r>
        <w:t>, f. único.</w:t>
      </w:r>
    </w:p>
    <w:p w:rsidR="00C12216" w:rsidRDefault="00C12216" w:rsidP="00C12216">
      <w:pPr>
        <w:pStyle w:val="SangriaIzquierdaArticulo"/>
      </w:pPr>
      <w:r>
        <w:t xml:space="preserve">Autos </w:t>
      </w:r>
      <w:hyperlink w:anchor="AUTO_2008_34" w:history="1">
        <w:r w:rsidRPr="00C12216">
          <w:rPr>
            <w:rStyle w:val="TextoNormalCaracter"/>
          </w:rPr>
          <w:t>34/2008</w:t>
        </w:r>
      </w:hyperlink>
      <w:r>
        <w:t xml:space="preserve">; </w:t>
      </w:r>
      <w:hyperlink w:anchor="AUTO_2008_87" w:history="1">
        <w:r w:rsidRPr="00C12216">
          <w:rPr>
            <w:rStyle w:val="TextoNormalCaracter"/>
          </w:rPr>
          <w:t>87/2008</w:t>
        </w:r>
      </w:hyperlink>
      <w:r>
        <w:t>.</w:t>
      </w:r>
    </w:p>
    <w:p w:rsidR="00C12216" w:rsidRDefault="00C12216" w:rsidP="00C12216">
      <w:pPr>
        <w:pStyle w:val="SangriaFrancesaArticulo"/>
      </w:pPr>
      <w:r w:rsidRPr="00C12216">
        <w:rPr>
          <w:rStyle w:val="TextoNormalNegritaCaracter"/>
        </w:rPr>
        <w:t>Artículo 90.2.</w:t>
      </w:r>
      <w:r w:rsidRPr="00C12216">
        <w:rPr>
          <w:rStyle w:val="TextoNormalCaracter"/>
        </w:rPr>
        <w:t>-</w:t>
      </w:r>
      <w:r>
        <w:t xml:space="preserve"> Sentencias </w:t>
      </w:r>
      <w:hyperlink w:anchor="SENTENCIA_2008_8" w:history="1">
        <w:r w:rsidRPr="00C12216">
          <w:rPr>
            <w:rStyle w:val="TextoNormalCaracter"/>
          </w:rPr>
          <w:t>8/2008</w:t>
        </w:r>
      </w:hyperlink>
      <w:r>
        <w:t xml:space="preserve">, VP; </w:t>
      </w:r>
      <w:hyperlink w:anchor="SENTENCIA_2008_26" w:history="1">
        <w:r w:rsidRPr="00C12216">
          <w:rPr>
            <w:rStyle w:val="TextoNormalCaracter"/>
          </w:rPr>
          <w:t>26/2008</w:t>
        </w:r>
      </w:hyperlink>
      <w:r>
        <w:t xml:space="preserve">, VP; </w:t>
      </w:r>
      <w:hyperlink w:anchor="SENTENCIA_2008_29" w:history="1">
        <w:r w:rsidRPr="00C12216">
          <w:rPr>
            <w:rStyle w:val="TextoNormalCaracter"/>
          </w:rPr>
          <w:t>29/2008</w:t>
        </w:r>
      </w:hyperlink>
      <w:r>
        <w:t xml:space="preserve">, VP; </w:t>
      </w:r>
      <w:hyperlink w:anchor="SENTENCIA_2008_45" w:history="1">
        <w:r w:rsidRPr="00C12216">
          <w:rPr>
            <w:rStyle w:val="TextoNormalCaracter"/>
          </w:rPr>
          <w:t>45/2008</w:t>
        </w:r>
      </w:hyperlink>
      <w:r>
        <w:t xml:space="preserve">, VP; </w:t>
      </w:r>
      <w:hyperlink w:anchor="SENTENCIA_2008_49" w:history="1">
        <w:r w:rsidRPr="00C12216">
          <w:rPr>
            <w:rStyle w:val="TextoNormalCaracter"/>
          </w:rPr>
          <w:t>49/2008</w:t>
        </w:r>
      </w:hyperlink>
      <w:r>
        <w:t xml:space="preserve">, VP I, VP III; </w:t>
      </w:r>
      <w:hyperlink w:anchor="SENTENCIA_2008_56" w:history="1">
        <w:r w:rsidRPr="00C12216">
          <w:rPr>
            <w:rStyle w:val="TextoNormalCaracter"/>
          </w:rPr>
          <w:t>56/2008</w:t>
        </w:r>
      </w:hyperlink>
      <w:r>
        <w:t>, VP.</w:t>
      </w:r>
    </w:p>
    <w:p w:rsidR="00C12216" w:rsidRDefault="00C12216" w:rsidP="00C12216">
      <w:pPr>
        <w:pStyle w:val="SangriaIzquierdaArticulo"/>
      </w:pPr>
      <w:r>
        <w:t xml:space="preserve">Autos </w:t>
      </w:r>
      <w:hyperlink w:anchor="AUTO_2008_12" w:history="1">
        <w:r w:rsidRPr="00C12216">
          <w:rPr>
            <w:rStyle w:val="TextoNormalCaracter"/>
          </w:rPr>
          <w:t>12/2008</w:t>
        </w:r>
      </w:hyperlink>
      <w:r>
        <w:t xml:space="preserve">; </w:t>
      </w:r>
      <w:hyperlink w:anchor="AUTO_2008_20" w:history="1">
        <w:r w:rsidRPr="00C12216">
          <w:rPr>
            <w:rStyle w:val="TextoNormalCaracter"/>
          </w:rPr>
          <w:t>20/2008</w:t>
        </w:r>
      </w:hyperlink>
      <w:r>
        <w:t xml:space="preserve">; </w:t>
      </w:r>
      <w:hyperlink w:anchor="AUTO_2008_89" w:history="1">
        <w:r w:rsidRPr="00C12216">
          <w:rPr>
            <w:rStyle w:val="TextoNormalCaracter"/>
          </w:rPr>
          <w:t>89/2008</w:t>
        </w:r>
      </w:hyperlink>
      <w:r>
        <w:t xml:space="preserve">; </w:t>
      </w:r>
      <w:hyperlink w:anchor="AUTO_2008_90" w:history="1">
        <w:r w:rsidRPr="00C12216">
          <w:rPr>
            <w:rStyle w:val="TextoNormalCaracter"/>
          </w:rPr>
          <w:t>90/2008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r w:rsidRPr="00C12216">
        <w:rPr>
          <w:rStyle w:val="TextoNormalNegritaCaracter"/>
        </w:rPr>
        <w:t>Artículo 92.</w:t>
      </w:r>
      <w:r w:rsidRPr="00C12216">
        <w:rPr>
          <w:rStyle w:val="TextoNormalCaracter"/>
        </w:rPr>
        <w:t>-</w:t>
      </w:r>
      <w:r>
        <w:t xml:space="preserve"> Auto </w:t>
      </w:r>
      <w:hyperlink w:anchor="AUTO_2008_90" w:history="1">
        <w:r w:rsidRPr="00C12216">
          <w:rPr>
            <w:rStyle w:val="TextoNormalCaracter"/>
          </w:rPr>
          <w:t>90/2008</w:t>
        </w:r>
      </w:hyperlink>
      <w:r>
        <w:t>.</w:t>
      </w:r>
    </w:p>
    <w:p w:rsidR="00C12216" w:rsidRDefault="00C12216" w:rsidP="00C12216">
      <w:pPr>
        <w:pStyle w:val="SangriaFrancesaArticulo"/>
      </w:pPr>
      <w:r w:rsidRPr="00C12216">
        <w:rPr>
          <w:rStyle w:val="TextoNormalNegritaCaracter"/>
        </w:rPr>
        <w:t>Artículo 93.1.</w:t>
      </w:r>
      <w:r w:rsidRPr="00C12216">
        <w:rPr>
          <w:rStyle w:val="TextoNormalCaracter"/>
        </w:rPr>
        <w:t>-</w:t>
      </w:r>
      <w:r>
        <w:t xml:space="preserve"> Auto </w:t>
      </w:r>
      <w:hyperlink w:anchor="AUTO_2008_70" w:history="1">
        <w:r w:rsidRPr="00C12216">
          <w:rPr>
            <w:rStyle w:val="TextoNormalCaracter"/>
          </w:rPr>
          <w:t>70/2008</w:t>
        </w:r>
      </w:hyperlink>
      <w:r>
        <w:t>.</w:t>
      </w:r>
    </w:p>
    <w:p w:rsidR="00C12216" w:rsidRDefault="00C12216" w:rsidP="00C12216">
      <w:pPr>
        <w:pStyle w:val="SangriaFrancesaArticulo"/>
      </w:pPr>
      <w:r w:rsidRPr="00C12216">
        <w:rPr>
          <w:rStyle w:val="TextoNormalNegritaCaracter"/>
        </w:rPr>
        <w:t>Artículo 93.2.</w:t>
      </w:r>
      <w:r w:rsidRPr="00C12216">
        <w:rPr>
          <w:rStyle w:val="TextoNormalCaracter"/>
        </w:rPr>
        <w:t>-</w:t>
      </w:r>
      <w:r>
        <w:t xml:space="preserve"> Auto </w:t>
      </w:r>
      <w:hyperlink w:anchor="AUTO_2008_46" w:history="1">
        <w:r w:rsidRPr="00C12216">
          <w:rPr>
            <w:rStyle w:val="TextoNormalCaracter"/>
          </w:rPr>
          <w:t>46/2008</w:t>
        </w:r>
      </w:hyperlink>
      <w:r>
        <w:t>.</w:t>
      </w:r>
    </w:p>
    <w:p w:rsidR="00C12216" w:rsidRDefault="00C12216" w:rsidP="00C12216">
      <w:pPr>
        <w:pStyle w:val="SangriaFrancesaArticulo"/>
      </w:pPr>
      <w:r w:rsidRPr="00C12216">
        <w:rPr>
          <w:rStyle w:val="TextoNormalNegritaCaracter"/>
        </w:rPr>
        <w:t>Artículo 98.</w:t>
      </w:r>
      <w:r w:rsidRPr="00C12216">
        <w:rPr>
          <w:rStyle w:val="TextoNormalCaracter"/>
        </w:rPr>
        <w:t>-</w:t>
      </w:r>
      <w:r>
        <w:t xml:space="preserve"> Sentencia </w:t>
      </w:r>
      <w:hyperlink w:anchor="SENTENCIA_2008_49" w:history="1">
        <w:r w:rsidRPr="00C12216">
          <w:rPr>
            <w:rStyle w:val="TextoNormalCaracter"/>
          </w:rPr>
          <w:t>49/2008</w:t>
        </w:r>
      </w:hyperlink>
      <w:r>
        <w:t>, f. 18.</w:t>
      </w:r>
    </w:p>
    <w:p w:rsidR="00C12216" w:rsidRDefault="00C12216" w:rsidP="00C12216">
      <w:pPr>
        <w:pStyle w:val="SangriaFrancesaArticulo"/>
      </w:pPr>
      <w:r w:rsidRPr="00C12216">
        <w:rPr>
          <w:rStyle w:val="TextoNormalNegritaCaracter"/>
        </w:rPr>
        <w:t>Disposición adicional tercera</w:t>
      </w:r>
      <w:r>
        <w:t xml:space="preserve"> </w:t>
      </w:r>
      <w:r w:rsidRPr="00C12216">
        <w:rPr>
          <w:rStyle w:val="TextoNormalCaracter"/>
        </w:rPr>
        <w:t>(redactada por la Ley Orgánica 7/1999, de 21 de abril)</w:t>
      </w:r>
      <w:r w:rsidRPr="00C12216">
        <w:rPr>
          <w:rStyle w:val="TextoNormalNegritaCaracter"/>
        </w:rPr>
        <w:t>.</w:t>
      </w:r>
      <w:r w:rsidRPr="00C12216">
        <w:rPr>
          <w:rStyle w:val="TextoNormalCaracter"/>
        </w:rPr>
        <w:t>-</w:t>
      </w:r>
      <w:r>
        <w:t xml:space="preserve"> Sentencia </w:t>
      </w:r>
      <w:hyperlink w:anchor="SENTENCIA_2008_47" w:history="1">
        <w:r w:rsidRPr="00C12216">
          <w:rPr>
            <w:rStyle w:val="TextoNormalCaracter"/>
          </w:rPr>
          <w:t>47/2008</w:t>
        </w:r>
      </w:hyperlink>
      <w:r>
        <w:t>, f. 1.</w:t>
      </w:r>
    </w:p>
    <w:p w:rsidR="00C12216" w:rsidRDefault="00C12216" w:rsidP="00C12216">
      <w:pPr>
        <w:pStyle w:val="SangriaFrancesaArticulo"/>
      </w:pPr>
      <w:r w:rsidRPr="00C12216">
        <w:rPr>
          <w:rStyle w:val="TextoNormalNegritaCaracter"/>
        </w:rPr>
        <w:t>Disposición adicional cuarta</w:t>
      </w:r>
      <w:r>
        <w:t xml:space="preserve"> </w:t>
      </w:r>
      <w:r w:rsidRPr="00C12216">
        <w:rPr>
          <w:rStyle w:val="TextoNormalCaracter"/>
        </w:rPr>
        <w:t>(redactada por la Ley Orgánica 7/1999, de 21 de abril)</w:t>
      </w:r>
      <w:r w:rsidRPr="00C12216">
        <w:rPr>
          <w:rStyle w:val="TextoNormalNegritaCaracter"/>
        </w:rPr>
        <w:t>.</w:t>
      </w:r>
      <w:r w:rsidRPr="00C12216">
        <w:rPr>
          <w:rStyle w:val="TextoNormalCaracter"/>
        </w:rPr>
        <w:t>-</w:t>
      </w:r>
      <w:r>
        <w:t xml:space="preserve"> Sentencia </w:t>
      </w:r>
      <w:hyperlink w:anchor="SENTENCIA_2008_47" w:history="1">
        <w:r w:rsidRPr="00C12216">
          <w:rPr>
            <w:rStyle w:val="TextoNormalCaracter"/>
          </w:rPr>
          <w:t>47/2008</w:t>
        </w:r>
      </w:hyperlink>
      <w:r>
        <w:t>, f. 1.</w:t>
      </w:r>
    </w:p>
    <w:p w:rsidR="00C12216" w:rsidRDefault="00C12216" w:rsidP="00C12216">
      <w:pPr>
        <w:pStyle w:val="SangriaFrancesaArticulo"/>
      </w:pPr>
      <w:r w:rsidRPr="00C12216">
        <w:rPr>
          <w:rStyle w:val="TextoNormalNegritaCaracter"/>
        </w:rPr>
        <w:t>Disposición transitoria tercera.</w:t>
      </w:r>
      <w:r w:rsidRPr="00C12216">
        <w:rPr>
          <w:rStyle w:val="TextoNormalCaracter"/>
        </w:rPr>
        <w:t>-</w:t>
      </w:r>
      <w:r>
        <w:t xml:space="preserve"> Sentencia </w:t>
      </w:r>
      <w:hyperlink w:anchor="SENTENCIA_2008_49" w:history="1">
        <w:r w:rsidRPr="00C12216">
          <w:rPr>
            <w:rStyle w:val="TextoNormalCaracter"/>
          </w:rPr>
          <w:t>49/2008</w:t>
        </w:r>
      </w:hyperlink>
      <w:r>
        <w:t>, f. 21.</w:t>
      </w:r>
    </w:p>
    <w:p w:rsidR="00C12216" w:rsidRDefault="00C12216" w:rsidP="00C12216">
      <w:pPr>
        <w:pStyle w:val="SangriaFrancesaArticulo"/>
      </w:pPr>
      <w:r w:rsidRPr="00C12216">
        <w:rPr>
          <w:rStyle w:val="TextoNormalNegritaCaracter"/>
        </w:rPr>
        <w:t>Disposición transitoria tercera</w:t>
      </w:r>
      <w:r>
        <w:t xml:space="preserve"> </w:t>
      </w:r>
      <w:r w:rsidRPr="00C12216">
        <w:rPr>
          <w:rStyle w:val="TextoNormalCaracter"/>
        </w:rPr>
        <w:t>(redactada por la Ley Orgánica 6/2007, de 24 de mayo)</w:t>
      </w:r>
      <w:r w:rsidRPr="00C12216">
        <w:rPr>
          <w:rStyle w:val="TextoNormalNegritaCaracter"/>
        </w:rPr>
        <w:t>.</w:t>
      </w:r>
      <w:r w:rsidRPr="00C12216">
        <w:rPr>
          <w:rStyle w:val="TextoNormalCaracter"/>
        </w:rPr>
        <w:t>-</w:t>
      </w:r>
      <w:r>
        <w:t xml:space="preserve"> Auto </w:t>
      </w:r>
      <w:hyperlink w:anchor="AUTO_2008_28" w:history="1">
        <w:r w:rsidRPr="00C12216">
          <w:rPr>
            <w:rStyle w:val="TextoNormalCaracter"/>
          </w:rPr>
          <w:t>28/2008</w:t>
        </w:r>
      </w:hyperlink>
      <w:r>
        <w:t>.</w:t>
      </w:r>
    </w:p>
    <w:p w:rsidR="00C12216" w:rsidRDefault="00C12216" w:rsidP="00C12216">
      <w:pPr>
        <w:pStyle w:val="SangriaFrancesaArticulo"/>
      </w:pPr>
    </w:p>
    <w:p w:rsidR="00C12216" w:rsidRDefault="00C12216" w:rsidP="00C12216">
      <w:pPr>
        <w:pStyle w:val="TextoNormalNegritaCursivandice"/>
      </w:pPr>
      <w:r>
        <w:lastRenderedPageBreak/>
        <w:t>Ley Orgánica 4/1985, de 7 junio. Deroga el capítulo II del título VI de la Ley Orgánica 2/1979, de 3 de octubre, del Tribunal Constitucional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9" w:history="1">
        <w:r w:rsidRPr="00C12216">
          <w:rPr>
            <w:rStyle w:val="TextoNormalCaracter"/>
          </w:rPr>
          <w:t>49/2008</w:t>
        </w:r>
      </w:hyperlink>
      <w:r>
        <w:t>, f. 2.</w:t>
      </w:r>
    </w:p>
    <w:p w:rsidR="00C12216" w:rsidRDefault="00C12216" w:rsidP="00C12216">
      <w:pPr>
        <w:pStyle w:val="SangriaFrancesaArticulo"/>
      </w:pPr>
    </w:p>
    <w:p w:rsidR="00C12216" w:rsidRDefault="00C12216" w:rsidP="00C12216">
      <w:pPr>
        <w:pStyle w:val="TextoNormalNegritaCursivandice"/>
      </w:pPr>
      <w:r>
        <w:t>Ley Orgánica 6/1988, de 9 de junio. Modifica los artículos 50 y 86 de la Ley Orgánica 2/1979, de 3 de octubre, del Tribunal Constitucional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9" w:history="1">
        <w:r w:rsidRPr="00C12216">
          <w:rPr>
            <w:rStyle w:val="TextoNormalCaracter"/>
          </w:rPr>
          <w:t>49/2008</w:t>
        </w:r>
      </w:hyperlink>
      <w:r>
        <w:t>, f. 2.</w:t>
      </w:r>
    </w:p>
    <w:p w:rsidR="00C12216" w:rsidRDefault="00C12216" w:rsidP="00C12216">
      <w:pPr>
        <w:pStyle w:val="SangriaFrancesaArticulo"/>
      </w:pPr>
    </w:p>
    <w:p w:rsidR="00C12216" w:rsidRDefault="00C12216" w:rsidP="00C12216">
      <w:pPr>
        <w:pStyle w:val="TextoNormalNegritaCursivandice"/>
      </w:pPr>
      <w:r>
        <w:t>Acuerdo del Pleno del Tribunal Constitucional, de 18 de junio de 1996. Asistencia jurídica gratuita en los procesos de amparo constitucional</w:t>
      </w:r>
    </w:p>
    <w:p w:rsidR="00C12216" w:rsidRDefault="00C12216" w:rsidP="00C12216">
      <w:pPr>
        <w:pStyle w:val="SangriaFrancesaArticulo"/>
      </w:pPr>
      <w:r w:rsidRPr="00C12216">
        <w:rPr>
          <w:rStyle w:val="TextoNormalNegritaCaracter"/>
        </w:rPr>
        <w:t>Disposición adicional segunda.</w:t>
      </w:r>
      <w:r w:rsidRPr="00C12216">
        <w:rPr>
          <w:rStyle w:val="TextoNormalCaracter"/>
        </w:rPr>
        <w:t>-</w:t>
      </w:r>
      <w:r>
        <w:t xml:space="preserve"> Autos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p>
    <w:p w:rsidR="00C12216" w:rsidRDefault="00C12216" w:rsidP="00C12216">
      <w:pPr>
        <w:pStyle w:val="TextoNormalNegritaCursivandice"/>
      </w:pPr>
      <w:r>
        <w:t>Ley Orgánica 7/1999, de 21 de abril. Modificación de la Ley Orgánica 2/1979, de 3 de octubre, del Tribunal Constitucional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Sentencias </w:t>
      </w:r>
      <w:hyperlink w:anchor="SENTENCIA_2008_47" w:history="1">
        <w:r w:rsidRPr="00C12216">
          <w:rPr>
            <w:rStyle w:val="TextoNormalCaracter"/>
          </w:rPr>
          <w:t>47/2008</w:t>
        </w:r>
      </w:hyperlink>
      <w:r>
        <w:t xml:space="preserve">, f. 1; </w:t>
      </w:r>
      <w:hyperlink w:anchor="SENTENCIA_2008_49" w:history="1">
        <w:r w:rsidRPr="00C12216">
          <w:rPr>
            <w:rStyle w:val="TextoNormalCaracter"/>
          </w:rPr>
          <w:t>49/2008</w:t>
        </w:r>
      </w:hyperlink>
      <w:r>
        <w:t>, f. 2.</w:t>
      </w:r>
    </w:p>
    <w:p w:rsidR="00C12216" w:rsidRDefault="00C12216" w:rsidP="00C12216">
      <w:pPr>
        <w:pStyle w:val="SangriaFrancesaArticulo"/>
      </w:pPr>
    </w:p>
    <w:p w:rsidR="00C12216" w:rsidRDefault="00C12216" w:rsidP="00C12216">
      <w:pPr>
        <w:pStyle w:val="TextoNormalNegritaCursivandice"/>
      </w:pPr>
      <w:r>
        <w:t>Ley Orgánica 6/2007, de 24 de mayo. Modificación de la Ley Orgánica 2/1979, de 3 de octubre, del Tribunal Constitucional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Sentencias </w:t>
      </w:r>
      <w:hyperlink w:anchor="SENTENCIA_2008_19" w:history="1">
        <w:r w:rsidRPr="00C12216">
          <w:rPr>
            <w:rStyle w:val="TextoNormalCaracter"/>
          </w:rPr>
          <w:t>19/2008</w:t>
        </w:r>
      </w:hyperlink>
      <w:r>
        <w:t xml:space="preserve">, f. 3; </w:t>
      </w:r>
      <w:hyperlink w:anchor="SENTENCIA_2008_26" w:history="1">
        <w:r w:rsidRPr="00C12216">
          <w:rPr>
            <w:rStyle w:val="TextoNormalCaracter"/>
          </w:rPr>
          <w:t>26/2008</w:t>
        </w:r>
      </w:hyperlink>
      <w:r>
        <w:t xml:space="preserve">, f. 2; </w:t>
      </w:r>
      <w:hyperlink w:anchor="SENTENCIA_2008_42" w:history="1">
        <w:r w:rsidRPr="00C12216">
          <w:rPr>
            <w:rStyle w:val="TextoNormalCaracter"/>
          </w:rPr>
          <w:t>42/2008</w:t>
        </w:r>
      </w:hyperlink>
      <w:r>
        <w:t xml:space="preserve">, f. 2; </w:t>
      </w:r>
      <w:hyperlink w:anchor="SENTENCIA_2008_46" w:history="1">
        <w:r w:rsidRPr="00C12216">
          <w:rPr>
            <w:rStyle w:val="TextoNormalCaracter"/>
          </w:rPr>
          <w:t>46/2008</w:t>
        </w:r>
      </w:hyperlink>
      <w:r>
        <w:t>, f. 2.</w:t>
      </w:r>
    </w:p>
    <w:p w:rsidR="00C12216" w:rsidRDefault="00C12216" w:rsidP="00C12216">
      <w:pPr>
        <w:pStyle w:val="SangriaIzquierdaArticulo"/>
      </w:pPr>
      <w:r>
        <w:t xml:space="preserve">Autos </w:t>
      </w:r>
      <w:hyperlink w:anchor="AUTO_2008_4" w:history="1">
        <w:r w:rsidRPr="00C12216">
          <w:rPr>
            <w:rStyle w:val="TextoNormalCaracter"/>
          </w:rPr>
          <w:t>4/2008</w:t>
        </w:r>
      </w:hyperlink>
      <w:r>
        <w:t xml:space="preserve">; </w:t>
      </w:r>
      <w:hyperlink w:anchor="AUTO_2008_7" w:history="1">
        <w:r w:rsidRPr="00C12216">
          <w:rPr>
            <w:rStyle w:val="TextoNormalCaracter"/>
          </w:rPr>
          <w:t>7/2008</w:t>
        </w:r>
      </w:hyperlink>
      <w:r>
        <w:t xml:space="preserve">; </w:t>
      </w:r>
      <w:hyperlink w:anchor="AUTO_2008_13" w:history="1">
        <w:r w:rsidRPr="00C12216">
          <w:rPr>
            <w:rStyle w:val="TextoNormalCaracter"/>
          </w:rPr>
          <w:t>13/2008</w:t>
        </w:r>
      </w:hyperlink>
      <w:r>
        <w:t xml:space="preserve">; </w:t>
      </w:r>
      <w:hyperlink w:anchor="AUTO_2008_16" w:history="1">
        <w:r w:rsidRPr="00C12216">
          <w:rPr>
            <w:rStyle w:val="TextoNormalCaracter"/>
          </w:rPr>
          <w:t>16/2008</w:t>
        </w:r>
      </w:hyperlink>
      <w:r>
        <w:t xml:space="preserve">; </w:t>
      </w:r>
      <w:hyperlink w:anchor="AUTO_2008_17" w:history="1">
        <w:r w:rsidRPr="00C12216">
          <w:rPr>
            <w:rStyle w:val="TextoNormalCaracter"/>
          </w:rPr>
          <w:t>17/2008</w:t>
        </w:r>
      </w:hyperlink>
      <w:r>
        <w:t xml:space="preserve">; </w:t>
      </w:r>
      <w:hyperlink w:anchor="AUTO_2008_18" w:history="1">
        <w:r w:rsidRPr="00C12216">
          <w:rPr>
            <w:rStyle w:val="TextoNormalCaracter"/>
          </w:rPr>
          <w:t>18/2008</w:t>
        </w:r>
      </w:hyperlink>
      <w:r>
        <w:t xml:space="preserve">; </w:t>
      </w:r>
      <w:hyperlink w:anchor="AUTO_2008_19" w:history="1">
        <w:r w:rsidRPr="00C12216">
          <w:rPr>
            <w:rStyle w:val="TextoNormalCaracter"/>
          </w:rPr>
          <w:t>19/2008</w:t>
        </w:r>
      </w:hyperlink>
      <w:r>
        <w:t xml:space="preserve">; </w:t>
      </w:r>
      <w:hyperlink w:anchor="AUTO_2008_28" w:history="1">
        <w:r w:rsidRPr="00C12216">
          <w:rPr>
            <w:rStyle w:val="TextoNormalCaracter"/>
          </w:rPr>
          <w:t>28/2008</w:t>
        </w:r>
      </w:hyperlink>
      <w:r>
        <w:t xml:space="preserve">; </w:t>
      </w:r>
      <w:hyperlink w:anchor="AUTO_2008_32" w:history="1">
        <w:r w:rsidRPr="00C12216">
          <w:rPr>
            <w:rStyle w:val="TextoNormalCaracter"/>
          </w:rPr>
          <w:t>32/2008</w:t>
        </w:r>
      </w:hyperlink>
      <w:r>
        <w:t xml:space="preserve">; </w:t>
      </w:r>
      <w:hyperlink w:anchor="AUTO_2008_33" w:history="1">
        <w:r w:rsidRPr="00C12216">
          <w:rPr>
            <w:rStyle w:val="TextoNormalCaracter"/>
          </w:rPr>
          <w:t>33/2008</w:t>
        </w:r>
      </w:hyperlink>
      <w:r>
        <w:t xml:space="preserve">; </w:t>
      </w:r>
      <w:hyperlink w:anchor="AUTO_2008_36" w:history="1">
        <w:r w:rsidRPr="00C12216">
          <w:rPr>
            <w:rStyle w:val="TextoNormalCaracter"/>
          </w:rPr>
          <w:t>36/2008</w:t>
        </w:r>
      </w:hyperlink>
      <w:r>
        <w:t xml:space="preserve">; </w:t>
      </w:r>
      <w:hyperlink w:anchor="AUTO_2008_37" w:history="1">
        <w:r w:rsidRPr="00C12216">
          <w:rPr>
            <w:rStyle w:val="TextoNormalCaracter"/>
          </w:rPr>
          <w:t>37/2008</w:t>
        </w:r>
      </w:hyperlink>
      <w:r>
        <w:t xml:space="preserve">; </w:t>
      </w:r>
      <w:hyperlink w:anchor="AUTO_2008_39" w:history="1">
        <w:r w:rsidRPr="00C12216">
          <w:rPr>
            <w:rStyle w:val="TextoNormalCaracter"/>
          </w:rPr>
          <w:t>39/2008</w:t>
        </w:r>
      </w:hyperlink>
      <w:r>
        <w:t xml:space="preserve">; </w:t>
      </w:r>
      <w:hyperlink w:anchor="AUTO_2008_40" w:history="1">
        <w:r w:rsidRPr="00C12216">
          <w:rPr>
            <w:rStyle w:val="TextoNormalCaracter"/>
          </w:rPr>
          <w:t>40/2008</w:t>
        </w:r>
      </w:hyperlink>
      <w:r>
        <w:t xml:space="preserve">; </w:t>
      </w:r>
      <w:hyperlink w:anchor="AUTO_2008_42" w:history="1">
        <w:r w:rsidRPr="00C12216">
          <w:rPr>
            <w:rStyle w:val="TextoNormalCaracter"/>
          </w:rPr>
          <w:t>42/2008</w:t>
        </w:r>
      </w:hyperlink>
      <w:r>
        <w:t xml:space="preserve">; </w:t>
      </w:r>
      <w:hyperlink w:anchor="AUTO_2008_44" w:history="1">
        <w:r w:rsidRPr="00C12216">
          <w:rPr>
            <w:rStyle w:val="TextoNormalCaracter"/>
          </w:rPr>
          <w:t>44/2008</w:t>
        </w:r>
      </w:hyperlink>
      <w:r>
        <w:t xml:space="preserve">; </w:t>
      </w:r>
      <w:hyperlink w:anchor="AUTO_2008_45" w:history="1">
        <w:r w:rsidRPr="00C12216">
          <w:rPr>
            <w:rStyle w:val="TextoNormalCaracter"/>
          </w:rPr>
          <w:t>45/2008</w:t>
        </w:r>
      </w:hyperlink>
      <w:r>
        <w:t xml:space="preserve">; </w:t>
      </w:r>
      <w:hyperlink w:anchor="AUTO_2008_65" w:history="1">
        <w:r w:rsidRPr="00C12216">
          <w:rPr>
            <w:rStyle w:val="TextoNormalCaracter"/>
          </w:rPr>
          <w:t>65/2008</w:t>
        </w:r>
      </w:hyperlink>
      <w:r>
        <w:t xml:space="preserve">; </w:t>
      </w:r>
      <w:hyperlink w:anchor="AUTO_2008_67" w:history="1">
        <w:r w:rsidRPr="00C12216">
          <w:rPr>
            <w:rStyle w:val="TextoNormalCaracter"/>
          </w:rPr>
          <w:t>67/2008</w:t>
        </w:r>
      </w:hyperlink>
      <w:r>
        <w:t xml:space="preserve">; </w:t>
      </w:r>
      <w:hyperlink w:anchor="AUTO_2008_77" w:history="1">
        <w:r w:rsidRPr="00C12216">
          <w:rPr>
            <w:rStyle w:val="TextoNormalCaracter"/>
          </w:rPr>
          <w:t>77/2008</w:t>
        </w:r>
      </w:hyperlink>
      <w:r>
        <w:t xml:space="preserve">;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 xml:space="preserve">; </w:t>
      </w:r>
      <w:hyperlink w:anchor="AUTO_2008_109" w:history="1">
        <w:r w:rsidRPr="00C12216">
          <w:rPr>
            <w:rStyle w:val="TextoNormalCaracter"/>
          </w:rPr>
          <w:t>109/2008</w:t>
        </w:r>
      </w:hyperlink>
      <w:r>
        <w:t xml:space="preserve">; </w:t>
      </w:r>
      <w:hyperlink w:anchor="AUTO_2008_111" w:history="1">
        <w:r w:rsidRPr="00C12216">
          <w:rPr>
            <w:rStyle w:val="TextoNormalCaracter"/>
          </w:rPr>
          <w:t>111/2008</w:t>
        </w:r>
      </w:hyperlink>
      <w:r>
        <w:t>.</w:t>
      </w:r>
    </w:p>
    <w:p w:rsidR="00C12216" w:rsidRDefault="00C12216" w:rsidP="00C12216">
      <w:pPr>
        <w:pStyle w:val="SangriaFrancesaArticulo"/>
      </w:pPr>
      <w:r w:rsidRPr="00C12216">
        <w:rPr>
          <w:rStyle w:val="TextoNormalNegritaCaracter"/>
        </w:rPr>
        <w:t>Exposición de motivos.</w:t>
      </w:r>
      <w:r w:rsidRPr="00C12216">
        <w:rPr>
          <w:rStyle w:val="TextoNormalCaracter"/>
        </w:rPr>
        <w:t>-</w:t>
      </w:r>
      <w:r>
        <w:t xml:space="preserve"> Sentencia </w:t>
      </w:r>
      <w:hyperlink w:anchor="SENTENCIA_2008_49" w:history="1">
        <w:r w:rsidRPr="00C12216">
          <w:rPr>
            <w:rStyle w:val="TextoNormalCaracter"/>
          </w:rPr>
          <w:t>49/2008</w:t>
        </w:r>
      </w:hyperlink>
      <w:r>
        <w:t>, f. 5.</w:t>
      </w:r>
    </w:p>
    <w:p w:rsidR="00C12216" w:rsidRDefault="00C12216" w:rsidP="00C12216">
      <w:pPr>
        <w:pStyle w:val="SangriaFrancesaArticulo"/>
      </w:pPr>
      <w:r w:rsidRPr="00C12216">
        <w:rPr>
          <w:rStyle w:val="TextoNormalNegritaCaracter"/>
        </w:rPr>
        <w:t>Artículo único, apartado 6.</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único, apartado 7.</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único, apartado 6.</w:t>
      </w:r>
      <w:r w:rsidRPr="00C12216">
        <w:rPr>
          <w:rStyle w:val="TextoNormalCaracter"/>
        </w:rPr>
        <w:t>-</w:t>
      </w:r>
      <w:r>
        <w:t xml:space="preserve"> Sentencia </w:t>
      </w:r>
      <w:hyperlink w:anchor="SENTENCIA_2008_49" w:history="1">
        <w:r w:rsidRPr="00C12216">
          <w:rPr>
            <w:rStyle w:val="TextoNormalCaracter"/>
          </w:rPr>
          <w:t>49/2008</w:t>
        </w:r>
      </w:hyperlink>
      <w:r>
        <w:t>, f. 1, VP I.</w:t>
      </w:r>
    </w:p>
    <w:p w:rsidR="00C12216" w:rsidRDefault="00C12216" w:rsidP="00C12216">
      <w:pPr>
        <w:pStyle w:val="SangriaFrancesaArticulo"/>
      </w:pPr>
      <w:r w:rsidRPr="00C12216">
        <w:rPr>
          <w:rStyle w:val="TextoNormalNegritaCaracter"/>
        </w:rPr>
        <w:t>Artículo único, apartado 7.</w:t>
      </w:r>
      <w:r w:rsidRPr="00C12216">
        <w:rPr>
          <w:rStyle w:val="TextoNormalCaracter"/>
        </w:rPr>
        <w:t>-</w:t>
      </w:r>
      <w:r>
        <w:t xml:space="preserve"> Sentencia </w:t>
      </w:r>
      <w:hyperlink w:anchor="SENTENCIA_2008_49" w:history="1">
        <w:r w:rsidRPr="00C12216">
          <w:rPr>
            <w:rStyle w:val="TextoNormalCaracter"/>
          </w:rPr>
          <w:t>49/2008</w:t>
        </w:r>
      </w:hyperlink>
      <w:r>
        <w:t>, f. 1, VP I.</w:t>
      </w:r>
    </w:p>
    <w:p w:rsidR="00C12216" w:rsidRDefault="00C12216" w:rsidP="00C12216">
      <w:pPr>
        <w:pStyle w:val="SangriaFrancesaArticulo"/>
      </w:pPr>
      <w:r w:rsidRPr="00C12216">
        <w:rPr>
          <w:rStyle w:val="TextoNormalNegritaCaracter"/>
        </w:rPr>
        <w:t>Disposición transitoria tercera.</w:t>
      </w:r>
      <w:r w:rsidRPr="00C12216">
        <w:rPr>
          <w:rStyle w:val="TextoNormalCaracter"/>
        </w:rPr>
        <w:t>-</w:t>
      </w:r>
      <w:r>
        <w:t xml:space="preserve"> Autos </w:t>
      </w:r>
      <w:hyperlink w:anchor="AUTO_2008_47" w:history="1">
        <w:r w:rsidRPr="00C12216">
          <w:rPr>
            <w:rStyle w:val="TextoNormalCaracter"/>
          </w:rPr>
          <w:t>47/2008</w:t>
        </w:r>
      </w:hyperlink>
      <w:r>
        <w:t xml:space="preserve">; </w:t>
      </w:r>
      <w:hyperlink w:anchor="AUTO_2008_83" w:history="1">
        <w:r w:rsidRPr="00C12216">
          <w:rPr>
            <w:rStyle w:val="TextoNormalCaracter"/>
          </w:rPr>
          <w:t>83/2008</w:t>
        </w:r>
      </w:hyperlink>
      <w:r>
        <w:t>.</w:t>
      </w:r>
    </w:p>
    <w:p w:rsidR="00C12216" w:rsidRDefault="00C12216" w:rsidP="00C12216">
      <w:pPr>
        <w:pStyle w:val="SangriaFrancesaArticulo"/>
      </w:pPr>
      <w:r w:rsidRPr="00C12216">
        <w:rPr>
          <w:rStyle w:val="TextoNormalNegritaCaracter"/>
        </w:rPr>
        <w:t>Disposición final segunda.</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TextoNormal"/>
      </w:pPr>
    </w:p>
    <w:p w:rsidR="00C12216" w:rsidRDefault="00C12216" w:rsidP="00C12216">
      <w:pPr>
        <w:pStyle w:val="SangriaFrancesaArticulo"/>
      </w:pPr>
      <w:bookmarkStart w:id="184" w:name="INDICE22845"/>
    </w:p>
    <w:bookmarkEnd w:id="184"/>
    <w:p w:rsidR="00C12216" w:rsidRDefault="00C12216" w:rsidP="00C12216">
      <w:pPr>
        <w:pStyle w:val="TextoIndiceNivel2"/>
        <w:suppressAutoHyphens/>
      </w:pPr>
      <w:r>
        <w:t>D) Leyes Orgánicas</w:t>
      </w:r>
    </w:p>
    <w:p w:rsidR="00C12216" w:rsidRDefault="00C12216" w:rsidP="00C12216">
      <w:pPr>
        <w:pStyle w:val="TextoIndiceNivel2"/>
      </w:pPr>
    </w:p>
    <w:p w:rsidR="00C12216" w:rsidRDefault="00C12216" w:rsidP="00C12216">
      <w:pPr>
        <w:pStyle w:val="TextoNormalNegritaCursivandice"/>
      </w:pPr>
      <w:r>
        <w:t>Ley Orgánica 1/1979, de 26 de septiembre. General penitenciaria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3" w:history="1">
        <w:r w:rsidRPr="00C12216">
          <w:rPr>
            <w:rStyle w:val="TextoNormalCaracter"/>
          </w:rPr>
          <w:t>43/2008</w:t>
        </w:r>
      </w:hyperlink>
      <w:r>
        <w:t>, f. 4.</w:t>
      </w:r>
    </w:p>
    <w:p w:rsidR="00C12216" w:rsidRDefault="00C12216" w:rsidP="00C12216">
      <w:pPr>
        <w:pStyle w:val="SangriaFrancesaArticulo"/>
      </w:pPr>
    </w:p>
    <w:p w:rsidR="00C12216" w:rsidRDefault="00C12216" w:rsidP="00C12216">
      <w:pPr>
        <w:pStyle w:val="TextoNormalNegritaCursivandice"/>
      </w:pPr>
      <w:r>
        <w:t>Ley Orgánica 8/1980, de 22 de septiembre. Financiación de las Comunidades Autónomas</w:t>
      </w:r>
    </w:p>
    <w:p w:rsidR="00C12216" w:rsidRDefault="00C12216" w:rsidP="00C12216">
      <w:pPr>
        <w:pStyle w:val="SangriaFrancesaArticulo"/>
      </w:pPr>
      <w:r w:rsidRPr="00C12216">
        <w:rPr>
          <w:rStyle w:val="TextoNormalNegritaCaracter"/>
        </w:rPr>
        <w:t>Artículo 6.</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6.3.</w:t>
      </w:r>
      <w:r w:rsidRPr="00C12216">
        <w:rPr>
          <w:rStyle w:val="TextoNormalCaracter"/>
        </w:rPr>
        <w:t>-</w:t>
      </w:r>
      <w:r>
        <w:t xml:space="preserve"> Autos </w:t>
      </w:r>
      <w:hyperlink w:anchor="AUTO_2008_8" w:history="1">
        <w:r w:rsidRPr="00C12216">
          <w:rPr>
            <w:rStyle w:val="TextoNormalCaracter"/>
          </w:rPr>
          <w:t>8/2008</w:t>
        </w:r>
      </w:hyperlink>
      <w:r>
        <w:t xml:space="preserve">; </w:t>
      </w:r>
      <w:hyperlink w:anchor="AUTO_2008_51" w:history="1">
        <w:r w:rsidRPr="00C12216">
          <w:rPr>
            <w:rStyle w:val="TextoNormalCaracter"/>
          </w:rPr>
          <w:t>51/2008</w:t>
        </w:r>
      </w:hyperlink>
      <w:r>
        <w:t>.</w:t>
      </w:r>
    </w:p>
    <w:p w:rsidR="00C12216" w:rsidRDefault="00C12216" w:rsidP="00C12216">
      <w:pPr>
        <w:pStyle w:val="SangriaFrancesaArticulo"/>
      </w:pPr>
      <w:r w:rsidRPr="00C12216">
        <w:rPr>
          <w:rStyle w:val="TextoNormalNegritaCaracter"/>
        </w:rPr>
        <w:t>Artículo 9.</w:t>
      </w:r>
      <w:r w:rsidRPr="00C12216">
        <w:rPr>
          <w:rStyle w:val="TextoNormalCaracter"/>
        </w:rPr>
        <w:t>-</w:t>
      </w:r>
      <w:r>
        <w:t xml:space="preserve"> Autos </w:t>
      </w:r>
      <w:hyperlink w:anchor="AUTO_2008_8" w:history="1">
        <w:r w:rsidRPr="00C12216">
          <w:rPr>
            <w:rStyle w:val="TextoNormalCaracter"/>
          </w:rPr>
          <w:t>8/2008</w:t>
        </w:r>
      </w:hyperlink>
      <w:r>
        <w:t xml:space="preserve">; </w:t>
      </w:r>
      <w:hyperlink w:anchor="AUTO_2008_51" w:history="1">
        <w:r w:rsidRPr="00C12216">
          <w:rPr>
            <w:rStyle w:val="TextoNormalCaracter"/>
          </w:rPr>
          <w:t>51/2008</w:t>
        </w:r>
      </w:hyperlink>
      <w:r>
        <w:t>.</w:t>
      </w:r>
    </w:p>
    <w:p w:rsidR="00C12216" w:rsidRDefault="00C12216" w:rsidP="00C12216">
      <w:pPr>
        <w:pStyle w:val="SangriaFrancesaArticulo"/>
      </w:pPr>
    </w:p>
    <w:p w:rsidR="00C12216" w:rsidRDefault="00C12216" w:rsidP="00C12216">
      <w:pPr>
        <w:pStyle w:val="TextoNormalNegritaCursivandice"/>
      </w:pPr>
      <w:r>
        <w:t>Ley Orgánica 1/1982, de 5 de mayo. Derecho al honor, a la intimidad personal y familiar y a la propia imagen</w:t>
      </w:r>
    </w:p>
    <w:p w:rsidR="00C12216" w:rsidRDefault="00C12216" w:rsidP="00C12216">
      <w:pPr>
        <w:pStyle w:val="SangriaFrancesaArticulo"/>
      </w:pPr>
      <w:r w:rsidRPr="00C12216">
        <w:rPr>
          <w:rStyle w:val="TextoNormalNegritaCaracter"/>
        </w:rPr>
        <w:t>Artículo 2.1.</w:t>
      </w:r>
      <w:r w:rsidRPr="00C12216">
        <w:rPr>
          <w:rStyle w:val="TextoNormalCaracter"/>
        </w:rPr>
        <w:t>-</w:t>
      </w:r>
      <w:r>
        <w:t xml:space="preserve"> Sentencia </w:t>
      </w:r>
      <w:hyperlink w:anchor="SENTENCIA_2008_51" w:history="1">
        <w:r w:rsidRPr="00C12216">
          <w:rPr>
            <w:rStyle w:val="TextoNormalCaracter"/>
          </w:rPr>
          <w:t>51/2008</w:t>
        </w:r>
      </w:hyperlink>
      <w:r>
        <w:t>, f. 1.</w:t>
      </w:r>
    </w:p>
    <w:p w:rsidR="00C12216" w:rsidRDefault="00C12216" w:rsidP="00C12216">
      <w:pPr>
        <w:pStyle w:val="SangriaFrancesaArticulo"/>
      </w:pPr>
      <w:r w:rsidRPr="00C12216">
        <w:rPr>
          <w:rStyle w:val="TextoNormalNegritaCaracter"/>
        </w:rPr>
        <w:t>Artículo 7.</w:t>
      </w:r>
      <w:r w:rsidRPr="00C12216">
        <w:rPr>
          <w:rStyle w:val="TextoNormalCaracter"/>
        </w:rPr>
        <w:t>-</w:t>
      </w:r>
      <w:r>
        <w:t xml:space="preserve"> Sentencia </w:t>
      </w:r>
      <w:hyperlink w:anchor="SENTENCIA_2008_51" w:history="1">
        <w:r w:rsidRPr="00C12216">
          <w:rPr>
            <w:rStyle w:val="TextoNormalCaracter"/>
          </w:rPr>
          <w:t>51/2008</w:t>
        </w:r>
      </w:hyperlink>
      <w:r>
        <w:t>, f. 1.</w:t>
      </w:r>
    </w:p>
    <w:p w:rsidR="00C12216" w:rsidRDefault="00C12216" w:rsidP="00C12216">
      <w:pPr>
        <w:pStyle w:val="SangriaFrancesaArticulo"/>
      </w:pPr>
    </w:p>
    <w:p w:rsidR="00C12216" w:rsidRDefault="00C12216" w:rsidP="00C12216">
      <w:pPr>
        <w:pStyle w:val="TextoNormalNegritaCursivandice"/>
      </w:pPr>
      <w:r>
        <w:t>Ley Orgánica 6/1984, de 24 de mayo. Regula del procedimiento de Habeas Corpus.</w:t>
      </w:r>
    </w:p>
    <w:p w:rsidR="00C12216" w:rsidRDefault="00C12216" w:rsidP="00C12216">
      <w:pPr>
        <w:pStyle w:val="SangriaFrancesaArticulo"/>
      </w:pPr>
      <w:r w:rsidRPr="00C12216">
        <w:rPr>
          <w:rStyle w:val="TextoNormalNegritaCaracter"/>
        </w:rPr>
        <w:t>Artículo 1.</w:t>
      </w:r>
      <w:r w:rsidRPr="00C12216">
        <w:rPr>
          <w:rStyle w:val="TextoNormalCaracter"/>
        </w:rPr>
        <w:t>-</w:t>
      </w:r>
      <w:r>
        <w:t xml:space="preserve"> Sentencias </w:t>
      </w:r>
      <w:hyperlink w:anchor="SENTENCIA_2008_35" w:history="1">
        <w:r w:rsidRPr="00C12216">
          <w:rPr>
            <w:rStyle w:val="TextoNormalCaracter"/>
          </w:rPr>
          <w:t>35/2008</w:t>
        </w:r>
      </w:hyperlink>
      <w:r>
        <w:t xml:space="preserve">, ff. 2, 3; </w:t>
      </w:r>
      <w:hyperlink w:anchor="SENTENCIA_2008_37" w:history="1">
        <w:r w:rsidRPr="00C12216">
          <w:rPr>
            <w:rStyle w:val="TextoNormalCaracter"/>
          </w:rPr>
          <w:t>37/2008</w:t>
        </w:r>
      </w:hyperlink>
      <w:r>
        <w:t>, f. 3.</w:t>
      </w:r>
    </w:p>
    <w:p w:rsidR="00C12216" w:rsidRDefault="00C12216" w:rsidP="00C12216">
      <w:pPr>
        <w:pStyle w:val="SangriaFrancesaArticulo"/>
      </w:pPr>
      <w:r w:rsidRPr="00C12216">
        <w:rPr>
          <w:rStyle w:val="TextoNormalNegritaCaracter"/>
        </w:rPr>
        <w:t>Artículo 3.</w:t>
      </w:r>
      <w:r w:rsidRPr="00C12216">
        <w:rPr>
          <w:rStyle w:val="TextoNormalCaracter"/>
        </w:rPr>
        <w:t>-</w:t>
      </w:r>
      <w:r>
        <w:t xml:space="preserve"> Sentencia </w:t>
      </w:r>
      <w:hyperlink w:anchor="SENTENCIA_2008_37" w:history="1">
        <w:r w:rsidRPr="00C12216">
          <w:rPr>
            <w:rStyle w:val="TextoNormalCaracter"/>
          </w:rPr>
          <w:t>37/2008</w:t>
        </w:r>
      </w:hyperlink>
      <w:r>
        <w:t>, f. 2.</w:t>
      </w:r>
    </w:p>
    <w:p w:rsidR="00C12216" w:rsidRDefault="00C12216" w:rsidP="00C12216">
      <w:pPr>
        <w:pStyle w:val="SangriaFrancesaArticulo"/>
      </w:pPr>
      <w:r w:rsidRPr="00C12216">
        <w:rPr>
          <w:rStyle w:val="TextoNormalNegritaCaracter"/>
        </w:rPr>
        <w:t>Artículo 3 in fine.</w:t>
      </w:r>
      <w:r w:rsidRPr="00C12216">
        <w:rPr>
          <w:rStyle w:val="TextoNormalCaracter"/>
        </w:rPr>
        <w:t>-</w:t>
      </w:r>
      <w:r>
        <w:t xml:space="preserve"> Sentencia </w:t>
      </w:r>
      <w:hyperlink w:anchor="SENTENCIA_2008_37" w:history="1">
        <w:r w:rsidRPr="00C12216">
          <w:rPr>
            <w:rStyle w:val="TextoNormalCaracter"/>
          </w:rPr>
          <w:t>37/2008</w:t>
        </w:r>
      </w:hyperlink>
      <w:r>
        <w:t>, f. 3.</w:t>
      </w:r>
    </w:p>
    <w:p w:rsidR="00C12216" w:rsidRDefault="00C12216" w:rsidP="00C12216">
      <w:pPr>
        <w:pStyle w:val="SangriaFrancesaArticulo"/>
      </w:pPr>
      <w:r w:rsidRPr="00C12216">
        <w:rPr>
          <w:rStyle w:val="TextoNormalNegritaCaracter"/>
        </w:rPr>
        <w:t>Artículo 4.</w:t>
      </w:r>
      <w:r w:rsidRPr="00C12216">
        <w:rPr>
          <w:rStyle w:val="TextoNormalCaracter"/>
        </w:rPr>
        <w:t>-</w:t>
      </w:r>
      <w:r>
        <w:t xml:space="preserve"> Sentencias </w:t>
      </w:r>
      <w:hyperlink w:anchor="SENTENCIA_2008_35" w:history="1">
        <w:r w:rsidRPr="00C12216">
          <w:rPr>
            <w:rStyle w:val="TextoNormalCaracter"/>
          </w:rPr>
          <w:t>35/2008</w:t>
        </w:r>
      </w:hyperlink>
      <w:r>
        <w:t xml:space="preserve">, ff. 2, 4; </w:t>
      </w:r>
      <w:hyperlink w:anchor="SENTENCIA_2008_37" w:history="1">
        <w:r w:rsidRPr="00C12216">
          <w:rPr>
            <w:rStyle w:val="TextoNormalCaracter"/>
          </w:rPr>
          <w:t>37/2008</w:t>
        </w:r>
      </w:hyperlink>
      <w:r>
        <w:t>, f. 3.</w:t>
      </w:r>
    </w:p>
    <w:p w:rsidR="00C12216" w:rsidRDefault="00C12216" w:rsidP="00C12216">
      <w:pPr>
        <w:pStyle w:val="SangriaFrancesaArticulo"/>
      </w:pPr>
      <w:r w:rsidRPr="00C12216">
        <w:rPr>
          <w:rStyle w:val="TextoNormalNegritaCaracter"/>
        </w:rPr>
        <w:t>Artículo 6.</w:t>
      </w:r>
      <w:r w:rsidRPr="00C12216">
        <w:rPr>
          <w:rStyle w:val="TextoNormalCaracter"/>
        </w:rPr>
        <w:t>-</w:t>
      </w:r>
      <w:r>
        <w:t xml:space="preserve"> Sentencia </w:t>
      </w:r>
      <w:hyperlink w:anchor="SENTENCIA_2008_37" w:history="1">
        <w:r w:rsidRPr="00C12216">
          <w:rPr>
            <w:rStyle w:val="TextoNormalCaracter"/>
          </w:rPr>
          <w:t>37/2008</w:t>
        </w:r>
      </w:hyperlink>
      <w:r>
        <w:t>, f. 3.</w:t>
      </w:r>
    </w:p>
    <w:p w:rsidR="00C12216" w:rsidRDefault="00C12216" w:rsidP="00C12216">
      <w:pPr>
        <w:pStyle w:val="SangriaFrancesaArticulo"/>
      </w:pPr>
      <w:r w:rsidRPr="00C12216">
        <w:rPr>
          <w:rStyle w:val="TextoNormalNegritaCaracter"/>
        </w:rPr>
        <w:t>Artículo 7.</w:t>
      </w:r>
      <w:r w:rsidRPr="00C12216">
        <w:rPr>
          <w:rStyle w:val="TextoNormalCaracter"/>
        </w:rPr>
        <w:t>-</w:t>
      </w:r>
      <w:r>
        <w:t xml:space="preserve"> Sentencia </w:t>
      </w:r>
      <w:hyperlink w:anchor="SENTENCIA_2008_35" w:history="1">
        <w:r w:rsidRPr="00C12216">
          <w:rPr>
            <w:rStyle w:val="TextoNormalCaracter"/>
          </w:rPr>
          <w:t>35/2008</w:t>
        </w:r>
      </w:hyperlink>
      <w:r>
        <w:t>, f. 2.</w:t>
      </w:r>
    </w:p>
    <w:p w:rsidR="00C12216" w:rsidRDefault="00C12216" w:rsidP="00C12216">
      <w:pPr>
        <w:pStyle w:val="SangriaFrancesaArticulo"/>
      </w:pPr>
      <w:r w:rsidRPr="00C12216">
        <w:rPr>
          <w:rStyle w:val="TextoNormalNegritaCaracter"/>
        </w:rPr>
        <w:t>Artículo 7.1.</w:t>
      </w:r>
      <w:r w:rsidRPr="00C12216">
        <w:rPr>
          <w:rStyle w:val="TextoNormalCaracter"/>
        </w:rPr>
        <w:t>-</w:t>
      </w:r>
      <w:r>
        <w:t xml:space="preserve"> Sentencia </w:t>
      </w:r>
      <w:hyperlink w:anchor="SENTENCIA_2008_37" w:history="1">
        <w:r w:rsidRPr="00C12216">
          <w:rPr>
            <w:rStyle w:val="TextoNormalCaracter"/>
          </w:rPr>
          <w:t>37/2008</w:t>
        </w:r>
      </w:hyperlink>
      <w:r>
        <w:t>, f. 3.</w:t>
      </w:r>
    </w:p>
    <w:p w:rsidR="00C12216" w:rsidRDefault="00C12216" w:rsidP="00C12216">
      <w:pPr>
        <w:pStyle w:val="SangriaFrancesaArticulo"/>
      </w:pPr>
      <w:r w:rsidRPr="00C12216">
        <w:rPr>
          <w:rStyle w:val="TextoNormalNegritaCaracter"/>
        </w:rPr>
        <w:t>Artículo 8.</w:t>
      </w:r>
      <w:r w:rsidRPr="00C12216">
        <w:rPr>
          <w:rStyle w:val="TextoNormalCaracter"/>
        </w:rPr>
        <w:t>-</w:t>
      </w:r>
      <w:r>
        <w:t xml:space="preserve"> Sentencia </w:t>
      </w:r>
      <w:hyperlink w:anchor="SENTENCIA_2008_37" w:history="1">
        <w:r w:rsidRPr="00C12216">
          <w:rPr>
            <w:rStyle w:val="TextoNormalCaracter"/>
          </w:rPr>
          <w:t>37/2008</w:t>
        </w:r>
      </w:hyperlink>
      <w:r>
        <w:t>, f. 3.</w:t>
      </w:r>
    </w:p>
    <w:p w:rsidR="00C12216" w:rsidRDefault="00C12216" w:rsidP="00C12216">
      <w:pPr>
        <w:pStyle w:val="SangriaFrancesaArticulo"/>
      </w:pPr>
    </w:p>
    <w:p w:rsidR="00C12216" w:rsidRDefault="00C12216" w:rsidP="00C12216">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9" w:history="1">
        <w:r w:rsidRPr="00C12216">
          <w:rPr>
            <w:rStyle w:val="TextoNormalCaracter"/>
          </w:rPr>
          <w:t>49/2008</w:t>
        </w:r>
      </w:hyperlink>
      <w:r>
        <w:t>, f. 2.</w:t>
      </w:r>
    </w:p>
    <w:p w:rsidR="00C12216" w:rsidRDefault="00C12216" w:rsidP="00C12216">
      <w:pPr>
        <w:pStyle w:val="SangriaFrancesaArticulo"/>
      </w:pPr>
    </w:p>
    <w:p w:rsidR="00C12216" w:rsidRDefault="00C12216" w:rsidP="00C12216">
      <w:pPr>
        <w:pStyle w:val="TextoNormalNegritaCursivandice"/>
      </w:pPr>
      <w:r>
        <w:t>Ley Orgánica 5/1985, de 19 de junio. Régimen electoral general</w:t>
      </w:r>
    </w:p>
    <w:p w:rsidR="00C12216" w:rsidRDefault="00C12216" w:rsidP="00C12216">
      <w:pPr>
        <w:pStyle w:val="SangriaFrancesaArticulo"/>
      </w:pPr>
      <w:r w:rsidRPr="00C12216">
        <w:rPr>
          <w:rStyle w:val="TextoNormalNegritaCaracter"/>
        </w:rPr>
        <w:t>Artículo 44.</w:t>
      </w:r>
      <w:r w:rsidRPr="00C12216">
        <w:rPr>
          <w:rStyle w:val="TextoNormalCaracter"/>
        </w:rPr>
        <w:t>-</w:t>
      </w:r>
      <w:r>
        <w:t xml:space="preserve"> Sentencia </w:t>
      </w:r>
      <w:hyperlink w:anchor="SENTENCIA_2008_12" w:history="1">
        <w:r w:rsidRPr="00C12216">
          <w:rPr>
            <w:rStyle w:val="TextoNormalCaracter"/>
          </w:rPr>
          <w:t>12/2008</w:t>
        </w:r>
      </w:hyperlink>
      <w:r>
        <w:t>, f. 9.</w:t>
      </w:r>
    </w:p>
    <w:p w:rsidR="00C12216" w:rsidRDefault="00C12216" w:rsidP="00C12216">
      <w:pPr>
        <w:pStyle w:val="SangriaFrancesaArticulo"/>
      </w:pPr>
      <w:r w:rsidRPr="00C12216">
        <w:rPr>
          <w:rStyle w:val="TextoNormalNegritaCaracter"/>
        </w:rPr>
        <w:t>Artículo 44 bis</w:t>
      </w:r>
      <w:r>
        <w:t xml:space="preserve"> </w:t>
      </w:r>
      <w:r w:rsidRPr="00C12216">
        <w:rPr>
          <w:rStyle w:val="TextoNormalCaracter"/>
        </w:rPr>
        <w:t>(redactado por la Ley Orgánica 3/2007, de 22 de marzo)</w:t>
      </w:r>
      <w:r w:rsidRPr="00C12216">
        <w:rPr>
          <w:rStyle w:val="TextoNormalNegritaCaracter"/>
        </w:rPr>
        <w:t>.</w:t>
      </w:r>
      <w:r w:rsidRPr="00C12216">
        <w:rPr>
          <w:rStyle w:val="TextoNormalCaracter"/>
        </w:rPr>
        <w:t>-</w:t>
      </w:r>
      <w:r>
        <w:t xml:space="preserve"> Sentencia </w:t>
      </w:r>
      <w:hyperlink w:anchor="SENTENCIA_2008_12" w:history="1">
        <w:r w:rsidRPr="00C12216">
          <w:rPr>
            <w:rStyle w:val="TextoNormalCaracter"/>
          </w:rPr>
          <w:t>12/2008</w:t>
        </w:r>
      </w:hyperlink>
      <w:r>
        <w:t>, ff. 1, 5, 6, 8, 9, VP.</w:t>
      </w:r>
    </w:p>
    <w:p w:rsidR="00C12216" w:rsidRDefault="00C12216" w:rsidP="00C12216">
      <w:pPr>
        <w:pStyle w:val="SangriaFrancesaArticulo"/>
      </w:pPr>
      <w:r w:rsidRPr="00C12216">
        <w:rPr>
          <w:rStyle w:val="TextoNormalNegritaCaracter"/>
        </w:rPr>
        <w:t>Artículo 44.1.</w:t>
      </w:r>
      <w:r w:rsidRPr="00C12216">
        <w:rPr>
          <w:rStyle w:val="TextoNormalCaracter"/>
        </w:rPr>
        <w:t>-</w:t>
      </w:r>
      <w:r>
        <w:t xml:space="preserve"> Sentencia </w:t>
      </w:r>
      <w:hyperlink w:anchor="SENTENCIA_2008_12" w:history="1">
        <w:r w:rsidRPr="00C12216">
          <w:rPr>
            <w:rStyle w:val="TextoNormalCaracter"/>
          </w:rPr>
          <w:t>12/2008</w:t>
        </w:r>
      </w:hyperlink>
      <w:r>
        <w:t>, f. 3.</w:t>
      </w:r>
    </w:p>
    <w:p w:rsidR="00C12216" w:rsidRDefault="00C12216" w:rsidP="00C12216">
      <w:pPr>
        <w:pStyle w:val="SangriaFrancesaArticulo"/>
      </w:pPr>
      <w:r w:rsidRPr="00C12216">
        <w:rPr>
          <w:rStyle w:val="TextoNormalNegritaCaracter"/>
        </w:rPr>
        <w:t>Artículo 187.2</w:t>
      </w:r>
      <w:r>
        <w:t xml:space="preserve"> </w:t>
      </w:r>
      <w:r w:rsidRPr="00C12216">
        <w:rPr>
          <w:rStyle w:val="TextoNormalCaracter"/>
        </w:rPr>
        <w:t>(redactado por la Ley Orgánica 3/2007, de 22 de marzo)</w:t>
      </w:r>
      <w:r w:rsidRPr="00C12216">
        <w:rPr>
          <w:rStyle w:val="TextoNormalNegritaCaracter"/>
        </w:rPr>
        <w:t>.</w:t>
      </w:r>
      <w:r w:rsidRPr="00C12216">
        <w:rPr>
          <w:rStyle w:val="TextoNormalCaracter"/>
        </w:rPr>
        <w:t>-</w:t>
      </w:r>
      <w:r>
        <w:t xml:space="preserve"> Sentencia </w:t>
      </w:r>
      <w:hyperlink w:anchor="SENTENCIA_2008_12" w:history="1">
        <w:r w:rsidRPr="00C12216">
          <w:rPr>
            <w:rStyle w:val="TextoNormalCaracter"/>
          </w:rPr>
          <w:t>12/2008</w:t>
        </w:r>
      </w:hyperlink>
      <w:r>
        <w:t>, ff. 1, 8.</w:t>
      </w:r>
    </w:p>
    <w:p w:rsidR="00C12216" w:rsidRDefault="00C12216" w:rsidP="00C12216">
      <w:pPr>
        <w:pStyle w:val="SangriaFrancesaArticulo"/>
      </w:pPr>
      <w:r w:rsidRPr="00C12216">
        <w:rPr>
          <w:rStyle w:val="TextoNormalNegritaCaracter"/>
        </w:rPr>
        <w:t>Artículo 201.3</w:t>
      </w:r>
      <w:r>
        <w:t xml:space="preserve"> </w:t>
      </w:r>
      <w:r w:rsidRPr="00C12216">
        <w:rPr>
          <w:rStyle w:val="TextoNormalCaracter"/>
        </w:rPr>
        <w:t>(redactado por la Ley Orgánica 3/2007, de 22 de marzo)</w:t>
      </w:r>
      <w:r w:rsidRPr="00C12216">
        <w:rPr>
          <w:rStyle w:val="TextoNormalNegritaCaracter"/>
        </w:rPr>
        <w:t>.</w:t>
      </w:r>
      <w:r w:rsidRPr="00C12216">
        <w:rPr>
          <w:rStyle w:val="TextoNormalCaracter"/>
        </w:rPr>
        <w:t>-</w:t>
      </w:r>
      <w:r>
        <w:t xml:space="preserve"> Sentencia </w:t>
      </w:r>
      <w:hyperlink w:anchor="SENTENCIA_2008_12" w:history="1">
        <w:r w:rsidRPr="00C12216">
          <w:rPr>
            <w:rStyle w:val="TextoNormalCaracter"/>
          </w:rPr>
          <w:t>12/2008</w:t>
        </w:r>
      </w:hyperlink>
      <w:r>
        <w:t>, ff. 1, 8.</w:t>
      </w:r>
    </w:p>
    <w:p w:rsidR="00C12216" w:rsidRDefault="00C12216" w:rsidP="00C12216">
      <w:pPr>
        <w:pStyle w:val="SangriaFrancesaArticulo"/>
      </w:pPr>
      <w:r w:rsidRPr="00C12216">
        <w:rPr>
          <w:rStyle w:val="TextoNormalNegritaCaracter"/>
        </w:rPr>
        <w:t>Disposición adicional primera</w:t>
      </w:r>
      <w:r>
        <w:t xml:space="preserve"> </w:t>
      </w:r>
      <w:r w:rsidRPr="00C12216">
        <w:rPr>
          <w:rStyle w:val="TextoNormalCaracter"/>
        </w:rPr>
        <w:t>(redactada por la Ley Orgánica 3/2007, de 22 de marzo)</w:t>
      </w:r>
      <w:r w:rsidRPr="00C12216">
        <w:rPr>
          <w:rStyle w:val="TextoNormalNegritaCaracter"/>
        </w:rPr>
        <w:t>.</w:t>
      </w:r>
      <w:r w:rsidRPr="00C12216">
        <w:rPr>
          <w:rStyle w:val="TextoNormalCaracter"/>
        </w:rPr>
        <w:t>-</w:t>
      </w:r>
      <w:r>
        <w:t xml:space="preserve"> Sentencia </w:t>
      </w:r>
      <w:hyperlink w:anchor="SENTENCIA_2008_12" w:history="1">
        <w:r w:rsidRPr="00C12216">
          <w:rPr>
            <w:rStyle w:val="TextoNormalCaracter"/>
          </w:rPr>
          <w:t>12/2008</w:t>
        </w:r>
      </w:hyperlink>
      <w:r>
        <w:t>, f. 1.</w:t>
      </w:r>
    </w:p>
    <w:p w:rsidR="00C12216" w:rsidRDefault="00C12216" w:rsidP="00C12216">
      <w:pPr>
        <w:pStyle w:val="SangriaFrancesaArticulo"/>
      </w:pPr>
      <w:r w:rsidRPr="00C12216">
        <w:rPr>
          <w:rStyle w:val="TextoNormalNegritaCaracter"/>
        </w:rPr>
        <w:t>Disposición transitoria séptima</w:t>
      </w:r>
      <w:r>
        <w:t xml:space="preserve"> </w:t>
      </w:r>
      <w:r w:rsidRPr="00C12216">
        <w:rPr>
          <w:rStyle w:val="TextoNormalCaracter"/>
        </w:rPr>
        <w:t>(redactada por la Ley Orgánica 3/2007, de 22 de marzo)</w:t>
      </w:r>
      <w:r w:rsidRPr="00C12216">
        <w:rPr>
          <w:rStyle w:val="TextoNormalNegritaCaracter"/>
        </w:rPr>
        <w:t>.</w:t>
      </w:r>
      <w:r w:rsidRPr="00C12216">
        <w:rPr>
          <w:rStyle w:val="TextoNormalCaracter"/>
        </w:rPr>
        <w:t>-</w:t>
      </w:r>
      <w:r>
        <w:t xml:space="preserve"> Sentencia </w:t>
      </w:r>
      <w:hyperlink w:anchor="SENTENCIA_2008_12" w:history="1">
        <w:r w:rsidRPr="00C12216">
          <w:rPr>
            <w:rStyle w:val="TextoNormalCaracter"/>
          </w:rPr>
          <w:t>12/2008</w:t>
        </w:r>
      </w:hyperlink>
      <w:r>
        <w:t>, ff. 1, 8.</w:t>
      </w:r>
    </w:p>
    <w:p w:rsidR="00C12216" w:rsidRDefault="00C12216" w:rsidP="00C12216">
      <w:pPr>
        <w:pStyle w:val="SangriaFrancesaArticulo"/>
      </w:pPr>
    </w:p>
    <w:p w:rsidR="00C12216" w:rsidRDefault="00C12216" w:rsidP="00C12216">
      <w:pPr>
        <w:pStyle w:val="TextoNormalNegritaCursivandice"/>
      </w:pPr>
      <w:r>
        <w:t>Ley Orgánica 6/1985, de 1 de julio. Poder judicial</w:t>
      </w:r>
    </w:p>
    <w:p w:rsidR="00C12216" w:rsidRDefault="00C12216" w:rsidP="00C12216">
      <w:pPr>
        <w:pStyle w:val="SangriaFrancesaArticulo"/>
      </w:pPr>
      <w:r w:rsidRPr="00C12216">
        <w:rPr>
          <w:rStyle w:val="TextoNormalNegritaCaracter"/>
        </w:rPr>
        <w:t>Artículo 9.4.</w:t>
      </w:r>
      <w:r w:rsidRPr="00C12216">
        <w:rPr>
          <w:rStyle w:val="TextoNormalCaracter"/>
        </w:rPr>
        <w:t>-</w:t>
      </w:r>
      <w:r>
        <w:t xml:space="preserve"> Sentencia </w:t>
      </w:r>
      <w:hyperlink w:anchor="SENTENCIA_2008_11" w:history="1">
        <w:r w:rsidRPr="00C12216">
          <w:rPr>
            <w:rStyle w:val="TextoNormalCaracter"/>
          </w:rPr>
          <w:t>11/2008</w:t>
        </w:r>
      </w:hyperlink>
      <w:r>
        <w:t>, ff. 1, 5.</w:t>
      </w:r>
    </w:p>
    <w:p w:rsidR="00C12216" w:rsidRDefault="00C12216" w:rsidP="00C12216">
      <w:pPr>
        <w:pStyle w:val="SangriaFrancesaArticulo"/>
      </w:pPr>
      <w:r w:rsidRPr="00C12216">
        <w:rPr>
          <w:rStyle w:val="TextoNormalNegritaCaracter"/>
        </w:rPr>
        <w:t>Artículo 11.3.</w:t>
      </w:r>
      <w:r w:rsidRPr="00C12216">
        <w:rPr>
          <w:rStyle w:val="TextoNormalCaracter"/>
        </w:rPr>
        <w:t>-</w:t>
      </w:r>
      <w:r>
        <w:t xml:space="preserve"> Autos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r w:rsidRPr="00C12216">
        <w:rPr>
          <w:rStyle w:val="TextoNormalNegritaCaracter"/>
        </w:rPr>
        <w:t>Artículo 18.2.</w:t>
      </w:r>
      <w:r w:rsidRPr="00C12216">
        <w:rPr>
          <w:rStyle w:val="TextoNormalCaracter"/>
        </w:rPr>
        <w:t>-</w:t>
      </w:r>
      <w:r>
        <w:t xml:space="preserve"> Sentencia </w:t>
      </w:r>
      <w:hyperlink w:anchor="SENTENCIA_2008_11" w:history="1">
        <w:r w:rsidRPr="00C12216">
          <w:rPr>
            <w:rStyle w:val="TextoNormalCaracter"/>
          </w:rPr>
          <w:t>11/2008</w:t>
        </w:r>
      </w:hyperlink>
      <w:r>
        <w:t>, ff. 1, 5, 7.</w:t>
      </w:r>
    </w:p>
    <w:p w:rsidR="00C12216" w:rsidRDefault="00C12216" w:rsidP="00C12216">
      <w:pPr>
        <w:pStyle w:val="SangriaFrancesaArticulo"/>
      </w:pPr>
      <w:r w:rsidRPr="00C12216">
        <w:rPr>
          <w:rStyle w:val="TextoNormalNegritaCaracter"/>
        </w:rPr>
        <w:t>Artículo 50.</w:t>
      </w:r>
      <w:r w:rsidRPr="00C12216">
        <w:rPr>
          <w:rStyle w:val="TextoNormalCaracter"/>
        </w:rPr>
        <w:t>-</w:t>
      </w:r>
      <w:r>
        <w:t xml:space="preserve"> Sentencia </w:t>
      </w:r>
      <w:hyperlink w:anchor="SENTENCIA_2008_45" w:history="1">
        <w:r w:rsidRPr="00C12216">
          <w:rPr>
            <w:rStyle w:val="TextoNormalCaracter"/>
          </w:rPr>
          <w:t>45/2008</w:t>
        </w:r>
      </w:hyperlink>
      <w:r>
        <w:t>, VP.</w:t>
      </w:r>
    </w:p>
    <w:p w:rsidR="00C12216" w:rsidRDefault="00C12216" w:rsidP="00C12216">
      <w:pPr>
        <w:pStyle w:val="SangriaFrancesaArticulo"/>
      </w:pPr>
      <w:r w:rsidRPr="00C12216">
        <w:rPr>
          <w:rStyle w:val="TextoNormalNegritaCaracter"/>
        </w:rPr>
        <w:t>Artículo 61.</w:t>
      </w:r>
      <w:r w:rsidRPr="00C12216">
        <w:rPr>
          <w:rStyle w:val="TextoNormalCaracter"/>
        </w:rPr>
        <w:t>-</w:t>
      </w:r>
      <w:r>
        <w:t xml:space="preserve"> Sentencia </w:t>
      </w:r>
      <w:hyperlink w:anchor="SENTENCIA_2008_50" w:history="1">
        <w:r w:rsidRPr="00C12216">
          <w:rPr>
            <w:rStyle w:val="TextoNormalCaracter"/>
          </w:rPr>
          <w:t>50/2008</w:t>
        </w:r>
      </w:hyperlink>
      <w:r>
        <w:t>, ff. 1, 3, 4.</w:t>
      </w:r>
    </w:p>
    <w:p w:rsidR="00C12216" w:rsidRDefault="00C12216" w:rsidP="00C12216">
      <w:pPr>
        <w:pStyle w:val="SangriaFrancesaArticulo"/>
      </w:pPr>
      <w:r w:rsidRPr="00C12216">
        <w:rPr>
          <w:rStyle w:val="TextoNormalNegritaCaracter"/>
        </w:rPr>
        <w:t>Artículo 112.</w:t>
      </w:r>
      <w:r w:rsidRPr="00C12216">
        <w:rPr>
          <w:rStyle w:val="TextoNormalCaracter"/>
        </w:rPr>
        <w:t>-</w:t>
      </w:r>
      <w:r>
        <w:t xml:space="preserve"> Sentencia </w:t>
      </w:r>
      <w:hyperlink w:anchor="SENTENCIA_2008_49" w:history="1">
        <w:r w:rsidRPr="00C12216">
          <w:rPr>
            <w:rStyle w:val="TextoNormalCaracter"/>
          </w:rPr>
          <w:t>49/2008</w:t>
        </w:r>
      </w:hyperlink>
      <w:r>
        <w:t>, f. 14.</w:t>
      </w:r>
    </w:p>
    <w:p w:rsidR="00C12216" w:rsidRDefault="00C12216" w:rsidP="00C12216">
      <w:pPr>
        <w:pStyle w:val="SangriaFrancesaArticulo"/>
      </w:pPr>
      <w:r w:rsidRPr="00C12216">
        <w:rPr>
          <w:rStyle w:val="TextoNormalNegritaCaracter"/>
        </w:rPr>
        <w:t>Artículo 219.</w:t>
      </w:r>
      <w:r w:rsidRPr="00C12216">
        <w:rPr>
          <w:rStyle w:val="TextoNormalCaracter"/>
        </w:rPr>
        <w:t>-</w:t>
      </w:r>
      <w:r>
        <w:t xml:space="preserve"> Auto </w:t>
      </w:r>
      <w:hyperlink w:anchor="AUTO_2008_20" w:history="1">
        <w:r w:rsidRPr="00C12216">
          <w:rPr>
            <w:rStyle w:val="TextoNormalCaracter"/>
          </w:rPr>
          <w:t>20/2008</w:t>
        </w:r>
      </w:hyperlink>
      <w:r>
        <w:t>.</w:t>
      </w:r>
    </w:p>
    <w:p w:rsidR="00C12216" w:rsidRDefault="00C12216" w:rsidP="00C12216">
      <w:pPr>
        <w:pStyle w:val="SangriaFrancesaArticulo"/>
      </w:pPr>
      <w:r w:rsidRPr="00C12216">
        <w:rPr>
          <w:rStyle w:val="TextoNormalNegritaCaracter"/>
        </w:rPr>
        <w:t>Artículo 219</w:t>
      </w:r>
      <w:r>
        <w:t xml:space="preserve"> </w:t>
      </w:r>
      <w:r w:rsidRPr="00C12216">
        <w:rPr>
          <w:rStyle w:val="TextoNormalCaracter"/>
        </w:rPr>
        <w:t>(redactado por la Ley Orgánica 19/2003, de 23 de diciembre)</w:t>
      </w:r>
      <w:r w:rsidRPr="00C12216">
        <w:rPr>
          <w:rStyle w:val="TextoNormalNegritaCaracter"/>
        </w:rPr>
        <w:t>.</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219.6.</w:t>
      </w:r>
      <w:r w:rsidRPr="00C12216">
        <w:rPr>
          <w:rStyle w:val="TextoNormalCaracter"/>
        </w:rPr>
        <w:t>-</w:t>
      </w:r>
      <w:r>
        <w:t xml:space="preserve"> Auto </w:t>
      </w:r>
      <w:hyperlink w:anchor="AUTO_2008_20" w:history="1">
        <w:r w:rsidRPr="00C12216">
          <w:rPr>
            <w:rStyle w:val="TextoNormalCaracter"/>
          </w:rPr>
          <w:t>20/2008</w:t>
        </w:r>
      </w:hyperlink>
      <w:r>
        <w:t>.</w:t>
      </w:r>
    </w:p>
    <w:p w:rsidR="00C12216" w:rsidRDefault="00C12216" w:rsidP="00C12216">
      <w:pPr>
        <w:pStyle w:val="SangriaFrancesaArticulo"/>
      </w:pPr>
      <w:r w:rsidRPr="00C12216">
        <w:rPr>
          <w:rStyle w:val="TextoNormalNegritaCaracter"/>
        </w:rPr>
        <w:t>Artículo 219.9.</w:t>
      </w:r>
      <w:r w:rsidRPr="00C12216">
        <w:rPr>
          <w:rStyle w:val="TextoNormalCaracter"/>
        </w:rPr>
        <w:t>-</w:t>
      </w:r>
      <w:r>
        <w:t xml:space="preserve"> Autos </w:t>
      </w:r>
      <w:hyperlink w:anchor="AUTO_2008_25" w:history="1">
        <w:r w:rsidRPr="00C12216">
          <w:rPr>
            <w:rStyle w:val="TextoNormalCaracter"/>
          </w:rPr>
          <w:t>25/2008</w:t>
        </w:r>
      </w:hyperlink>
      <w:r>
        <w:t xml:space="preserve">; </w:t>
      </w:r>
      <w:hyperlink w:anchor="AUTO_2008_113" w:history="1">
        <w:r w:rsidRPr="00C12216">
          <w:rPr>
            <w:rStyle w:val="TextoNormalCaracter"/>
          </w:rPr>
          <w:t>113/2008</w:t>
        </w:r>
      </w:hyperlink>
      <w:r>
        <w:t xml:space="preserve">; </w:t>
      </w:r>
      <w:hyperlink w:anchor="AUTO_2008_114" w:history="1">
        <w:r w:rsidRPr="00C12216">
          <w:rPr>
            <w:rStyle w:val="TextoNormalCaracter"/>
          </w:rPr>
          <w:t>114/2008</w:t>
        </w:r>
      </w:hyperlink>
      <w:r>
        <w:t>.</w:t>
      </w:r>
    </w:p>
    <w:p w:rsidR="00C12216" w:rsidRDefault="00C12216" w:rsidP="00C12216">
      <w:pPr>
        <w:pStyle w:val="SangriaFrancesaArticulo"/>
      </w:pPr>
      <w:r w:rsidRPr="00C12216">
        <w:rPr>
          <w:rStyle w:val="TextoNormalNegritaCaracter"/>
        </w:rPr>
        <w:t>Artículo 219.10.</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219.13.</w:t>
      </w:r>
      <w:r w:rsidRPr="00C12216">
        <w:rPr>
          <w:rStyle w:val="TextoNormalCaracter"/>
        </w:rPr>
        <w:t>-</w:t>
      </w:r>
      <w:r>
        <w:t xml:space="preserve"> Auto </w:t>
      </w:r>
      <w:hyperlink w:anchor="AUTO_2008_20" w:history="1">
        <w:r w:rsidRPr="00C12216">
          <w:rPr>
            <w:rStyle w:val="TextoNormalCaracter"/>
          </w:rPr>
          <w:t>20/2008</w:t>
        </w:r>
      </w:hyperlink>
      <w:r>
        <w:t>.</w:t>
      </w:r>
    </w:p>
    <w:p w:rsidR="00C12216" w:rsidRDefault="00C12216" w:rsidP="00C12216">
      <w:pPr>
        <w:pStyle w:val="SangriaFrancesaArticulo"/>
      </w:pPr>
      <w:r w:rsidRPr="00C12216">
        <w:rPr>
          <w:rStyle w:val="TextoNormalNegritaCaracter"/>
        </w:rPr>
        <w:t>Artículo 219.13</w:t>
      </w:r>
      <w:r>
        <w:t xml:space="preserve"> </w:t>
      </w:r>
      <w:r w:rsidRPr="00C12216">
        <w:rPr>
          <w:rStyle w:val="TextoNormalCaracter"/>
        </w:rPr>
        <w:t>(redactado por la Ley Orgánica 19/2003, de 23 de diciembre)</w:t>
      </w:r>
      <w:r w:rsidRPr="00C12216">
        <w:rPr>
          <w:rStyle w:val="TextoNormalNegritaCaracter"/>
        </w:rPr>
        <w:t>.</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219.16.</w:t>
      </w:r>
      <w:r w:rsidRPr="00C12216">
        <w:rPr>
          <w:rStyle w:val="TextoNormalCaracter"/>
        </w:rPr>
        <w:t>-</w:t>
      </w:r>
      <w:r>
        <w:t xml:space="preserve"> Auto </w:t>
      </w:r>
      <w:hyperlink w:anchor="AUTO_2008_20" w:history="1">
        <w:r w:rsidRPr="00C12216">
          <w:rPr>
            <w:rStyle w:val="TextoNormalCaracter"/>
          </w:rPr>
          <w:t>20/2008</w:t>
        </w:r>
      </w:hyperlink>
      <w:r>
        <w:t>.</w:t>
      </w:r>
    </w:p>
    <w:p w:rsidR="00C12216" w:rsidRDefault="00C12216" w:rsidP="00C12216">
      <w:pPr>
        <w:pStyle w:val="SangriaFrancesaArticulo"/>
      </w:pPr>
      <w:r w:rsidRPr="00C12216">
        <w:rPr>
          <w:rStyle w:val="TextoNormalNegritaCaracter"/>
        </w:rPr>
        <w:lastRenderedPageBreak/>
        <w:t>Artículo 219.16</w:t>
      </w:r>
      <w:r>
        <w:t xml:space="preserve"> </w:t>
      </w:r>
      <w:r w:rsidRPr="00C12216">
        <w:rPr>
          <w:rStyle w:val="TextoNormalCaracter"/>
        </w:rPr>
        <w:t>(redactado por la Ley Orgánica 19/2003, de 23 de diciembre)</w:t>
      </w:r>
      <w:r w:rsidRPr="00C12216">
        <w:rPr>
          <w:rStyle w:val="TextoNormalNegritaCaracter"/>
        </w:rPr>
        <w:t>.</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223.</w:t>
      </w:r>
      <w:r w:rsidRPr="00C12216">
        <w:rPr>
          <w:rStyle w:val="TextoNormalCaracter"/>
        </w:rPr>
        <w:t>-</w:t>
      </w:r>
      <w:r>
        <w:t xml:space="preserve"> Sentencia </w:t>
      </w:r>
      <w:hyperlink w:anchor="SENTENCIA_2008_11" w:history="1">
        <w:r w:rsidRPr="00C12216">
          <w:rPr>
            <w:rStyle w:val="TextoNormalCaracter"/>
          </w:rPr>
          <w:t>11/2008</w:t>
        </w:r>
      </w:hyperlink>
      <w:r>
        <w:t>, f. 4.</w:t>
      </w:r>
    </w:p>
    <w:p w:rsidR="00C12216" w:rsidRDefault="00C12216" w:rsidP="00C12216">
      <w:pPr>
        <w:pStyle w:val="SangriaIzquierdaArticulo"/>
      </w:pPr>
      <w:r>
        <w:t xml:space="preserve">Auto </w:t>
      </w:r>
      <w:hyperlink w:anchor="AUTO_2008_38" w:history="1">
        <w:r w:rsidRPr="00C12216">
          <w:rPr>
            <w:rStyle w:val="TextoNormalCaracter"/>
          </w:rPr>
          <w:t>38/2008</w:t>
        </w:r>
      </w:hyperlink>
      <w:r>
        <w:t>.</w:t>
      </w:r>
    </w:p>
    <w:p w:rsidR="00C12216" w:rsidRDefault="00C12216" w:rsidP="00C12216">
      <w:pPr>
        <w:pStyle w:val="SangriaFrancesaArticulo"/>
      </w:pPr>
      <w:r w:rsidRPr="00C12216">
        <w:rPr>
          <w:rStyle w:val="TextoNormalNegritaCaracter"/>
        </w:rPr>
        <w:t>Artículo 223.1.</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223.2.</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225.3 párrafo 2.</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234.2.</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240.3</w:t>
      </w:r>
      <w:r>
        <w:t xml:space="preserve"> </w:t>
      </w:r>
      <w:r w:rsidRPr="00C12216">
        <w:rPr>
          <w:rStyle w:val="TextoNormalCaracter"/>
        </w:rPr>
        <w:t>(redactado por la Ley Orgánica 13/1999, de 14 de mayo)</w:t>
      </w:r>
      <w:r w:rsidRPr="00C12216">
        <w:rPr>
          <w:rStyle w:val="TextoNormalNegritaCaracter"/>
        </w:rPr>
        <w:t>.</w:t>
      </w:r>
      <w:r w:rsidRPr="00C12216">
        <w:rPr>
          <w:rStyle w:val="TextoNormalCaracter"/>
        </w:rPr>
        <w:t>-</w:t>
      </w:r>
      <w:r>
        <w:t xml:space="preserve"> Sentencia </w:t>
      </w:r>
      <w:hyperlink w:anchor="SENTENCIA_2008_23" w:history="1">
        <w:r w:rsidRPr="00C12216">
          <w:rPr>
            <w:rStyle w:val="TextoNormalCaracter"/>
          </w:rPr>
          <w:t>23/2008</w:t>
        </w:r>
      </w:hyperlink>
      <w:r>
        <w:t>, f. 2.</w:t>
      </w:r>
    </w:p>
    <w:p w:rsidR="00C12216" w:rsidRDefault="00C12216" w:rsidP="00C12216">
      <w:pPr>
        <w:pStyle w:val="SangriaIzquierdaArticulo"/>
      </w:pPr>
      <w:r>
        <w:t xml:space="preserve">Auto </w:t>
      </w:r>
      <w:hyperlink w:anchor="AUTO_2008_63" w:history="1">
        <w:r w:rsidRPr="00C12216">
          <w:rPr>
            <w:rStyle w:val="TextoNormalCaracter"/>
          </w:rPr>
          <w:t>63/2008</w:t>
        </w:r>
      </w:hyperlink>
      <w:r>
        <w:t>.</w:t>
      </w:r>
    </w:p>
    <w:p w:rsidR="00C12216" w:rsidRDefault="00C12216" w:rsidP="00C12216">
      <w:pPr>
        <w:pStyle w:val="SangriaFrancesaArticulo"/>
      </w:pPr>
      <w:r w:rsidRPr="00C12216">
        <w:rPr>
          <w:rStyle w:val="TextoNormalNegritaCaracter"/>
        </w:rPr>
        <w:t>Artículo 241</w:t>
      </w:r>
      <w:r>
        <w:t xml:space="preserve"> </w:t>
      </w:r>
      <w:r w:rsidRPr="00C12216">
        <w:rPr>
          <w:rStyle w:val="TextoNormalCaracter"/>
        </w:rPr>
        <w:t>(redactado por la Ley Orgánica 19/2003, de 23 de diciembre)</w:t>
      </w:r>
      <w:r w:rsidRPr="00C12216">
        <w:rPr>
          <w:rStyle w:val="TextoNormalNegritaCaracter"/>
        </w:rPr>
        <w:t>.</w:t>
      </w:r>
      <w:r w:rsidRPr="00C12216">
        <w:rPr>
          <w:rStyle w:val="TextoNormalCaracter"/>
        </w:rPr>
        <w:t>-</w:t>
      </w:r>
      <w:r>
        <w:t xml:space="preserve"> Sentencias </w:t>
      </w:r>
      <w:hyperlink w:anchor="SENTENCIA_2008_1" w:history="1">
        <w:r w:rsidRPr="00C12216">
          <w:rPr>
            <w:rStyle w:val="TextoNormalCaracter"/>
          </w:rPr>
          <w:t>1/2008</w:t>
        </w:r>
      </w:hyperlink>
      <w:r>
        <w:t xml:space="preserve">, f. 1; </w:t>
      </w:r>
      <w:hyperlink w:anchor="SENTENCIA_2008_11" w:history="1">
        <w:r w:rsidRPr="00C12216">
          <w:rPr>
            <w:rStyle w:val="TextoNormalCaracter"/>
          </w:rPr>
          <w:t>11/2008</w:t>
        </w:r>
      </w:hyperlink>
      <w:r>
        <w:t xml:space="preserve">, ff. 1, 4; </w:t>
      </w:r>
      <w:hyperlink w:anchor="SENTENCIA_2008_15" w:history="1">
        <w:r w:rsidRPr="00C12216">
          <w:rPr>
            <w:rStyle w:val="TextoNormalCaracter"/>
          </w:rPr>
          <w:t>15/2008</w:t>
        </w:r>
      </w:hyperlink>
      <w:r>
        <w:t xml:space="preserve">, f. 2; </w:t>
      </w:r>
      <w:hyperlink w:anchor="SENTENCIA_2008_19" w:history="1">
        <w:r w:rsidRPr="00C12216">
          <w:rPr>
            <w:rStyle w:val="TextoNormalCaracter"/>
          </w:rPr>
          <w:t>19/2008</w:t>
        </w:r>
      </w:hyperlink>
      <w:r>
        <w:t>, f. 3.</w:t>
      </w:r>
    </w:p>
    <w:p w:rsidR="00C12216" w:rsidRDefault="00C12216" w:rsidP="00C12216">
      <w:pPr>
        <w:pStyle w:val="SangriaIzquierdaArticulo"/>
      </w:pPr>
      <w:r>
        <w:t xml:space="preserve">Autos </w:t>
      </w:r>
      <w:hyperlink w:anchor="AUTO_2008_41" w:history="1">
        <w:r w:rsidRPr="00C12216">
          <w:rPr>
            <w:rStyle w:val="TextoNormalCaracter"/>
          </w:rPr>
          <w:t>41/2008</w:t>
        </w:r>
      </w:hyperlink>
      <w:r>
        <w:t xml:space="preserve">; </w:t>
      </w:r>
      <w:hyperlink w:anchor="AUTO_2008_48" w:history="1">
        <w:r w:rsidRPr="00C12216">
          <w:rPr>
            <w:rStyle w:val="TextoNormalCaracter"/>
          </w:rPr>
          <w:t>48/2008</w:t>
        </w:r>
      </w:hyperlink>
      <w:r>
        <w:t xml:space="preserve">; </w:t>
      </w:r>
      <w:hyperlink w:anchor="AUTO_2008_63" w:history="1">
        <w:r w:rsidRPr="00C12216">
          <w:rPr>
            <w:rStyle w:val="TextoNormalCaracter"/>
          </w:rPr>
          <w:t>63/2008</w:t>
        </w:r>
      </w:hyperlink>
      <w:r>
        <w:t>.</w:t>
      </w:r>
    </w:p>
    <w:p w:rsidR="00C12216" w:rsidRDefault="00C12216" w:rsidP="00C12216">
      <w:pPr>
        <w:pStyle w:val="SangriaFrancesaArticulo"/>
      </w:pPr>
      <w:r w:rsidRPr="00C12216">
        <w:rPr>
          <w:rStyle w:val="TextoNormalNegritaCaracter"/>
        </w:rPr>
        <w:t>Artículo 241</w:t>
      </w:r>
      <w:r>
        <w:t xml:space="preserve"> </w:t>
      </w:r>
      <w:r w:rsidRPr="00C12216">
        <w:rPr>
          <w:rStyle w:val="TextoNormalCaracter"/>
        </w:rPr>
        <w:t>(redactado por la Ley Orgánica 6/2007, de 24 de mayo)</w:t>
      </w:r>
      <w:r w:rsidRPr="00C12216">
        <w:rPr>
          <w:rStyle w:val="TextoNormalNegritaCaracter"/>
        </w:rPr>
        <w:t>.</w:t>
      </w:r>
      <w:r w:rsidRPr="00C12216">
        <w:rPr>
          <w:rStyle w:val="TextoNormalCaracter"/>
        </w:rPr>
        <w:t>-</w:t>
      </w:r>
      <w:r>
        <w:t xml:space="preserve"> Sentencia </w:t>
      </w:r>
      <w:hyperlink w:anchor="SENTENCIA_2008_19" w:history="1">
        <w:r w:rsidRPr="00C12216">
          <w:rPr>
            <w:rStyle w:val="TextoNormalCaracter"/>
          </w:rPr>
          <w:t>19/2008</w:t>
        </w:r>
      </w:hyperlink>
      <w:r>
        <w:t>, f. 3.</w:t>
      </w:r>
    </w:p>
    <w:p w:rsidR="00C12216" w:rsidRDefault="00C12216" w:rsidP="00C12216">
      <w:pPr>
        <w:pStyle w:val="SangriaFrancesaArticulo"/>
      </w:pPr>
      <w:r w:rsidRPr="00C12216">
        <w:rPr>
          <w:rStyle w:val="TextoNormalNegritaCaracter"/>
        </w:rPr>
        <w:t>Artículo 241.1</w:t>
      </w:r>
      <w:r>
        <w:t xml:space="preserve"> </w:t>
      </w:r>
      <w:r w:rsidRPr="00C12216">
        <w:rPr>
          <w:rStyle w:val="TextoNormalCaracter"/>
        </w:rPr>
        <w:t>(redactado por la Ley Orgánica 19/2003 de 23 de diciembre)</w:t>
      </w:r>
      <w:r w:rsidRPr="00C12216">
        <w:rPr>
          <w:rStyle w:val="TextoNormalNegritaCaracter"/>
        </w:rPr>
        <w:t>.</w:t>
      </w:r>
      <w:r w:rsidRPr="00C12216">
        <w:rPr>
          <w:rStyle w:val="TextoNormalCaracter"/>
        </w:rPr>
        <w:t>-</w:t>
      </w:r>
      <w:r>
        <w:t xml:space="preserve"> Sentencia </w:t>
      </w:r>
      <w:hyperlink w:anchor="SENTENCIA_2008_54" w:history="1">
        <w:r w:rsidRPr="00C12216">
          <w:rPr>
            <w:rStyle w:val="TextoNormalCaracter"/>
          </w:rPr>
          <w:t>54/2008</w:t>
        </w:r>
      </w:hyperlink>
      <w:r>
        <w:t>, f. 2.</w:t>
      </w:r>
    </w:p>
    <w:p w:rsidR="00C12216" w:rsidRDefault="00C12216" w:rsidP="00C12216">
      <w:pPr>
        <w:pStyle w:val="SangriaFrancesaArticulo"/>
      </w:pPr>
      <w:r w:rsidRPr="00C12216">
        <w:rPr>
          <w:rStyle w:val="TextoNormalNegritaCaracter"/>
        </w:rPr>
        <w:t>Artículo 245.3.</w:t>
      </w:r>
      <w:r w:rsidRPr="00C12216">
        <w:rPr>
          <w:rStyle w:val="TextoNormalCaracter"/>
        </w:rPr>
        <w:t>-</w:t>
      </w:r>
      <w:r>
        <w:t xml:space="preserve"> Sentencia </w:t>
      </w:r>
      <w:hyperlink w:anchor="SENTENCIA_2008_46" w:history="1">
        <w:r w:rsidRPr="00C12216">
          <w:rPr>
            <w:rStyle w:val="TextoNormalCaracter"/>
          </w:rPr>
          <w:t>46/2008</w:t>
        </w:r>
      </w:hyperlink>
      <w:r>
        <w:t>, f. 2.</w:t>
      </w:r>
    </w:p>
    <w:p w:rsidR="00C12216" w:rsidRDefault="00C12216" w:rsidP="00C12216">
      <w:pPr>
        <w:pStyle w:val="SangriaFrancesaArticulo"/>
      </w:pPr>
      <w:r w:rsidRPr="00C12216">
        <w:rPr>
          <w:rStyle w:val="TextoNormalNegritaCaracter"/>
        </w:rPr>
        <w:t>Artículo 267.1.</w:t>
      </w:r>
      <w:r w:rsidRPr="00C12216">
        <w:rPr>
          <w:rStyle w:val="TextoNormalCaracter"/>
        </w:rPr>
        <w:t>-</w:t>
      </w:r>
      <w:r>
        <w:t xml:space="preserve"> Auto </w:t>
      </w:r>
      <w:hyperlink w:anchor="AUTO_2008_70" w:history="1">
        <w:r w:rsidRPr="00C12216">
          <w:rPr>
            <w:rStyle w:val="TextoNormalCaracter"/>
          </w:rPr>
          <w:t>70/2008</w:t>
        </w:r>
      </w:hyperlink>
      <w:r>
        <w:t>.</w:t>
      </w:r>
    </w:p>
    <w:p w:rsidR="00C12216" w:rsidRDefault="00C12216" w:rsidP="00C12216">
      <w:pPr>
        <w:pStyle w:val="SangriaFrancesaArticulo"/>
      </w:pPr>
      <w:r w:rsidRPr="00C12216">
        <w:rPr>
          <w:rStyle w:val="TextoNormalNegritaCaracter"/>
        </w:rPr>
        <w:t>Artículo 267.3.</w:t>
      </w:r>
      <w:r w:rsidRPr="00C12216">
        <w:rPr>
          <w:rStyle w:val="TextoNormalCaracter"/>
        </w:rPr>
        <w:t>-</w:t>
      </w:r>
      <w:r>
        <w:t xml:space="preserve"> Auto </w:t>
      </w:r>
      <w:hyperlink w:anchor="AUTO_2008_50" w:history="1">
        <w:r w:rsidRPr="00C12216">
          <w:rPr>
            <w:rStyle w:val="TextoNormalCaracter"/>
          </w:rPr>
          <w:t>50/2008</w:t>
        </w:r>
      </w:hyperlink>
      <w:r>
        <w:t>.</w:t>
      </w:r>
    </w:p>
    <w:p w:rsidR="00C12216" w:rsidRDefault="00C12216" w:rsidP="00C12216">
      <w:pPr>
        <w:pStyle w:val="SangriaFrancesaArticulo"/>
      </w:pPr>
      <w:r w:rsidRPr="00C12216">
        <w:rPr>
          <w:rStyle w:val="TextoNormalNegritaCaracter"/>
        </w:rPr>
        <w:t>Disposición adicional quinta, apartado 6</w:t>
      </w:r>
      <w:r>
        <w:t xml:space="preserve"> </w:t>
      </w:r>
      <w:r w:rsidRPr="00C12216">
        <w:rPr>
          <w:rStyle w:val="TextoNormalCaracter"/>
        </w:rPr>
        <w:t>(renumerada como disposición adicional quinta, apartado 7 por la Ley Orgánica 7/2003, de 30 de junio)</w:t>
      </w:r>
      <w:r w:rsidRPr="00C12216">
        <w:rPr>
          <w:rStyle w:val="TextoNormalNegritaCaracter"/>
        </w:rPr>
        <w:t>.</w:t>
      </w:r>
      <w:r w:rsidRPr="00C12216">
        <w:rPr>
          <w:rStyle w:val="TextoNormalCaracter"/>
        </w:rPr>
        <w:t>-</w:t>
      </w:r>
      <w:r>
        <w:t xml:space="preserve"> Sentencia </w:t>
      </w:r>
      <w:hyperlink w:anchor="SENTENCIA_2008_43" w:history="1">
        <w:r w:rsidRPr="00C12216">
          <w:rPr>
            <w:rStyle w:val="TextoNormalCaracter"/>
          </w:rPr>
          <w:t>43/2008</w:t>
        </w:r>
      </w:hyperlink>
      <w:r>
        <w:t>, f. 2.</w:t>
      </w:r>
    </w:p>
    <w:p w:rsidR="00C12216" w:rsidRDefault="00C12216" w:rsidP="00C12216">
      <w:pPr>
        <w:pStyle w:val="SangriaFrancesaArticulo"/>
      </w:pPr>
    </w:p>
    <w:p w:rsidR="00C12216" w:rsidRDefault="00C12216" w:rsidP="00C12216">
      <w:pPr>
        <w:pStyle w:val="TextoNormalNegritaCursivandice"/>
      </w:pPr>
      <w:r>
        <w:t>Ley Orgánica 10/1995, de 23 de noviembre. Código penal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3" w:history="1">
        <w:r w:rsidRPr="00C12216">
          <w:rPr>
            <w:rStyle w:val="TextoNormalCaracter"/>
          </w:rPr>
          <w:t>43/2008</w:t>
        </w:r>
      </w:hyperlink>
      <w:r>
        <w:t>, f. 2.</w:t>
      </w:r>
    </w:p>
    <w:p w:rsidR="00C12216" w:rsidRDefault="00C12216" w:rsidP="00C12216">
      <w:pPr>
        <w:pStyle w:val="SangriaFrancesaArticulo"/>
      </w:pPr>
      <w:r w:rsidRPr="00C12216">
        <w:rPr>
          <w:rStyle w:val="TextoNormalNegritaCaracter"/>
        </w:rPr>
        <w:t>Artículo 33.</w:t>
      </w:r>
      <w:r w:rsidRPr="00C12216">
        <w:rPr>
          <w:rStyle w:val="TextoNormalCaracter"/>
        </w:rPr>
        <w:t>-</w:t>
      </w:r>
      <w:r>
        <w:t xml:space="preserve"> Auto </w:t>
      </w:r>
      <w:hyperlink w:anchor="AUTO_2008_42" w:history="1">
        <w:r w:rsidRPr="00C12216">
          <w:rPr>
            <w:rStyle w:val="TextoNormalCaracter"/>
          </w:rPr>
          <w:t>42/2008</w:t>
        </w:r>
      </w:hyperlink>
      <w:r>
        <w:t>.</w:t>
      </w:r>
    </w:p>
    <w:p w:rsidR="00C12216" w:rsidRDefault="00C12216" w:rsidP="00C12216">
      <w:pPr>
        <w:pStyle w:val="SangriaFrancesaArticulo"/>
      </w:pPr>
      <w:r w:rsidRPr="00C12216">
        <w:rPr>
          <w:rStyle w:val="TextoNormalNegritaCaracter"/>
        </w:rPr>
        <w:t>Artículo 33.3.</w:t>
      </w:r>
      <w:r w:rsidRPr="00C12216">
        <w:rPr>
          <w:rStyle w:val="TextoNormalCaracter"/>
        </w:rPr>
        <w:t>-</w:t>
      </w:r>
      <w:r>
        <w:t xml:space="preserve"> Auto </w:t>
      </w:r>
      <w:hyperlink w:anchor="AUTO_2008_59" w:history="1">
        <w:r w:rsidRPr="00C12216">
          <w:rPr>
            <w:rStyle w:val="TextoNormalCaracter"/>
          </w:rPr>
          <w:t>59/2008</w:t>
        </w:r>
      </w:hyperlink>
      <w:r>
        <w:t>.</w:t>
      </w:r>
    </w:p>
    <w:p w:rsidR="00C12216" w:rsidRDefault="00C12216" w:rsidP="00C12216">
      <w:pPr>
        <w:pStyle w:val="SangriaFrancesaArticulo"/>
      </w:pPr>
      <w:r w:rsidRPr="00C12216">
        <w:rPr>
          <w:rStyle w:val="TextoNormalNegritaCaracter"/>
        </w:rPr>
        <w:t>Artículo 58.</w:t>
      </w:r>
      <w:r w:rsidRPr="00C12216">
        <w:rPr>
          <w:rStyle w:val="TextoNormalCaracter"/>
        </w:rPr>
        <w:t>-</w:t>
      </w:r>
      <w:r>
        <w:t xml:space="preserve"> Sentencia </w:t>
      </w:r>
      <w:hyperlink w:anchor="SENTENCIA_2008_57" w:history="1">
        <w:r w:rsidRPr="00C12216">
          <w:rPr>
            <w:rStyle w:val="TextoNormalCaracter"/>
          </w:rPr>
          <w:t>57/2008</w:t>
        </w:r>
      </w:hyperlink>
      <w:r>
        <w:t>, ff. 3, 6.</w:t>
      </w:r>
    </w:p>
    <w:p w:rsidR="00C12216" w:rsidRDefault="00C12216" w:rsidP="00C12216">
      <w:pPr>
        <w:pStyle w:val="SangriaFrancesaArticulo"/>
      </w:pPr>
      <w:r w:rsidRPr="00C12216">
        <w:rPr>
          <w:rStyle w:val="TextoNormalNegritaCaracter"/>
        </w:rPr>
        <w:t>Artículo 58.1.</w:t>
      </w:r>
      <w:r w:rsidRPr="00C12216">
        <w:rPr>
          <w:rStyle w:val="TextoNormalCaracter"/>
        </w:rPr>
        <w:t>-</w:t>
      </w:r>
      <w:r>
        <w:t xml:space="preserve"> Sentencia </w:t>
      </w:r>
      <w:hyperlink w:anchor="SENTENCIA_2008_57" w:history="1">
        <w:r w:rsidRPr="00C12216">
          <w:rPr>
            <w:rStyle w:val="TextoNormalCaracter"/>
          </w:rPr>
          <w:t>57/2008</w:t>
        </w:r>
      </w:hyperlink>
      <w:r>
        <w:t>, ff. 1, 3, 6.</w:t>
      </w:r>
    </w:p>
    <w:p w:rsidR="00C12216" w:rsidRDefault="00C12216" w:rsidP="00C12216">
      <w:pPr>
        <w:pStyle w:val="SangriaFrancesaArticulo"/>
      </w:pPr>
      <w:r w:rsidRPr="00C12216">
        <w:rPr>
          <w:rStyle w:val="TextoNormalNegritaCaracter"/>
        </w:rPr>
        <w:t>Artículo 58.1</w:t>
      </w:r>
      <w:r>
        <w:t xml:space="preserve"> </w:t>
      </w:r>
      <w:r w:rsidRPr="00C12216">
        <w:rPr>
          <w:rStyle w:val="TextoNormalCaracter"/>
        </w:rPr>
        <w:t>(redactado por la Ley Orgánica 15/2003, de 25 de noviembre</w:t>
      </w:r>
      <w:r w:rsidRPr="00C12216">
        <w:rPr>
          <w:rStyle w:val="TextoNormalNegritaCaracter"/>
        </w:rPr>
        <w:t>.</w:t>
      </w:r>
      <w:r w:rsidRPr="00C12216">
        <w:rPr>
          <w:rStyle w:val="TextoNormalCaracter"/>
        </w:rPr>
        <w:t>-</w:t>
      </w:r>
      <w:r>
        <w:t xml:space="preserve"> Sentencia </w:t>
      </w:r>
      <w:hyperlink w:anchor="SENTENCIA_2008_57" w:history="1">
        <w:r w:rsidRPr="00C12216">
          <w:rPr>
            <w:rStyle w:val="TextoNormalCaracter"/>
          </w:rPr>
          <w:t>57/2008</w:t>
        </w:r>
      </w:hyperlink>
      <w:r>
        <w:t>, ff. 3, 6.</w:t>
      </w:r>
    </w:p>
    <w:p w:rsidR="00C12216" w:rsidRDefault="00C12216" w:rsidP="00C12216">
      <w:pPr>
        <w:pStyle w:val="SangriaFrancesaArticulo"/>
      </w:pPr>
      <w:r w:rsidRPr="00C12216">
        <w:rPr>
          <w:rStyle w:val="TextoNormalNegritaCaracter"/>
        </w:rPr>
        <w:t>Artículo 74.</w:t>
      </w:r>
      <w:r w:rsidRPr="00C12216">
        <w:rPr>
          <w:rStyle w:val="TextoNormalCaracter"/>
        </w:rPr>
        <w:t>-</w:t>
      </w:r>
      <w:r>
        <w:t xml:space="preserve"> Sentencia </w:t>
      </w:r>
      <w:hyperlink w:anchor="SENTENCIA_2008_21" w:history="1">
        <w:r w:rsidRPr="00C12216">
          <w:rPr>
            <w:rStyle w:val="TextoNormalCaracter"/>
          </w:rPr>
          <w:t>21/2008</w:t>
        </w:r>
      </w:hyperlink>
      <w:r>
        <w:t>, f. 4.</w:t>
      </w:r>
    </w:p>
    <w:p w:rsidR="00C12216" w:rsidRDefault="00C12216" w:rsidP="00C12216">
      <w:pPr>
        <w:pStyle w:val="SangriaFrancesaArticulo"/>
      </w:pPr>
      <w:r w:rsidRPr="00C12216">
        <w:rPr>
          <w:rStyle w:val="TextoNormalNegritaCaracter"/>
        </w:rPr>
        <w:t>Artículo 75.</w:t>
      </w:r>
      <w:r w:rsidRPr="00C12216">
        <w:rPr>
          <w:rStyle w:val="TextoNormalCaracter"/>
        </w:rPr>
        <w:t>-</w:t>
      </w:r>
      <w:r>
        <w:t xml:space="preserve"> Sentencia </w:t>
      </w:r>
      <w:hyperlink w:anchor="SENTENCIA_2008_57" w:history="1">
        <w:r w:rsidRPr="00C12216">
          <w:rPr>
            <w:rStyle w:val="TextoNormalCaracter"/>
          </w:rPr>
          <w:t>57/2008</w:t>
        </w:r>
      </w:hyperlink>
      <w:r>
        <w:t>, ff. 3, 6.</w:t>
      </w:r>
    </w:p>
    <w:p w:rsidR="00C12216" w:rsidRDefault="00C12216" w:rsidP="00C12216">
      <w:pPr>
        <w:pStyle w:val="SangriaFrancesaArticulo"/>
      </w:pPr>
      <w:r w:rsidRPr="00C12216">
        <w:rPr>
          <w:rStyle w:val="TextoNormalNegritaCaracter"/>
        </w:rPr>
        <w:t>Artículo 80.</w:t>
      </w:r>
      <w:r w:rsidRPr="00C12216">
        <w:rPr>
          <w:rStyle w:val="TextoNormalCaracter"/>
        </w:rPr>
        <w:t>-</w:t>
      </w:r>
      <w:r>
        <w:t xml:space="preserve"> Auto </w:t>
      </w:r>
      <w:hyperlink w:anchor="AUTO_2008_44" w:history="1">
        <w:r w:rsidRPr="00C12216">
          <w:rPr>
            <w:rStyle w:val="TextoNormalCaracter"/>
          </w:rPr>
          <w:t>44/2008</w:t>
        </w:r>
      </w:hyperlink>
      <w:r>
        <w:t>.</w:t>
      </w:r>
    </w:p>
    <w:p w:rsidR="00C12216" w:rsidRDefault="00C12216" w:rsidP="00C12216">
      <w:pPr>
        <w:pStyle w:val="SangriaFrancesaArticulo"/>
      </w:pPr>
      <w:r w:rsidRPr="00C12216">
        <w:rPr>
          <w:rStyle w:val="TextoNormalNegritaCaracter"/>
        </w:rPr>
        <w:t>Artículo 118.</w:t>
      </w:r>
      <w:r w:rsidRPr="00C12216">
        <w:rPr>
          <w:rStyle w:val="TextoNormalCaracter"/>
        </w:rPr>
        <w:t>-</w:t>
      </w:r>
      <w:r>
        <w:t xml:space="preserve"> Sentencia </w:t>
      </w:r>
      <w:hyperlink w:anchor="SENTENCIA_2008_17" w:history="1">
        <w:r w:rsidRPr="00C12216">
          <w:rPr>
            <w:rStyle w:val="TextoNormalCaracter"/>
          </w:rPr>
          <w:t>17/2008</w:t>
        </w:r>
      </w:hyperlink>
      <w:r>
        <w:t>, f. 4.</w:t>
      </w:r>
    </w:p>
    <w:p w:rsidR="00C12216" w:rsidRDefault="00C12216" w:rsidP="00C12216">
      <w:pPr>
        <w:pStyle w:val="SangriaFrancesaArticulo"/>
      </w:pPr>
      <w:r w:rsidRPr="00C12216">
        <w:rPr>
          <w:rStyle w:val="TextoNormalNegritaCaracter"/>
        </w:rPr>
        <w:t>Artículo 132.2.</w:t>
      </w:r>
      <w:r w:rsidRPr="00C12216">
        <w:rPr>
          <w:rStyle w:val="TextoNormalCaracter"/>
        </w:rPr>
        <w:t>-</w:t>
      </w:r>
      <w:r>
        <w:t xml:space="preserve"> Sentencia </w:t>
      </w:r>
      <w:hyperlink w:anchor="SENTENCIA_2008_29" w:history="1">
        <w:r w:rsidRPr="00C12216">
          <w:rPr>
            <w:rStyle w:val="TextoNormalCaracter"/>
          </w:rPr>
          <w:t>29/2008</w:t>
        </w:r>
      </w:hyperlink>
      <w:r>
        <w:t>, ff. 1, 7, 10, 12, VP.</w:t>
      </w:r>
    </w:p>
    <w:p w:rsidR="00C12216" w:rsidRDefault="00C12216" w:rsidP="00C12216">
      <w:pPr>
        <w:pStyle w:val="SangriaFrancesaArticulo"/>
      </w:pPr>
      <w:r w:rsidRPr="00C12216">
        <w:rPr>
          <w:rStyle w:val="TextoNormalNegritaCaracter"/>
        </w:rPr>
        <w:t>Artículo 147.</w:t>
      </w:r>
      <w:r w:rsidRPr="00C12216">
        <w:rPr>
          <w:rStyle w:val="TextoNormalCaracter"/>
        </w:rPr>
        <w:t>-</w:t>
      </w:r>
      <w:r>
        <w:t xml:space="preserve"> Auto </w:t>
      </w:r>
      <w:hyperlink w:anchor="AUTO_2008_16" w:history="1">
        <w:r w:rsidRPr="00C12216">
          <w:rPr>
            <w:rStyle w:val="TextoNormalCaracter"/>
          </w:rPr>
          <w:t>16/2008</w:t>
        </w:r>
      </w:hyperlink>
      <w:r>
        <w:t>.</w:t>
      </w:r>
    </w:p>
    <w:p w:rsidR="00C12216" w:rsidRDefault="00C12216" w:rsidP="00C12216">
      <w:pPr>
        <w:pStyle w:val="SangriaFrancesaArticulo"/>
      </w:pPr>
      <w:r w:rsidRPr="00C12216">
        <w:rPr>
          <w:rStyle w:val="TextoNormalNegritaCaracter"/>
        </w:rPr>
        <w:t>Artículo 148.1.</w:t>
      </w:r>
      <w:r w:rsidRPr="00C12216">
        <w:rPr>
          <w:rStyle w:val="TextoNormalCaracter"/>
        </w:rPr>
        <w:t>-</w:t>
      </w:r>
      <w:r>
        <w:t xml:space="preserve"> Auto </w:t>
      </w:r>
      <w:hyperlink w:anchor="AUTO_2008_16" w:history="1">
        <w:r w:rsidRPr="00C12216">
          <w:rPr>
            <w:rStyle w:val="TextoNormalCaracter"/>
          </w:rPr>
          <w:t>16/2008</w:t>
        </w:r>
      </w:hyperlink>
      <w:r>
        <w:t>.</w:t>
      </w:r>
    </w:p>
    <w:p w:rsidR="00C12216" w:rsidRDefault="00C12216" w:rsidP="00C12216">
      <w:pPr>
        <w:pStyle w:val="SangriaFrancesaArticulo"/>
      </w:pPr>
      <w:r w:rsidRPr="00C12216">
        <w:rPr>
          <w:rStyle w:val="TextoNormalNegritaCaracter"/>
        </w:rPr>
        <w:t>Artículo 148.1.4</w:t>
      </w:r>
      <w:r>
        <w:t xml:space="preserve"> </w:t>
      </w:r>
      <w:r w:rsidRPr="00C12216">
        <w:rPr>
          <w:rStyle w:val="TextoNormalCaracter"/>
        </w:rPr>
        <w:t>(redactado por la Ley Orgánica 1/2004, de 28 de diciembre)</w:t>
      </w:r>
      <w:r w:rsidRPr="00C12216">
        <w:rPr>
          <w:rStyle w:val="TextoNormalNegritaCaracter"/>
        </w:rPr>
        <w:t>.</w:t>
      </w:r>
      <w:r w:rsidRPr="00C12216">
        <w:rPr>
          <w:rStyle w:val="TextoNormalCaracter"/>
        </w:rPr>
        <w:t>-</w:t>
      </w:r>
      <w:r>
        <w:t xml:space="preserve"> Auto </w:t>
      </w:r>
      <w:hyperlink w:anchor="AUTO_2008_13" w:history="1">
        <w:r w:rsidRPr="00C12216">
          <w:rPr>
            <w:rStyle w:val="TextoNormalCaracter"/>
          </w:rPr>
          <w:t>13/2008</w:t>
        </w:r>
      </w:hyperlink>
      <w:r>
        <w:t>.</w:t>
      </w:r>
    </w:p>
    <w:p w:rsidR="00C12216" w:rsidRDefault="00C12216" w:rsidP="00C12216">
      <w:pPr>
        <w:pStyle w:val="SangriaFrancesaArticulo"/>
      </w:pPr>
      <w:r w:rsidRPr="00C12216">
        <w:rPr>
          <w:rStyle w:val="TextoNormalNegritaCaracter"/>
        </w:rPr>
        <w:t>Artículo 153.1.</w:t>
      </w:r>
      <w:r w:rsidRPr="00C12216">
        <w:rPr>
          <w:rStyle w:val="TextoNormalCaracter"/>
        </w:rPr>
        <w:t>-</w:t>
      </w:r>
      <w:r>
        <w:t xml:space="preserve"> Auto </w:t>
      </w:r>
      <w:hyperlink w:anchor="AUTO_2008_57" w:history="1">
        <w:r w:rsidRPr="00C12216">
          <w:rPr>
            <w:rStyle w:val="TextoNormalCaracter"/>
          </w:rPr>
          <w:t>57/2008</w:t>
        </w:r>
      </w:hyperlink>
      <w:r>
        <w:t>.</w:t>
      </w:r>
    </w:p>
    <w:p w:rsidR="00C12216" w:rsidRDefault="00C12216" w:rsidP="00C12216">
      <w:pPr>
        <w:pStyle w:val="SangriaFrancesaArticulo"/>
      </w:pPr>
      <w:r w:rsidRPr="00C12216">
        <w:rPr>
          <w:rStyle w:val="TextoNormalNegritaCaracter"/>
        </w:rPr>
        <w:t>Artículo 153.1</w:t>
      </w:r>
      <w:r>
        <w:t xml:space="preserve"> </w:t>
      </w:r>
      <w:r w:rsidRPr="00C12216">
        <w:rPr>
          <w:rStyle w:val="TextoNormalCaracter"/>
        </w:rPr>
        <w:t>(redactado por la Ley Orgánica 1/2004, de 28 de diciembre)</w:t>
      </w:r>
      <w:r w:rsidRPr="00C12216">
        <w:rPr>
          <w:rStyle w:val="TextoNormalNegritaCaracter"/>
        </w:rPr>
        <w:t>.</w:t>
      </w:r>
      <w:r w:rsidRPr="00C12216">
        <w:rPr>
          <w:rStyle w:val="TextoNormalCaracter"/>
        </w:rPr>
        <w:t>-</w:t>
      </w:r>
      <w:r>
        <w:t xml:space="preserve"> Autos </w:t>
      </w:r>
      <w:hyperlink w:anchor="AUTO_2008_54" w:history="1">
        <w:r w:rsidRPr="00C12216">
          <w:rPr>
            <w:rStyle w:val="TextoNormalCaracter"/>
          </w:rPr>
          <w:t>54/2008</w:t>
        </w:r>
      </w:hyperlink>
      <w:r>
        <w:t xml:space="preserve">; </w:t>
      </w:r>
      <w:hyperlink w:anchor="AUTO_2008_57" w:history="1">
        <w:r w:rsidRPr="00C12216">
          <w:rPr>
            <w:rStyle w:val="TextoNormalCaracter"/>
          </w:rPr>
          <w:t>57/2008</w:t>
        </w:r>
      </w:hyperlink>
      <w:r>
        <w:t>.</w:t>
      </w:r>
    </w:p>
    <w:p w:rsidR="00C12216" w:rsidRDefault="00C12216" w:rsidP="00C12216">
      <w:pPr>
        <w:pStyle w:val="SangriaFrancesaArticulo"/>
      </w:pPr>
      <w:r w:rsidRPr="00C12216">
        <w:rPr>
          <w:rStyle w:val="TextoNormalNegritaCaracter"/>
        </w:rPr>
        <w:t>Artículo 153.2.</w:t>
      </w:r>
      <w:r w:rsidRPr="00C12216">
        <w:rPr>
          <w:rStyle w:val="TextoNormalCaracter"/>
        </w:rPr>
        <w:t>-</w:t>
      </w:r>
      <w:r>
        <w:t xml:space="preserve"> Auto </w:t>
      </w:r>
      <w:hyperlink w:anchor="AUTO_2008_57" w:history="1">
        <w:r w:rsidRPr="00C12216">
          <w:rPr>
            <w:rStyle w:val="TextoNormalCaracter"/>
          </w:rPr>
          <w:t>57/2008</w:t>
        </w:r>
      </w:hyperlink>
      <w:r>
        <w:t>.</w:t>
      </w:r>
    </w:p>
    <w:p w:rsidR="00C12216" w:rsidRDefault="00C12216" w:rsidP="00C12216">
      <w:pPr>
        <w:pStyle w:val="SangriaFrancesaArticulo"/>
      </w:pPr>
      <w:r w:rsidRPr="00C12216">
        <w:rPr>
          <w:rStyle w:val="TextoNormalNegritaCaracter"/>
        </w:rPr>
        <w:t>Artículo 170.1.</w:t>
      </w:r>
      <w:r w:rsidRPr="00C12216">
        <w:rPr>
          <w:rStyle w:val="TextoNormalCaracter"/>
        </w:rPr>
        <w:t>-</w:t>
      </w:r>
      <w:r>
        <w:t xml:space="preserve"> Auto </w:t>
      </w:r>
      <w:hyperlink w:anchor="AUTO_2008_4" w:history="1">
        <w:r w:rsidRPr="00C12216">
          <w:rPr>
            <w:rStyle w:val="TextoNormalCaracter"/>
          </w:rPr>
          <w:t>4/2008</w:t>
        </w:r>
      </w:hyperlink>
      <w:r>
        <w:t>.</w:t>
      </w:r>
    </w:p>
    <w:p w:rsidR="00C12216" w:rsidRDefault="00C12216" w:rsidP="00C12216">
      <w:pPr>
        <w:pStyle w:val="SangriaFrancesaArticulo"/>
      </w:pPr>
      <w:r w:rsidRPr="00C12216">
        <w:rPr>
          <w:rStyle w:val="TextoNormalNegritaCaracter"/>
        </w:rPr>
        <w:t>Artículo 171.4.</w:t>
      </w:r>
      <w:r w:rsidRPr="00C12216">
        <w:rPr>
          <w:rStyle w:val="TextoNormalCaracter"/>
        </w:rPr>
        <w:t>-</w:t>
      </w:r>
      <w:r>
        <w:t xml:space="preserve"> Auto </w:t>
      </w:r>
      <w:hyperlink w:anchor="AUTO_2008_54" w:history="1">
        <w:r w:rsidRPr="00C12216">
          <w:rPr>
            <w:rStyle w:val="TextoNormalCaracter"/>
          </w:rPr>
          <w:t>54/2008</w:t>
        </w:r>
      </w:hyperlink>
      <w:r>
        <w:t>.</w:t>
      </w:r>
    </w:p>
    <w:p w:rsidR="00C12216" w:rsidRDefault="00C12216" w:rsidP="00C12216">
      <w:pPr>
        <w:pStyle w:val="SangriaFrancesaArticulo"/>
      </w:pPr>
      <w:r w:rsidRPr="00C12216">
        <w:rPr>
          <w:rStyle w:val="TextoNormalNegritaCaracter"/>
        </w:rPr>
        <w:lastRenderedPageBreak/>
        <w:t>Artículo 174.</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r w:rsidRPr="00C12216">
        <w:rPr>
          <w:rStyle w:val="TextoNormalNegritaCaracter"/>
        </w:rPr>
        <w:t>Artículo 234.</w:t>
      </w:r>
      <w:r w:rsidRPr="00C12216">
        <w:rPr>
          <w:rStyle w:val="TextoNormalCaracter"/>
        </w:rPr>
        <w:t>-</w:t>
      </w:r>
      <w:r>
        <w:t xml:space="preserve"> Auto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393.</w:t>
      </w:r>
      <w:r w:rsidRPr="00C12216">
        <w:rPr>
          <w:rStyle w:val="TextoNormalCaracter"/>
        </w:rPr>
        <w:t>-</w:t>
      </w:r>
      <w:r>
        <w:t xml:space="preserve"> Sentencia </w:t>
      </w:r>
      <w:hyperlink w:anchor="SENTENCIA_2008_21" w:history="1">
        <w:r w:rsidRPr="00C12216">
          <w:rPr>
            <w:rStyle w:val="TextoNormalCaracter"/>
          </w:rPr>
          <w:t>21/2008</w:t>
        </w:r>
      </w:hyperlink>
      <w:r>
        <w:t>, f. 4.</w:t>
      </w:r>
    </w:p>
    <w:p w:rsidR="00C12216" w:rsidRDefault="00C12216" w:rsidP="00C12216">
      <w:pPr>
        <w:pStyle w:val="SangriaFrancesaArticulo"/>
      </w:pPr>
      <w:r w:rsidRPr="00C12216">
        <w:rPr>
          <w:rStyle w:val="TextoNormalNegritaCaracter"/>
        </w:rPr>
        <w:t>Artículo 578.</w:t>
      </w:r>
      <w:r w:rsidRPr="00C12216">
        <w:rPr>
          <w:rStyle w:val="TextoNormalCaracter"/>
        </w:rPr>
        <w:t>-</w:t>
      </w:r>
      <w:r>
        <w:t xml:space="preserve"> Auto </w:t>
      </w:r>
      <w:hyperlink w:anchor="AUTO_2008_4" w:history="1">
        <w:r w:rsidRPr="00C12216">
          <w:rPr>
            <w:rStyle w:val="TextoNormalCaracter"/>
          </w:rPr>
          <w:t>4/2008</w:t>
        </w:r>
      </w:hyperlink>
      <w:r>
        <w:t>.</w:t>
      </w:r>
    </w:p>
    <w:p w:rsidR="00C12216" w:rsidRDefault="00C12216" w:rsidP="00C12216">
      <w:pPr>
        <w:pStyle w:val="SangriaFrancesaArticulo"/>
      </w:pPr>
      <w:r w:rsidRPr="00C12216">
        <w:rPr>
          <w:rStyle w:val="TextoNormalNegritaCaracter"/>
        </w:rPr>
        <w:t>Artículo 623.1.</w:t>
      </w:r>
      <w:r w:rsidRPr="00C12216">
        <w:rPr>
          <w:rStyle w:val="TextoNormalCaracter"/>
        </w:rPr>
        <w:t>-</w:t>
      </w:r>
      <w:r>
        <w:t xml:space="preserve"> Auto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653.1.</w:t>
      </w:r>
      <w:r w:rsidRPr="00C12216">
        <w:rPr>
          <w:rStyle w:val="TextoNormalCaracter"/>
        </w:rPr>
        <w:t>-</w:t>
      </w:r>
      <w:r>
        <w:t xml:space="preserve"> Auto </w:t>
      </w:r>
      <w:hyperlink w:anchor="AUTO_2008_54" w:history="1">
        <w:r w:rsidRPr="00C12216">
          <w:rPr>
            <w:rStyle w:val="TextoNormalCaracter"/>
          </w:rPr>
          <w:t>54/2008</w:t>
        </w:r>
      </w:hyperlink>
      <w:r>
        <w:t>.</w:t>
      </w:r>
    </w:p>
    <w:p w:rsidR="00C12216" w:rsidRDefault="00C12216" w:rsidP="00C12216">
      <w:pPr>
        <w:pStyle w:val="SangriaFrancesaArticulo"/>
      </w:pPr>
    </w:p>
    <w:p w:rsidR="00C12216" w:rsidRDefault="00C12216" w:rsidP="00C12216">
      <w:pPr>
        <w:pStyle w:val="TextoNormalNegritaCursivandice"/>
      </w:pPr>
      <w:r>
        <w:t>Ley Orgánica 1/1996, de 15 de enero. Protección jurídica del menor, modificación parcial del Código civil y de la Ley de enjuiciamiento civil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2" w:history="1">
        <w:r w:rsidRPr="00C12216">
          <w:rPr>
            <w:rStyle w:val="TextoNormalCaracter"/>
          </w:rPr>
          <w:t>22/2008</w:t>
        </w:r>
      </w:hyperlink>
      <w:r>
        <w:t>, f. 8.</w:t>
      </w:r>
    </w:p>
    <w:p w:rsidR="00C12216" w:rsidRDefault="00C12216" w:rsidP="00C12216">
      <w:pPr>
        <w:pStyle w:val="SangriaFrancesaArticulo"/>
      </w:pPr>
      <w:r w:rsidRPr="00C12216">
        <w:rPr>
          <w:rStyle w:val="TextoNormalNegritaCaracter"/>
        </w:rPr>
        <w:t>Artículo 2.</w:t>
      </w:r>
      <w:r w:rsidRPr="00C12216">
        <w:rPr>
          <w:rStyle w:val="TextoNormalCaracter"/>
        </w:rPr>
        <w:t>-</w:t>
      </w:r>
      <w:r>
        <w:t xml:space="preserve"> Sentencia </w:t>
      </w:r>
      <w:hyperlink w:anchor="SENTENCIA_2008_11" w:history="1">
        <w:r w:rsidRPr="00C12216">
          <w:rPr>
            <w:rStyle w:val="TextoNormalCaracter"/>
          </w:rPr>
          <w:t>11/2008</w:t>
        </w:r>
      </w:hyperlink>
      <w:r>
        <w:t>, f. 7.</w:t>
      </w:r>
    </w:p>
    <w:p w:rsidR="00C12216" w:rsidRDefault="00C12216" w:rsidP="00C12216">
      <w:pPr>
        <w:pStyle w:val="SangriaFrancesaArticulo"/>
      </w:pPr>
      <w:r w:rsidRPr="00C12216">
        <w:rPr>
          <w:rStyle w:val="TextoNormalNegritaCaracter"/>
        </w:rPr>
        <w:t>Artículo 9.</w:t>
      </w:r>
      <w:r w:rsidRPr="00C12216">
        <w:rPr>
          <w:rStyle w:val="TextoNormalCaracter"/>
        </w:rPr>
        <w:t>-</w:t>
      </w:r>
      <w:r>
        <w:t xml:space="preserve"> Sentencia </w:t>
      </w:r>
      <w:hyperlink w:anchor="SENTENCIA_2008_22" w:history="1">
        <w:r w:rsidRPr="00C12216">
          <w:rPr>
            <w:rStyle w:val="TextoNormalCaracter"/>
          </w:rPr>
          <w:t>22/2008</w:t>
        </w:r>
      </w:hyperlink>
      <w:r>
        <w:t>, ff. 6, 7.</w:t>
      </w:r>
    </w:p>
    <w:p w:rsidR="00C12216" w:rsidRDefault="00C12216" w:rsidP="00C12216">
      <w:pPr>
        <w:pStyle w:val="SangriaFrancesaArticulo"/>
      </w:pPr>
      <w:r w:rsidRPr="00C12216">
        <w:rPr>
          <w:rStyle w:val="TextoNormalNegritaCaracter"/>
        </w:rPr>
        <w:t>Artículo 11.2.</w:t>
      </w:r>
      <w:r w:rsidRPr="00C12216">
        <w:rPr>
          <w:rStyle w:val="TextoNormalCaracter"/>
        </w:rPr>
        <w:t>-</w:t>
      </w:r>
      <w:r>
        <w:t xml:space="preserve"> Sentencia </w:t>
      </w:r>
      <w:hyperlink w:anchor="SENTENCIA_2008_11" w:history="1">
        <w:r w:rsidRPr="00C12216">
          <w:rPr>
            <w:rStyle w:val="TextoNormalCaracter"/>
          </w:rPr>
          <w:t>11/2008</w:t>
        </w:r>
      </w:hyperlink>
      <w:r>
        <w:t>, f. 7.</w:t>
      </w:r>
    </w:p>
    <w:p w:rsidR="00C12216" w:rsidRDefault="00C12216" w:rsidP="00C12216">
      <w:pPr>
        <w:pStyle w:val="SangriaFrancesaArticulo"/>
      </w:pPr>
    </w:p>
    <w:p w:rsidR="00C12216" w:rsidRDefault="00C12216" w:rsidP="00C12216">
      <w:pPr>
        <w:pStyle w:val="TextoNormalNegritaCursivandice"/>
      </w:pPr>
      <w:r>
        <w:t>Ley Orgánica 13/1999, de 14 de mayo. Modificación de los artículos 19 y 240 de la Ley Orgánica 6/1985, de 1 de julio, del Poder judicial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3" w:history="1">
        <w:r w:rsidRPr="00C12216">
          <w:rPr>
            <w:rStyle w:val="TextoNormalCaracter"/>
          </w:rPr>
          <w:t>23/2008</w:t>
        </w:r>
      </w:hyperlink>
      <w:r>
        <w:t>, f. 2.</w:t>
      </w:r>
    </w:p>
    <w:p w:rsidR="00C12216" w:rsidRDefault="00C12216" w:rsidP="00C12216">
      <w:pPr>
        <w:pStyle w:val="SangriaIzquierdaArticulo"/>
      </w:pPr>
      <w:r>
        <w:t xml:space="preserve">Auto </w:t>
      </w:r>
      <w:hyperlink w:anchor="AUTO_2008_63" w:history="1">
        <w:r w:rsidRPr="00C12216">
          <w:rPr>
            <w:rStyle w:val="TextoNormalCaracter"/>
          </w:rPr>
          <w:t>63/2008</w:t>
        </w:r>
      </w:hyperlink>
      <w:r>
        <w:t>.</w:t>
      </w:r>
    </w:p>
    <w:p w:rsidR="00C12216" w:rsidRDefault="00C12216" w:rsidP="00C12216">
      <w:pPr>
        <w:pStyle w:val="SangriaIzquierdaArticulo"/>
      </w:pPr>
    </w:p>
    <w:p w:rsidR="00C12216" w:rsidRDefault="00C12216" w:rsidP="00C12216">
      <w:pPr>
        <w:pStyle w:val="TextoNormalNegritaCursivandice"/>
      </w:pPr>
      <w:r>
        <w:t>Ley Orgánica 2/2001, de 28 de junio.  Modifica la composición del Consejo General del Poder Judicial establecida en la Ley Orgánica 6/1985, de 1 de julio de 1985</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9" w:history="1">
        <w:r w:rsidRPr="00C12216">
          <w:rPr>
            <w:rStyle w:val="TextoNormalCaracter"/>
          </w:rPr>
          <w:t>49/2008</w:t>
        </w:r>
      </w:hyperlink>
      <w:r>
        <w:t>, f. 14.</w:t>
      </w:r>
    </w:p>
    <w:p w:rsidR="00C12216" w:rsidRDefault="00C12216" w:rsidP="00C12216">
      <w:pPr>
        <w:pStyle w:val="SangriaFrancesaArticulo"/>
      </w:pPr>
    </w:p>
    <w:p w:rsidR="00C12216" w:rsidRDefault="00C12216" w:rsidP="00C12216">
      <w:pPr>
        <w:pStyle w:val="TextoNormalNegritaCursivandice"/>
      </w:pPr>
      <w:r>
        <w:t>Ley Orgánica 7/2003, de 30 de junio. Medidas de reforma para el cumplimiento íntegro y efectivo de las penas</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3" w:history="1">
        <w:r w:rsidRPr="00C12216">
          <w:rPr>
            <w:rStyle w:val="TextoNormalCaracter"/>
          </w:rPr>
          <w:t>43/2008</w:t>
        </w:r>
      </w:hyperlink>
      <w:r>
        <w:t>, f. 2.</w:t>
      </w:r>
    </w:p>
    <w:p w:rsidR="00C12216" w:rsidRDefault="00C12216" w:rsidP="00C12216">
      <w:pPr>
        <w:pStyle w:val="SangriaFrancesaArticulo"/>
      </w:pPr>
    </w:p>
    <w:p w:rsidR="00C12216" w:rsidRDefault="00C12216" w:rsidP="00C12216">
      <w:pPr>
        <w:pStyle w:val="TextoNormalNegritaCursivandice"/>
      </w:pPr>
      <w:r>
        <w:t>Ley Orgánica 15/2003, de 25 de noviembre. Modificación de la Ley Orgánica 10/1995, de 23 de noviembre, del Código penal</w:t>
      </w:r>
    </w:p>
    <w:p w:rsidR="00C12216" w:rsidRDefault="00C12216" w:rsidP="00C12216">
      <w:pPr>
        <w:pStyle w:val="SangriaFrancesaArticulo"/>
      </w:pPr>
      <w:r w:rsidRPr="00C12216">
        <w:rPr>
          <w:rStyle w:val="TextoNormalNegritaCaracter"/>
        </w:rPr>
        <w:t>Exposición de motivos.</w:t>
      </w:r>
      <w:r w:rsidRPr="00C12216">
        <w:rPr>
          <w:rStyle w:val="TextoNormalCaracter"/>
        </w:rPr>
        <w:t>-</w:t>
      </w:r>
      <w:r>
        <w:t xml:space="preserve"> Auto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único, apartado 18.</w:t>
      </w:r>
      <w:r w:rsidRPr="00C12216">
        <w:rPr>
          <w:rStyle w:val="TextoNormalCaracter"/>
        </w:rPr>
        <w:t>-</w:t>
      </w:r>
      <w:r>
        <w:t xml:space="preserve"> Sentencia </w:t>
      </w:r>
      <w:hyperlink w:anchor="SENTENCIA_2008_57" w:history="1">
        <w:r w:rsidRPr="00C12216">
          <w:rPr>
            <w:rStyle w:val="TextoNormalCaracter"/>
          </w:rPr>
          <w:t>57/2008</w:t>
        </w:r>
      </w:hyperlink>
      <w:r>
        <w:t>, f. 3.</w:t>
      </w:r>
    </w:p>
    <w:p w:rsidR="00C12216" w:rsidRDefault="00C12216" w:rsidP="00C12216">
      <w:pPr>
        <w:pStyle w:val="SangriaFrancesaArticulo"/>
      </w:pPr>
    </w:p>
    <w:p w:rsidR="00C12216" w:rsidRDefault="00C12216" w:rsidP="00C12216">
      <w:pPr>
        <w:pStyle w:val="TextoNormalNegritaCursivandice"/>
      </w:pPr>
      <w:r>
        <w:t>Ley Orgánica 19/2003, de 23 de diciembre. Modificación de la Ley Orgánica 6/1985, de 1 de julio, del Poder Judicial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Sentencias </w:t>
      </w:r>
      <w:hyperlink w:anchor="SENTENCIA_2008_1" w:history="1">
        <w:r w:rsidRPr="00C12216">
          <w:rPr>
            <w:rStyle w:val="TextoNormalCaracter"/>
          </w:rPr>
          <w:t>1/2008</w:t>
        </w:r>
      </w:hyperlink>
      <w:r>
        <w:t xml:space="preserve">, f. 1; </w:t>
      </w:r>
      <w:hyperlink w:anchor="SENTENCIA_2008_11" w:history="1">
        <w:r w:rsidRPr="00C12216">
          <w:rPr>
            <w:rStyle w:val="TextoNormalCaracter"/>
          </w:rPr>
          <w:t>11/2008</w:t>
        </w:r>
      </w:hyperlink>
      <w:r>
        <w:t xml:space="preserve">, ff. 1, 4; </w:t>
      </w:r>
      <w:hyperlink w:anchor="SENTENCIA_2008_15" w:history="1">
        <w:r w:rsidRPr="00C12216">
          <w:rPr>
            <w:rStyle w:val="TextoNormalCaracter"/>
          </w:rPr>
          <w:t>15/2008</w:t>
        </w:r>
      </w:hyperlink>
      <w:r>
        <w:t xml:space="preserve">, f. 2; </w:t>
      </w:r>
      <w:hyperlink w:anchor="SENTENCIA_2008_19" w:history="1">
        <w:r w:rsidRPr="00C12216">
          <w:rPr>
            <w:rStyle w:val="TextoNormalCaracter"/>
          </w:rPr>
          <w:t>19/2008</w:t>
        </w:r>
      </w:hyperlink>
      <w:r>
        <w:t xml:space="preserve">, f. 3; </w:t>
      </w:r>
      <w:hyperlink w:anchor="SENTENCIA_2008_54" w:history="1">
        <w:r w:rsidRPr="00C12216">
          <w:rPr>
            <w:rStyle w:val="TextoNormalCaracter"/>
          </w:rPr>
          <w:t>54/2008</w:t>
        </w:r>
      </w:hyperlink>
      <w:r>
        <w:t>, f. 2.</w:t>
      </w:r>
    </w:p>
    <w:p w:rsidR="00C12216" w:rsidRDefault="00C12216" w:rsidP="00C12216">
      <w:pPr>
        <w:pStyle w:val="SangriaIzquierdaArticulo"/>
      </w:pPr>
      <w:r>
        <w:t xml:space="preserve">Autos </w:t>
      </w:r>
      <w:hyperlink w:anchor="AUTO_2008_41" w:history="1">
        <w:r w:rsidRPr="00C12216">
          <w:rPr>
            <w:rStyle w:val="TextoNormalCaracter"/>
          </w:rPr>
          <w:t>41/2008</w:t>
        </w:r>
      </w:hyperlink>
      <w:r>
        <w:t xml:space="preserve">; </w:t>
      </w:r>
      <w:hyperlink w:anchor="AUTO_2008_48" w:history="1">
        <w:r w:rsidRPr="00C12216">
          <w:rPr>
            <w:rStyle w:val="TextoNormalCaracter"/>
          </w:rPr>
          <w:t>48/2008</w:t>
        </w:r>
      </w:hyperlink>
      <w:r>
        <w:t xml:space="preserve">; </w:t>
      </w:r>
      <w:hyperlink w:anchor="AUTO_2008_63" w:history="1">
        <w:r w:rsidRPr="00C12216">
          <w:rPr>
            <w:rStyle w:val="TextoNormalCaracter"/>
          </w:rPr>
          <w:t>63/2008</w:t>
        </w:r>
      </w:hyperlink>
      <w:r>
        <w:t xml:space="preserve">; </w:t>
      </w:r>
      <w:hyperlink w:anchor="AUTO_2008_81" w:history="1">
        <w:r w:rsidRPr="00C12216">
          <w:rPr>
            <w:rStyle w:val="TextoNormalCaracter"/>
          </w:rPr>
          <w:t>81/2008</w:t>
        </w:r>
      </w:hyperlink>
      <w:r>
        <w:t>.</w:t>
      </w:r>
    </w:p>
    <w:p w:rsidR="00C12216" w:rsidRDefault="00C12216" w:rsidP="00C12216">
      <w:pPr>
        <w:pStyle w:val="SangriaIzquierdaArticulo"/>
      </w:pPr>
    </w:p>
    <w:p w:rsidR="00C12216" w:rsidRDefault="00C12216" w:rsidP="00C12216">
      <w:pPr>
        <w:pStyle w:val="TextoNormalNegritaCursivandice"/>
      </w:pPr>
      <w:r>
        <w:t>Ley Orgánica 1/2004, de 28 de diciembre. Medidas de protección integral contra la violencia de género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Autos </w:t>
      </w:r>
      <w:hyperlink w:anchor="AUTO_2008_13" w:history="1">
        <w:r w:rsidRPr="00C12216">
          <w:rPr>
            <w:rStyle w:val="TextoNormalCaracter"/>
          </w:rPr>
          <w:t>13/2008</w:t>
        </w:r>
      </w:hyperlink>
      <w:r>
        <w:t xml:space="preserve">; </w:t>
      </w:r>
      <w:hyperlink w:anchor="AUTO_2008_57" w:history="1">
        <w:r w:rsidRPr="00C12216">
          <w:rPr>
            <w:rStyle w:val="TextoNormalCaracter"/>
          </w:rPr>
          <w:t>57/2008</w:t>
        </w:r>
      </w:hyperlink>
      <w:r>
        <w:t>.</w:t>
      </w:r>
    </w:p>
    <w:p w:rsidR="00C12216" w:rsidRDefault="00C12216" w:rsidP="00C12216">
      <w:pPr>
        <w:pStyle w:val="SangriaFrancesaArticulo"/>
      </w:pPr>
      <w:r w:rsidRPr="00C12216">
        <w:rPr>
          <w:rStyle w:val="TextoNormalNegritaCaracter"/>
        </w:rPr>
        <w:t>Artículo 37.</w:t>
      </w:r>
      <w:r w:rsidRPr="00C12216">
        <w:rPr>
          <w:rStyle w:val="TextoNormalCaracter"/>
        </w:rPr>
        <w:t>-</w:t>
      </w:r>
      <w:r>
        <w:t xml:space="preserve"> Auto </w:t>
      </w:r>
      <w:hyperlink w:anchor="AUTO_2008_54" w:history="1">
        <w:r w:rsidRPr="00C12216">
          <w:rPr>
            <w:rStyle w:val="TextoNormalCaracter"/>
          </w:rPr>
          <w:t>54/2008</w:t>
        </w:r>
      </w:hyperlink>
      <w:r>
        <w:t>.</w:t>
      </w:r>
    </w:p>
    <w:p w:rsidR="00C12216" w:rsidRDefault="00C12216" w:rsidP="00C12216">
      <w:pPr>
        <w:pStyle w:val="SangriaFrancesaArticulo"/>
      </w:pPr>
    </w:p>
    <w:p w:rsidR="00C12216" w:rsidRDefault="00C12216" w:rsidP="00C12216">
      <w:pPr>
        <w:pStyle w:val="TextoNormalNegritaCursivandice"/>
      </w:pPr>
      <w:r>
        <w:t>Ley Orgánica 3/2007, de 22 de marzo. Igualdad efectiva de mujeres y hombres</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12" w:history="1">
        <w:r w:rsidRPr="00C12216">
          <w:rPr>
            <w:rStyle w:val="TextoNormalCaracter"/>
          </w:rPr>
          <w:t>12/2008</w:t>
        </w:r>
      </w:hyperlink>
      <w:r>
        <w:t>, VP.</w:t>
      </w:r>
    </w:p>
    <w:p w:rsidR="00C12216" w:rsidRDefault="00C12216" w:rsidP="00C12216">
      <w:pPr>
        <w:pStyle w:val="SangriaFrancesaArticulo"/>
      </w:pPr>
      <w:r w:rsidRPr="00C12216">
        <w:rPr>
          <w:rStyle w:val="TextoNormalNegritaCaracter"/>
        </w:rPr>
        <w:t>Exposición de motivos.</w:t>
      </w:r>
      <w:r w:rsidRPr="00C12216">
        <w:rPr>
          <w:rStyle w:val="TextoNormalCaracter"/>
        </w:rPr>
        <w:t>-</w:t>
      </w:r>
      <w:r>
        <w:t xml:space="preserve"> Sentencia </w:t>
      </w:r>
      <w:hyperlink w:anchor="SENTENCIA_2008_12" w:history="1">
        <w:r w:rsidRPr="00C12216">
          <w:rPr>
            <w:rStyle w:val="TextoNormalCaracter"/>
          </w:rPr>
          <w:t>12/2008</w:t>
        </w:r>
      </w:hyperlink>
      <w:r>
        <w:t>, f. 5.</w:t>
      </w:r>
    </w:p>
    <w:p w:rsidR="00C12216" w:rsidRDefault="00C12216" w:rsidP="00C12216">
      <w:pPr>
        <w:pStyle w:val="SangriaFrancesaArticulo"/>
      </w:pPr>
      <w:r w:rsidRPr="00C12216">
        <w:rPr>
          <w:rStyle w:val="TextoNormalNegritaCaracter"/>
        </w:rPr>
        <w:t>Disposición adicional segunda.</w:t>
      </w:r>
      <w:r w:rsidRPr="00C12216">
        <w:rPr>
          <w:rStyle w:val="TextoNormalCaracter"/>
        </w:rPr>
        <w:t>-</w:t>
      </w:r>
      <w:r>
        <w:t xml:space="preserve"> Sentencia </w:t>
      </w:r>
      <w:hyperlink w:anchor="SENTENCIA_2008_12" w:history="1">
        <w:r w:rsidRPr="00C12216">
          <w:rPr>
            <w:rStyle w:val="TextoNormalCaracter"/>
          </w:rPr>
          <w:t>12/2008</w:t>
        </w:r>
      </w:hyperlink>
      <w:r>
        <w:t>, ff. 1 a 3, 6, 9, 10, VP.</w:t>
      </w:r>
    </w:p>
    <w:p w:rsidR="00C12216" w:rsidRDefault="00C12216" w:rsidP="00C12216">
      <w:pPr>
        <w:pStyle w:val="TextoNormal"/>
      </w:pPr>
    </w:p>
    <w:p w:rsidR="00C12216" w:rsidRDefault="00C12216" w:rsidP="00C12216">
      <w:pPr>
        <w:pStyle w:val="SangriaFrancesaArticulo"/>
      </w:pPr>
      <w:bookmarkStart w:id="185" w:name="INDICE22846"/>
    </w:p>
    <w:bookmarkEnd w:id="185"/>
    <w:p w:rsidR="00C12216" w:rsidRDefault="00C12216" w:rsidP="00C12216">
      <w:pPr>
        <w:pStyle w:val="TextoIndiceNivel2"/>
        <w:suppressAutoHyphens/>
      </w:pPr>
      <w:r>
        <w:t>E) Leyes de las Cortes Generales</w:t>
      </w:r>
    </w:p>
    <w:p w:rsidR="00C12216" w:rsidRDefault="00C12216" w:rsidP="00C12216">
      <w:pPr>
        <w:pStyle w:val="TextoIndiceNivel2"/>
      </w:pPr>
    </w:p>
    <w:p w:rsidR="00C12216" w:rsidRDefault="00C12216" w:rsidP="00C12216">
      <w:pPr>
        <w:pStyle w:val="TextoNormalNegritaCursivandice"/>
      </w:pPr>
      <w:r>
        <w:t>Ley 12/1981, de 13 de mayo. Concierto económico con la Comunidad Autónoma del País Vasco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6" w:history="1">
        <w:r w:rsidRPr="00C12216">
          <w:rPr>
            <w:rStyle w:val="TextoNormalCaracter"/>
          </w:rPr>
          <w:t>26/2008</w:t>
        </w:r>
      </w:hyperlink>
      <w:r>
        <w:t>, ff. 6, 7.</w:t>
      </w:r>
    </w:p>
    <w:p w:rsidR="00C12216" w:rsidRDefault="00C12216" w:rsidP="00C12216">
      <w:pPr>
        <w:pStyle w:val="SangriaFrancesaArticulo"/>
      </w:pPr>
      <w:r w:rsidRPr="00C12216">
        <w:rPr>
          <w:rStyle w:val="TextoNormalNegritaCaracter"/>
        </w:rPr>
        <w:t>Artículo 39.</w:t>
      </w:r>
      <w:r w:rsidRPr="00C12216">
        <w:rPr>
          <w:rStyle w:val="TextoNormalCaracter"/>
        </w:rPr>
        <w:t>-</w:t>
      </w:r>
      <w:r>
        <w:t xml:space="preserve"> Sentencia </w:t>
      </w:r>
      <w:hyperlink w:anchor="SENTENCIA_2008_26" w:history="1">
        <w:r w:rsidRPr="00C12216">
          <w:rPr>
            <w:rStyle w:val="TextoNormalCaracter"/>
          </w:rPr>
          <w:t>26/2008</w:t>
        </w:r>
      </w:hyperlink>
      <w:r>
        <w:t>, ff. 7, 8.</w:t>
      </w:r>
    </w:p>
    <w:p w:rsidR="00C12216" w:rsidRDefault="00C12216" w:rsidP="00C12216">
      <w:pPr>
        <w:pStyle w:val="SangriaFrancesaArticulo"/>
      </w:pPr>
      <w:r w:rsidRPr="00C12216">
        <w:rPr>
          <w:rStyle w:val="TextoNormalNegritaCaracter"/>
        </w:rPr>
        <w:t>Artículo 39.1.</w:t>
      </w:r>
      <w:r w:rsidRPr="00C12216">
        <w:rPr>
          <w:rStyle w:val="TextoNormalCaracter"/>
        </w:rPr>
        <w:t>-</w:t>
      </w:r>
      <w:r>
        <w:t xml:space="preserve"> Sentencia </w:t>
      </w:r>
      <w:hyperlink w:anchor="SENTENCIA_2008_26" w:history="1">
        <w:r w:rsidRPr="00C12216">
          <w:rPr>
            <w:rStyle w:val="TextoNormalCaracter"/>
          </w:rPr>
          <w:t>26/2008</w:t>
        </w:r>
      </w:hyperlink>
      <w:r>
        <w:t>, ff. 6, 7.</w:t>
      </w:r>
    </w:p>
    <w:p w:rsidR="00C12216" w:rsidRDefault="00C12216" w:rsidP="00C12216">
      <w:pPr>
        <w:pStyle w:val="SangriaFrancesaArticulo"/>
      </w:pPr>
      <w:r w:rsidRPr="00C12216">
        <w:rPr>
          <w:rStyle w:val="TextoNormalNegritaCaracter"/>
        </w:rPr>
        <w:t>Artículo 39.2.</w:t>
      </w:r>
      <w:r w:rsidRPr="00C12216">
        <w:rPr>
          <w:rStyle w:val="TextoNormalCaracter"/>
        </w:rPr>
        <w:t>-</w:t>
      </w:r>
      <w:r>
        <w:t xml:space="preserve"> Sentencia </w:t>
      </w:r>
      <w:hyperlink w:anchor="SENTENCIA_2008_26" w:history="1">
        <w:r w:rsidRPr="00C12216">
          <w:rPr>
            <w:rStyle w:val="TextoNormalCaracter"/>
          </w:rPr>
          <w:t>26/2008</w:t>
        </w:r>
      </w:hyperlink>
      <w:r>
        <w:t>, f. 7.</w:t>
      </w:r>
    </w:p>
    <w:p w:rsidR="00C12216" w:rsidRDefault="00C12216" w:rsidP="00C12216">
      <w:pPr>
        <w:pStyle w:val="SangriaFrancesaArticulo"/>
      </w:pPr>
      <w:r w:rsidRPr="00C12216">
        <w:rPr>
          <w:rStyle w:val="TextoNormalNegritaCaracter"/>
        </w:rPr>
        <w:t>Artículo 39.3.</w:t>
      </w:r>
      <w:r w:rsidRPr="00C12216">
        <w:rPr>
          <w:rStyle w:val="TextoNormalCaracter"/>
        </w:rPr>
        <w:t>-</w:t>
      </w:r>
      <w:r>
        <w:t xml:space="preserve"> Sentencia </w:t>
      </w:r>
      <w:hyperlink w:anchor="SENTENCIA_2008_26" w:history="1">
        <w:r w:rsidRPr="00C12216">
          <w:rPr>
            <w:rStyle w:val="TextoNormalCaracter"/>
          </w:rPr>
          <w:t>26/2008</w:t>
        </w:r>
      </w:hyperlink>
      <w:r>
        <w:t>, f. 7.</w:t>
      </w:r>
    </w:p>
    <w:p w:rsidR="00C12216" w:rsidRDefault="00C12216" w:rsidP="00C12216">
      <w:pPr>
        <w:pStyle w:val="SangriaFrancesaArticulo"/>
      </w:pPr>
      <w:r w:rsidRPr="00C12216">
        <w:rPr>
          <w:rStyle w:val="TextoNormalNegritaCaracter"/>
        </w:rPr>
        <w:t>Artículo 39.4.</w:t>
      </w:r>
      <w:r w:rsidRPr="00C12216">
        <w:rPr>
          <w:rStyle w:val="TextoNormalCaracter"/>
        </w:rPr>
        <w:t>-</w:t>
      </w:r>
      <w:r>
        <w:t xml:space="preserve"> Sentencia </w:t>
      </w:r>
      <w:hyperlink w:anchor="SENTENCIA_2008_26" w:history="1">
        <w:r w:rsidRPr="00C12216">
          <w:rPr>
            <w:rStyle w:val="TextoNormalCaracter"/>
          </w:rPr>
          <w:t>26/2008</w:t>
        </w:r>
      </w:hyperlink>
      <w:r>
        <w:t>, f. 7.</w:t>
      </w:r>
    </w:p>
    <w:p w:rsidR="00C12216" w:rsidRDefault="00C12216" w:rsidP="00C12216">
      <w:pPr>
        <w:pStyle w:val="SangriaFrancesaArticulo"/>
      </w:pPr>
      <w:r w:rsidRPr="00C12216">
        <w:rPr>
          <w:rStyle w:val="TextoNormalNegritaCaracter"/>
        </w:rPr>
        <w:t>Artículo 39.5.</w:t>
      </w:r>
      <w:r w:rsidRPr="00C12216">
        <w:rPr>
          <w:rStyle w:val="TextoNormalCaracter"/>
        </w:rPr>
        <w:t>-</w:t>
      </w:r>
      <w:r>
        <w:t xml:space="preserve"> Sentencia </w:t>
      </w:r>
      <w:hyperlink w:anchor="SENTENCIA_2008_26" w:history="1">
        <w:r w:rsidRPr="00C12216">
          <w:rPr>
            <w:rStyle w:val="TextoNormalCaracter"/>
          </w:rPr>
          <w:t>26/2008</w:t>
        </w:r>
      </w:hyperlink>
      <w:r>
        <w:t>, ff. 6, 7.</w:t>
      </w:r>
    </w:p>
    <w:p w:rsidR="00C12216" w:rsidRDefault="00C12216" w:rsidP="00C12216">
      <w:pPr>
        <w:pStyle w:val="SangriaFrancesaArticulo"/>
      </w:pPr>
      <w:r w:rsidRPr="00C12216">
        <w:rPr>
          <w:rStyle w:val="TextoNormalNegritaCaracter"/>
        </w:rPr>
        <w:t>Artículo 39.6.</w:t>
      </w:r>
      <w:r w:rsidRPr="00C12216">
        <w:rPr>
          <w:rStyle w:val="TextoNormalCaracter"/>
        </w:rPr>
        <w:t>-</w:t>
      </w:r>
      <w:r>
        <w:t xml:space="preserve"> Sentencia </w:t>
      </w:r>
      <w:hyperlink w:anchor="SENTENCIA_2008_26" w:history="1">
        <w:r w:rsidRPr="00C12216">
          <w:rPr>
            <w:rStyle w:val="TextoNormalCaracter"/>
          </w:rPr>
          <w:t>26/2008</w:t>
        </w:r>
      </w:hyperlink>
      <w:r>
        <w:t>, f. 7.</w:t>
      </w:r>
    </w:p>
    <w:p w:rsidR="00C12216" w:rsidRDefault="00C12216" w:rsidP="00C12216">
      <w:pPr>
        <w:pStyle w:val="SangriaFrancesaArticulo"/>
      </w:pPr>
    </w:p>
    <w:p w:rsidR="00C12216" w:rsidRDefault="00C12216" w:rsidP="00C12216">
      <w:pPr>
        <w:pStyle w:val="TextoNormalNegritaCursivandice"/>
      </w:pPr>
      <w:r>
        <w:t>Ley 50/1981, de 30 de diciembre. Estatuto orgánico del Ministerio Fiscal</w:t>
      </w:r>
    </w:p>
    <w:p w:rsidR="00C12216" w:rsidRDefault="00C12216" w:rsidP="00C12216">
      <w:pPr>
        <w:pStyle w:val="SangriaFrancesaArticulo"/>
      </w:pPr>
      <w:r w:rsidRPr="00C12216">
        <w:rPr>
          <w:rStyle w:val="TextoNormalNegritaCaracter"/>
        </w:rPr>
        <w:t>Artículo 3.4.</w:t>
      </w:r>
      <w:r w:rsidRPr="00C12216">
        <w:rPr>
          <w:rStyle w:val="TextoNormalCaracter"/>
        </w:rPr>
        <w:t>-</w:t>
      </w:r>
      <w:r>
        <w:t xml:space="preserve"> Sentencia </w:t>
      </w:r>
      <w:hyperlink w:anchor="SENTENCIA_2008_9" w:history="1">
        <w:r w:rsidRPr="00C12216">
          <w:rPr>
            <w:rStyle w:val="TextoNormalCaracter"/>
          </w:rPr>
          <w:t>9/2008</w:t>
        </w:r>
      </w:hyperlink>
      <w:r>
        <w:t>, f. 3.</w:t>
      </w:r>
    </w:p>
    <w:p w:rsidR="00C12216" w:rsidRDefault="00C12216" w:rsidP="00C12216">
      <w:pPr>
        <w:pStyle w:val="SangriaFrancesaArticulo"/>
      </w:pPr>
    </w:p>
    <w:p w:rsidR="00C12216" w:rsidRDefault="00C12216" w:rsidP="00C12216">
      <w:pPr>
        <w:pStyle w:val="TextoNormalNegritaCursivandice"/>
      </w:pPr>
      <w:r>
        <w:t>Ley 5/1983, de 29 de junio. Presupuestos del Estado. Medidas urgentes en materia presupuestaria, financiera y tributaria</w:t>
      </w:r>
    </w:p>
    <w:p w:rsidR="00C12216" w:rsidRDefault="00C12216" w:rsidP="00C12216">
      <w:pPr>
        <w:pStyle w:val="SangriaFrancesaArticulo"/>
      </w:pPr>
      <w:r w:rsidRPr="00C12216">
        <w:rPr>
          <w:rStyle w:val="TextoNormalNegritaCaracter"/>
        </w:rPr>
        <w:t>Disposición adicional sexta, apartado 3.</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t>Ley 3/1985, de 18 de marzo. Normas reguladoras de metrología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0" w:history="1">
        <w:r w:rsidRPr="00C12216">
          <w:rPr>
            <w:rStyle w:val="TextoNormalCaracter"/>
          </w:rPr>
          <w:t>40/2008</w:t>
        </w:r>
      </w:hyperlink>
      <w:r>
        <w:t>, f. 2.</w:t>
      </w:r>
    </w:p>
    <w:p w:rsidR="00C12216" w:rsidRDefault="00C12216" w:rsidP="00C12216">
      <w:pPr>
        <w:pStyle w:val="SangriaFrancesaArticulo"/>
      </w:pPr>
    </w:p>
    <w:p w:rsidR="00C12216" w:rsidRDefault="00C12216" w:rsidP="00C12216">
      <w:pPr>
        <w:pStyle w:val="TextoNormalNegritaCursivandice"/>
      </w:pPr>
      <w:r>
        <w:t>Ley 18/1985, de 1 de julio. Modifica la Ley 1/1966, de 28 de enero. Régimen financiero de los puertos</w:t>
      </w:r>
    </w:p>
    <w:p w:rsidR="00C12216" w:rsidRDefault="00C12216" w:rsidP="00C12216">
      <w:pPr>
        <w:pStyle w:val="SangriaFrancesaArticulo"/>
      </w:pPr>
      <w:r w:rsidRPr="00C12216">
        <w:rPr>
          <w:rStyle w:val="TextoNormalNegritaCaracter"/>
        </w:rPr>
        <w:t>Artículo 9.</w:t>
      </w:r>
      <w:r w:rsidRPr="00C12216">
        <w:rPr>
          <w:rStyle w:val="TextoNormalCaracter"/>
        </w:rPr>
        <w:t>-</w:t>
      </w:r>
      <w:r>
        <w:t xml:space="preserve"> Sentencia </w:t>
      </w:r>
      <w:hyperlink w:anchor="SENTENCIA_2008_31" w:history="1">
        <w:r w:rsidRPr="00C12216">
          <w:rPr>
            <w:rStyle w:val="TextoNormalCaracter"/>
          </w:rPr>
          <w:t>31/2008</w:t>
        </w:r>
      </w:hyperlink>
      <w:r>
        <w:t>, ff. 3, 4.</w:t>
      </w:r>
    </w:p>
    <w:p w:rsidR="00C12216" w:rsidRDefault="00C12216" w:rsidP="00C12216">
      <w:pPr>
        <w:pStyle w:val="SangriaFrancesaArticulo"/>
      </w:pPr>
    </w:p>
    <w:p w:rsidR="00C12216" w:rsidRDefault="00C12216" w:rsidP="00C12216">
      <w:pPr>
        <w:pStyle w:val="TextoNormalNegritaCursivandice"/>
      </w:pPr>
      <w:r>
        <w:t>Ley 9/1987, de 12 de junio. Órganos de representación, determinación de las condiciones de trabajo y participación del personal al servicio de las   Administraciones públicas</w:t>
      </w:r>
    </w:p>
    <w:p w:rsidR="00C12216" w:rsidRDefault="00C12216" w:rsidP="00C12216">
      <w:pPr>
        <w:pStyle w:val="SangriaFrancesaArticulo"/>
      </w:pPr>
      <w:r w:rsidRPr="00C12216">
        <w:rPr>
          <w:rStyle w:val="TextoNormalNegritaCaracter"/>
        </w:rPr>
        <w:t>Artículo 9.</w:t>
      </w:r>
      <w:r w:rsidRPr="00C12216">
        <w:rPr>
          <w:rStyle w:val="TextoNormalCaracter"/>
        </w:rPr>
        <w:t>-</w:t>
      </w:r>
      <w:r>
        <w:t xml:space="preserve"> Auto </w:t>
      </w:r>
      <w:hyperlink w:anchor="AUTO_2008_29" w:history="1">
        <w:r w:rsidRPr="00C12216">
          <w:rPr>
            <w:rStyle w:val="TextoNormalCaracter"/>
          </w:rPr>
          <w:t>29/2008</w:t>
        </w:r>
      </w:hyperlink>
      <w:r>
        <w:t>.</w:t>
      </w:r>
    </w:p>
    <w:p w:rsidR="00C12216" w:rsidRDefault="00C12216" w:rsidP="00C12216">
      <w:pPr>
        <w:pStyle w:val="SangriaFrancesaArticulo"/>
      </w:pPr>
    </w:p>
    <w:p w:rsidR="00C12216" w:rsidRDefault="00C12216" w:rsidP="00C12216">
      <w:pPr>
        <w:pStyle w:val="TextoNormalNegritaCursivandice"/>
      </w:pPr>
      <w:r>
        <w:t>Ley 16/1987, de 30 de julio. Ordenación de los transportes terrestres</w:t>
      </w:r>
    </w:p>
    <w:p w:rsidR="00C12216" w:rsidRDefault="00C12216" w:rsidP="00C12216">
      <w:pPr>
        <w:pStyle w:val="SangriaFrancesaArticulo"/>
      </w:pPr>
      <w:r w:rsidRPr="00C12216">
        <w:rPr>
          <w:rStyle w:val="TextoNormalNegritaCaracter"/>
        </w:rPr>
        <w:t>Artículos 138 a 144.</w:t>
      </w:r>
      <w:r w:rsidRPr="00C12216">
        <w:rPr>
          <w:rStyle w:val="TextoNormalCaracter"/>
        </w:rPr>
        <w:t>-</w:t>
      </w:r>
      <w:r>
        <w:t xml:space="preserve"> Auto </w:t>
      </w:r>
      <w:hyperlink w:anchor="AUTO_2008_24" w:history="1">
        <w:r w:rsidRPr="00C12216">
          <w:rPr>
            <w:rStyle w:val="TextoNormalCaracter"/>
          </w:rPr>
          <w:t>24/2008</w:t>
        </w:r>
      </w:hyperlink>
      <w:r>
        <w:t>.</w:t>
      </w:r>
    </w:p>
    <w:p w:rsidR="00C12216" w:rsidRDefault="00C12216" w:rsidP="00C12216">
      <w:pPr>
        <w:pStyle w:val="SangriaFrancesaArticulo"/>
      </w:pPr>
    </w:p>
    <w:p w:rsidR="00C12216" w:rsidRDefault="00C12216" w:rsidP="00C12216">
      <w:pPr>
        <w:pStyle w:val="TextoNormalNegritaCursivandice"/>
      </w:pPr>
      <w:r>
        <w:t>Ley 19/1988, de 12 de julio. Auditoría de cuentas</w:t>
      </w:r>
    </w:p>
    <w:p w:rsidR="00C12216" w:rsidRDefault="00C12216" w:rsidP="00C12216">
      <w:pPr>
        <w:pStyle w:val="SangriaFrancesaArticulo"/>
      </w:pPr>
      <w:r w:rsidRPr="00C12216">
        <w:rPr>
          <w:rStyle w:val="TextoNormalNegritaCaracter"/>
        </w:rPr>
        <w:t>Artículo 7.1 c).</w:t>
      </w:r>
      <w:r w:rsidRPr="00C12216">
        <w:rPr>
          <w:rStyle w:val="TextoNormalCaracter"/>
        </w:rPr>
        <w:t>-</w:t>
      </w:r>
      <w:r>
        <w:t xml:space="preserve"> Auto </w:t>
      </w:r>
      <w:hyperlink w:anchor="AUTO_2008_44" w:history="1">
        <w:r w:rsidRPr="00C12216">
          <w:rPr>
            <w:rStyle w:val="TextoNormalCaracter"/>
          </w:rPr>
          <w:t>44/2008</w:t>
        </w:r>
      </w:hyperlink>
      <w:r>
        <w:t>.</w:t>
      </w:r>
    </w:p>
    <w:p w:rsidR="00C12216" w:rsidRDefault="00C12216" w:rsidP="00C12216">
      <w:pPr>
        <w:pStyle w:val="SangriaFrancesaArticulo"/>
      </w:pPr>
      <w:r w:rsidRPr="00C12216">
        <w:rPr>
          <w:rStyle w:val="TextoNormalNegritaCaracter"/>
        </w:rPr>
        <w:t>Artículo 9 a).</w:t>
      </w:r>
      <w:r w:rsidRPr="00C12216">
        <w:rPr>
          <w:rStyle w:val="TextoNormalCaracter"/>
        </w:rPr>
        <w:t>-</w:t>
      </w:r>
      <w:r>
        <w:t xml:space="preserve"> Auto </w:t>
      </w:r>
      <w:hyperlink w:anchor="AUTO_2008_44" w:history="1">
        <w:r w:rsidRPr="00C12216">
          <w:rPr>
            <w:rStyle w:val="TextoNormalCaracter"/>
          </w:rPr>
          <w:t>44/2008</w:t>
        </w:r>
      </w:hyperlink>
      <w:r>
        <w:t>.</w:t>
      </w:r>
    </w:p>
    <w:p w:rsidR="00C12216" w:rsidRDefault="00C12216" w:rsidP="00C12216">
      <w:pPr>
        <w:pStyle w:val="SangriaFrancesaArticulo"/>
      </w:pPr>
    </w:p>
    <w:p w:rsidR="00C12216" w:rsidRDefault="00C12216" w:rsidP="00C12216">
      <w:pPr>
        <w:pStyle w:val="TextoNormalNegritaCursivandice"/>
      </w:pPr>
      <w:r>
        <w:t>Ley 5/1990, de 29 de junio. Medidas en materia presupuestaria, financiera y tributaria</w:t>
      </w:r>
    </w:p>
    <w:p w:rsidR="00C12216" w:rsidRDefault="00C12216" w:rsidP="00C12216">
      <w:pPr>
        <w:pStyle w:val="SangriaFrancesaArticulo"/>
      </w:pPr>
      <w:r w:rsidRPr="00C12216">
        <w:rPr>
          <w:rStyle w:val="TextoNormalNegritaCaracter"/>
        </w:rPr>
        <w:t>Artículo 38.2.1.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r w:rsidRPr="00C12216">
        <w:rPr>
          <w:rStyle w:val="TextoNormalNegritaCaracter"/>
        </w:rPr>
        <w:t>Artículo 38.2.2.</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lastRenderedPageBreak/>
        <w:t>Ley 25/1990, de 20 de diciembre. Medicamento</w:t>
      </w:r>
    </w:p>
    <w:p w:rsidR="00C12216" w:rsidRDefault="00C12216" w:rsidP="00C12216">
      <w:pPr>
        <w:pStyle w:val="SangriaFrancesaArticulo"/>
      </w:pPr>
      <w:r w:rsidRPr="00C12216">
        <w:rPr>
          <w:rStyle w:val="TextoNormalNegritaCaracter"/>
        </w:rPr>
        <w:t>Artículo 88.1 b).</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p>
    <w:p w:rsidR="00C12216" w:rsidRDefault="00C12216" w:rsidP="00C12216">
      <w:pPr>
        <w:pStyle w:val="TextoNormalNegritaCursivandice"/>
      </w:pPr>
      <w:r>
        <w:t>Ley 30/1992, de 26 de noviembre. Régimen jurídico de las Administraciones públicas y del procedimiento administrativo común</w:t>
      </w:r>
    </w:p>
    <w:p w:rsidR="00C12216" w:rsidRDefault="00C12216" w:rsidP="00C12216">
      <w:pPr>
        <w:pStyle w:val="SangriaFrancesaArticulo"/>
      </w:pPr>
      <w:r w:rsidRPr="00C12216">
        <w:rPr>
          <w:rStyle w:val="TextoNormalNegritaCaracter"/>
        </w:rPr>
        <w:t>Exposición de motivos, apartado 14.</w:t>
      </w:r>
      <w:r w:rsidRPr="00C12216">
        <w:rPr>
          <w:rStyle w:val="TextoNormalCaracter"/>
        </w:rPr>
        <w:t>-</w:t>
      </w:r>
      <w:r>
        <w:t xml:space="preserve"> Sentencia </w:t>
      </w:r>
      <w:hyperlink w:anchor="SENTENCIA_2008_40" w:history="1">
        <w:r w:rsidRPr="00C12216">
          <w:rPr>
            <w:rStyle w:val="TextoNormalCaracter"/>
          </w:rPr>
          <w:t>40/2008</w:t>
        </w:r>
      </w:hyperlink>
      <w:r>
        <w:t>, f. 4.</w:t>
      </w:r>
    </w:p>
    <w:p w:rsidR="00C12216" w:rsidRDefault="00C12216" w:rsidP="00C12216">
      <w:pPr>
        <w:pStyle w:val="SangriaFrancesaArticulo"/>
      </w:pPr>
      <w:r w:rsidRPr="00C12216">
        <w:rPr>
          <w:rStyle w:val="TextoNormalNegritaCaracter"/>
        </w:rPr>
        <w:t>Artículo 35 f).</w:t>
      </w:r>
      <w:r w:rsidRPr="00C12216">
        <w:rPr>
          <w:rStyle w:val="TextoNormalCaracter"/>
        </w:rPr>
        <w:t>-</w:t>
      </w:r>
      <w:r>
        <w:t xml:space="preserve"> Sentencia </w:t>
      </w:r>
      <w:hyperlink w:anchor="SENTENCIA_2008_10" w:history="1">
        <w:r w:rsidRPr="00C12216">
          <w:rPr>
            <w:rStyle w:val="TextoNormalCaracter"/>
          </w:rPr>
          <w:t>10/2008</w:t>
        </w:r>
      </w:hyperlink>
      <w:r>
        <w:t>, f. 3.</w:t>
      </w:r>
    </w:p>
    <w:p w:rsidR="00C12216" w:rsidRDefault="00C12216" w:rsidP="00C12216">
      <w:pPr>
        <w:pStyle w:val="SangriaFrancesaArticulo"/>
      </w:pPr>
      <w:r w:rsidRPr="00C12216">
        <w:rPr>
          <w:rStyle w:val="TextoNormalNegritaCaracter"/>
        </w:rPr>
        <w:t>Artículo 131.3.</w:t>
      </w:r>
      <w:r w:rsidRPr="00C12216">
        <w:rPr>
          <w:rStyle w:val="TextoNormalCaracter"/>
        </w:rPr>
        <w:t>-</w:t>
      </w:r>
      <w:r>
        <w:t xml:space="preserve"> Sentencia </w:t>
      </w:r>
      <w:hyperlink w:anchor="SENTENCIA_2008_40" w:history="1">
        <w:r w:rsidRPr="00C12216">
          <w:rPr>
            <w:rStyle w:val="TextoNormalCaracter"/>
          </w:rPr>
          <w:t>40/2008</w:t>
        </w:r>
      </w:hyperlink>
      <w:r>
        <w:t>, ff. 4 a 6.</w:t>
      </w:r>
    </w:p>
    <w:p w:rsidR="00C12216" w:rsidRDefault="00C12216" w:rsidP="00C12216">
      <w:pPr>
        <w:pStyle w:val="SangriaFrancesaArticulo"/>
      </w:pPr>
      <w:r w:rsidRPr="00C12216">
        <w:rPr>
          <w:rStyle w:val="TextoNormalNegritaCaracter"/>
        </w:rPr>
        <w:t>Artículo 139.</w:t>
      </w:r>
      <w:r w:rsidRPr="00C12216">
        <w:rPr>
          <w:rStyle w:val="TextoNormalCaracter"/>
        </w:rPr>
        <w:t>-</w:t>
      </w:r>
      <w:r>
        <w:t xml:space="preserve"> Sentencia </w:t>
      </w:r>
      <w:hyperlink w:anchor="SENTENCIA_2008_11" w:history="1">
        <w:r w:rsidRPr="00C12216">
          <w:rPr>
            <w:rStyle w:val="TextoNormalCaracter"/>
          </w:rPr>
          <w:t>11/2008</w:t>
        </w:r>
      </w:hyperlink>
      <w:r>
        <w:t>, ff. 1, 5.</w:t>
      </w:r>
    </w:p>
    <w:p w:rsidR="00C12216" w:rsidRDefault="00C12216" w:rsidP="00C12216">
      <w:pPr>
        <w:pStyle w:val="SangriaFrancesaArticulo"/>
      </w:pPr>
    </w:p>
    <w:p w:rsidR="00C12216" w:rsidRDefault="00C12216" w:rsidP="00C12216">
      <w:pPr>
        <w:pStyle w:val="TextoNormalNegritaCursivandice"/>
      </w:pPr>
      <w:r>
        <w:t>Ley 30/1995, de 8 de noviembre. Ordenación y supervisión de los seguros privados</w:t>
      </w:r>
    </w:p>
    <w:p w:rsidR="00C12216" w:rsidRDefault="00C12216" w:rsidP="00C12216">
      <w:pPr>
        <w:pStyle w:val="SangriaFrancesaArticulo"/>
      </w:pPr>
      <w:r w:rsidRPr="00C12216">
        <w:rPr>
          <w:rStyle w:val="TextoNormalNegritaCaracter"/>
        </w:rPr>
        <w:t>Disposición adicional octava.</w:t>
      </w:r>
      <w:r w:rsidRPr="00C12216">
        <w:rPr>
          <w:rStyle w:val="TextoNormalCaracter"/>
        </w:rPr>
        <w:t>-</w:t>
      </w:r>
      <w:r>
        <w:t xml:space="preserve"> Auto </w:t>
      </w:r>
      <w:hyperlink w:anchor="AUTO_2008_85" w:history="1">
        <w:r w:rsidRPr="00C12216">
          <w:rPr>
            <w:rStyle w:val="TextoNormalCaracter"/>
          </w:rPr>
          <w:t>85/2008</w:t>
        </w:r>
      </w:hyperlink>
      <w:r>
        <w:t>.</w:t>
      </w:r>
    </w:p>
    <w:p w:rsidR="00C12216" w:rsidRDefault="00C12216" w:rsidP="00C12216">
      <w:pPr>
        <w:pStyle w:val="SangriaFrancesaArticulo"/>
      </w:pPr>
    </w:p>
    <w:p w:rsidR="00C12216" w:rsidRDefault="00C12216" w:rsidP="00C12216">
      <w:pPr>
        <w:pStyle w:val="TextoNormalNegritaCursivandice"/>
      </w:pPr>
      <w:r>
        <w:t>Ley 31/1995, de 8 de noviembre. Prevención de riesgos laborales</w:t>
      </w:r>
    </w:p>
    <w:p w:rsidR="00C12216" w:rsidRDefault="00C12216" w:rsidP="00C12216">
      <w:pPr>
        <w:pStyle w:val="SangriaFrancesaArticulo"/>
      </w:pPr>
      <w:r w:rsidRPr="00C12216">
        <w:rPr>
          <w:rStyle w:val="TextoNormalNegritaCaracter"/>
        </w:rPr>
        <w:t>Artículo 16.2.</w:t>
      </w:r>
      <w:r w:rsidRPr="00C12216">
        <w:rPr>
          <w:rStyle w:val="TextoNormalCaracter"/>
        </w:rPr>
        <w:t>-</w:t>
      </w:r>
      <w:r>
        <w:t xml:space="preserve"> Sentencia </w:t>
      </w:r>
      <w:hyperlink w:anchor="SENTENCIA_2008_16" w:history="1">
        <w:r w:rsidRPr="00C12216">
          <w:rPr>
            <w:rStyle w:val="TextoNormalCaracter"/>
          </w:rPr>
          <w:t>16/2008</w:t>
        </w:r>
      </w:hyperlink>
      <w:r>
        <w:t>, f. 3.</w:t>
      </w:r>
    </w:p>
    <w:p w:rsidR="00C12216" w:rsidRDefault="00C12216" w:rsidP="00C12216">
      <w:pPr>
        <w:pStyle w:val="SangriaFrancesaArticulo"/>
      </w:pPr>
      <w:r w:rsidRPr="00C12216">
        <w:rPr>
          <w:rStyle w:val="TextoNormalNegritaCaracter"/>
        </w:rPr>
        <w:t>Artículo 46.5.</w:t>
      </w:r>
      <w:r w:rsidRPr="00C12216">
        <w:rPr>
          <w:rStyle w:val="TextoNormalCaracter"/>
        </w:rPr>
        <w:t>-</w:t>
      </w:r>
      <w:r>
        <w:t xml:space="preserve"> Sentencia </w:t>
      </w:r>
      <w:hyperlink w:anchor="SENTENCIA_2008_16" w:history="1">
        <w:r w:rsidRPr="00C12216">
          <w:rPr>
            <w:rStyle w:val="TextoNormalCaracter"/>
          </w:rPr>
          <w:t>16/2008</w:t>
        </w:r>
      </w:hyperlink>
      <w:r>
        <w:t>, f. 3.</w:t>
      </w:r>
    </w:p>
    <w:p w:rsidR="00C12216" w:rsidRDefault="00C12216" w:rsidP="00C12216">
      <w:pPr>
        <w:pStyle w:val="SangriaFrancesaArticulo"/>
      </w:pPr>
      <w:r w:rsidRPr="00C12216">
        <w:rPr>
          <w:rStyle w:val="TextoNormalNegritaCaracter"/>
        </w:rPr>
        <w:t>Artículo 47.1.</w:t>
      </w:r>
      <w:r w:rsidRPr="00C12216">
        <w:rPr>
          <w:rStyle w:val="TextoNormalCaracter"/>
        </w:rPr>
        <w:t>-</w:t>
      </w:r>
      <w:r>
        <w:t xml:space="preserve"> Sentencia </w:t>
      </w:r>
      <w:hyperlink w:anchor="SENTENCIA_2008_16" w:history="1">
        <w:r w:rsidRPr="00C12216">
          <w:rPr>
            <w:rStyle w:val="TextoNormalCaracter"/>
          </w:rPr>
          <w:t>16/2008</w:t>
        </w:r>
      </w:hyperlink>
      <w:r>
        <w:t>, f. 3.</w:t>
      </w:r>
    </w:p>
    <w:p w:rsidR="00C12216" w:rsidRDefault="00C12216" w:rsidP="00C12216">
      <w:pPr>
        <w:pStyle w:val="SangriaFrancesaArticulo"/>
      </w:pPr>
    </w:p>
    <w:p w:rsidR="00C12216" w:rsidRDefault="00C12216" w:rsidP="00C12216">
      <w:pPr>
        <w:pStyle w:val="TextoNormalNegritaCursivandice"/>
      </w:pPr>
      <w:r>
        <w:t>Ley 1/1996, de 10 de enero. Asistencia jurídica gratuita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Sentencias </w:t>
      </w:r>
      <w:hyperlink w:anchor="SENTENCIA_2008_7" w:history="1">
        <w:r w:rsidRPr="00C12216">
          <w:rPr>
            <w:rStyle w:val="TextoNormalCaracter"/>
          </w:rPr>
          <w:t>7/2008</w:t>
        </w:r>
      </w:hyperlink>
      <w:r>
        <w:t xml:space="preserve">, f. 2; </w:t>
      </w:r>
      <w:hyperlink w:anchor="SENTENCIA_2008_55" w:history="1">
        <w:r w:rsidRPr="00C12216">
          <w:rPr>
            <w:rStyle w:val="TextoNormalCaracter"/>
          </w:rPr>
          <w:t>55/2008</w:t>
        </w:r>
      </w:hyperlink>
      <w:r>
        <w:t>, f. 4.</w:t>
      </w:r>
    </w:p>
    <w:p w:rsidR="00C12216" w:rsidRDefault="00C12216" w:rsidP="00C12216">
      <w:pPr>
        <w:pStyle w:val="SangriaFrancesaArticulo"/>
      </w:pPr>
      <w:r w:rsidRPr="00C12216">
        <w:rPr>
          <w:rStyle w:val="TextoNormalNegritaCaracter"/>
        </w:rPr>
        <w:t>Artículo 6.3.</w:t>
      </w:r>
      <w:r w:rsidRPr="00C12216">
        <w:rPr>
          <w:rStyle w:val="TextoNormalCaracter"/>
        </w:rPr>
        <w:t>-</w:t>
      </w:r>
      <w:r>
        <w:t xml:space="preserve"> Sentencias </w:t>
      </w:r>
      <w:hyperlink w:anchor="SENTENCIA_2008_9" w:history="1">
        <w:r w:rsidRPr="00C12216">
          <w:rPr>
            <w:rStyle w:val="TextoNormalCaracter"/>
          </w:rPr>
          <w:t>9/2008</w:t>
        </w:r>
      </w:hyperlink>
      <w:r>
        <w:t xml:space="preserve">, f. 4; </w:t>
      </w:r>
      <w:hyperlink w:anchor="SENTENCIA_2008_55" w:history="1">
        <w:r w:rsidRPr="00C12216">
          <w:rPr>
            <w:rStyle w:val="TextoNormalCaracter"/>
          </w:rPr>
          <w:t>55/2008</w:t>
        </w:r>
      </w:hyperlink>
      <w:r>
        <w:t>, f. 2.</w:t>
      </w:r>
    </w:p>
    <w:p w:rsidR="00C12216" w:rsidRDefault="00C12216" w:rsidP="00C12216">
      <w:pPr>
        <w:pStyle w:val="SangriaFrancesaArticulo"/>
      </w:pPr>
      <w:r w:rsidRPr="00C12216">
        <w:rPr>
          <w:rStyle w:val="TextoNormalNegritaCaracter"/>
        </w:rPr>
        <w:t>Artículo 7.3.</w:t>
      </w:r>
      <w:r w:rsidRPr="00C12216">
        <w:rPr>
          <w:rStyle w:val="TextoNormalCaracter"/>
        </w:rPr>
        <w:t>-</w:t>
      </w:r>
      <w:r>
        <w:t xml:space="preserve"> Sentencia </w:t>
      </w:r>
      <w:hyperlink w:anchor="SENTENCIA_2008_55" w:history="1">
        <w:r w:rsidRPr="00C12216">
          <w:rPr>
            <w:rStyle w:val="TextoNormalCaracter"/>
          </w:rPr>
          <w:t>55/2008</w:t>
        </w:r>
      </w:hyperlink>
      <w:r>
        <w:t>, f. 4.</w:t>
      </w:r>
    </w:p>
    <w:p w:rsidR="00C12216" w:rsidRDefault="00C12216" w:rsidP="00C12216">
      <w:pPr>
        <w:pStyle w:val="SangriaFrancesaArticulo"/>
      </w:pPr>
      <w:r w:rsidRPr="00C12216">
        <w:rPr>
          <w:rStyle w:val="TextoNormalNegritaCaracter"/>
        </w:rPr>
        <w:t>Artículo 14.</w:t>
      </w:r>
      <w:r w:rsidRPr="00C12216">
        <w:rPr>
          <w:rStyle w:val="TextoNormalCaracter"/>
        </w:rPr>
        <w:t>-</w:t>
      </w:r>
      <w:r>
        <w:t xml:space="preserve"> Autos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r w:rsidRPr="00C12216">
        <w:rPr>
          <w:rStyle w:val="TextoNormalNegritaCaracter"/>
        </w:rPr>
        <w:t>Artículo 16.</w:t>
      </w:r>
      <w:r w:rsidRPr="00C12216">
        <w:rPr>
          <w:rStyle w:val="TextoNormalCaracter"/>
        </w:rPr>
        <w:t>-</w:t>
      </w:r>
      <w:r>
        <w:t xml:space="preserve"> Sentencia </w:t>
      </w:r>
      <w:hyperlink w:anchor="SENTENCIA_2008_55" w:history="1">
        <w:r w:rsidRPr="00C12216">
          <w:rPr>
            <w:rStyle w:val="TextoNormalCaracter"/>
          </w:rPr>
          <w:t>55/2008</w:t>
        </w:r>
      </w:hyperlink>
      <w:r>
        <w:t>, ff. 4, 5.</w:t>
      </w:r>
    </w:p>
    <w:p w:rsidR="00C12216" w:rsidRDefault="00C12216" w:rsidP="00C12216">
      <w:pPr>
        <w:pStyle w:val="SangriaFrancesaArticulo"/>
      </w:pPr>
      <w:r w:rsidRPr="00C12216">
        <w:rPr>
          <w:rStyle w:val="TextoNormalNegritaCaracter"/>
        </w:rPr>
        <w:t>Artículo 18.</w:t>
      </w:r>
      <w:r w:rsidRPr="00C12216">
        <w:rPr>
          <w:rStyle w:val="TextoNormalCaracter"/>
        </w:rPr>
        <w:t>-</w:t>
      </w:r>
      <w:r>
        <w:t xml:space="preserve"> Autos </w:t>
      </w:r>
      <w:hyperlink w:anchor="AUTO_2008_89" w:history="1">
        <w:r w:rsidRPr="00C12216">
          <w:rPr>
            <w:rStyle w:val="TextoNormalCaracter"/>
          </w:rPr>
          <w:t>89/2008</w:t>
        </w:r>
      </w:hyperlink>
      <w:r>
        <w:t xml:space="preserve">; </w:t>
      </w:r>
      <w:hyperlink w:anchor="AUTO_2008_100" w:history="1">
        <w:r w:rsidRPr="00C12216">
          <w:rPr>
            <w:rStyle w:val="TextoNormalCaracter"/>
          </w:rPr>
          <w:t>100/2008</w:t>
        </w:r>
      </w:hyperlink>
      <w:r>
        <w:t>.</w:t>
      </w:r>
    </w:p>
    <w:p w:rsidR="00C12216" w:rsidRDefault="00C12216" w:rsidP="00C12216">
      <w:pPr>
        <w:pStyle w:val="SangriaFrancesaArticulo"/>
      </w:pPr>
      <w:r w:rsidRPr="00C12216">
        <w:rPr>
          <w:rStyle w:val="TextoNormalNegritaCaracter"/>
        </w:rPr>
        <w:t>Artículo 27.</w:t>
      </w:r>
      <w:r w:rsidRPr="00C12216">
        <w:rPr>
          <w:rStyle w:val="TextoNormalCaracter"/>
        </w:rPr>
        <w:t>-</w:t>
      </w:r>
      <w:r>
        <w:t xml:space="preserve"> Sentencia </w:t>
      </w:r>
      <w:hyperlink w:anchor="SENTENCIA_2008_55" w:history="1">
        <w:r w:rsidRPr="00C12216">
          <w:rPr>
            <w:rStyle w:val="TextoNormalCaracter"/>
          </w:rPr>
          <w:t>55/2008</w:t>
        </w:r>
      </w:hyperlink>
      <w:r>
        <w:t>, f. 3.</w:t>
      </w:r>
    </w:p>
    <w:p w:rsidR="00C12216" w:rsidRDefault="00C12216" w:rsidP="00C12216">
      <w:pPr>
        <w:pStyle w:val="SangriaFrancesaArticulo"/>
      </w:pPr>
    </w:p>
    <w:p w:rsidR="00C12216" w:rsidRDefault="00C12216" w:rsidP="00C12216">
      <w:pPr>
        <w:pStyle w:val="TextoNormalNegritaCursivandice"/>
      </w:pPr>
      <w:r>
        <w:t>Ley 12/1996, de 30 de diciembre. Presupuestos generales del Estado para 1997</w:t>
      </w:r>
    </w:p>
    <w:p w:rsidR="00C12216" w:rsidRDefault="00C12216" w:rsidP="00C12216">
      <w:pPr>
        <w:pStyle w:val="SangriaFrancesaArticulo"/>
      </w:pPr>
      <w:r w:rsidRPr="00C12216">
        <w:rPr>
          <w:rStyle w:val="TextoNormalNegritaCaracter"/>
        </w:rPr>
        <w:t>Artículo 67.2.</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t>Ley 16/1997, de 25 de abril. Regulación de servicios de oficinas de farmacia</w:t>
      </w:r>
    </w:p>
    <w:p w:rsidR="00C12216" w:rsidRDefault="00C12216" w:rsidP="00C12216">
      <w:pPr>
        <w:pStyle w:val="SangriaFrancesaArticulo"/>
      </w:pPr>
      <w:r w:rsidRPr="00C12216">
        <w:rPr>
          <w:rStyle w:val="TextoNormalNegritaCaracter"/>
        </w:rPr>
        <w:t>Artículo 2.1.</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Artículo 5.1.</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Disposición final primera.</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p>
    <w:p w:rsidR="00C12216" w:rsidRDefault="00C12216" w:rsidP="00C12216">
      <w:pPr>
        <w:pStyle w:val="TextoNormalNegritaCursivandice"/>
      </w:pPr>
      <w:r>
        <w:t>Ley 38/1997, de 4 de agosto. Modificación del concierto económico con la Comunidad Autónoma del País Vasco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6" w:history="1">
        <w:r w:rsidRPr="00C12216">
          <w:rPr>
            <w:rStyle w:val="TextoNormalCaracter"/>
          </w:rPr>
          <w:t>26/2008</w:t>
        </w:r>
      </w:hyperlink>
      <w:r>
        <w:t>, ff. 6, 7.</w:t>
      </w:r>
    </w:p>
    <w:p w:rsidR="00C12216" w:rsidRDefault="00C12216" w:rsidP="00C12216">
      <w:pPr>
        <w:pStyle w:val="SangriaFrancesaArticulo"/>
      </w:pPr>
    </w:p>
    <w:p w:rsidR="00C12216" w:rsidRDefault="00C12216" w:rsidP="00C12216">
      <w:pPr>
        <w:pStyle w:val="TextoNormalNegritaCursivandice"/>
      </w:pPr>
      <w:r>
        <w:t>Ley 52/1997, de 27 de noviembre. Asistencia jurídica al Estado e instituciones públicas</w:t>
      </w:r>
    </w:p>
    <w:p w:rsidR="00C12216" w:rsidRDefault="00C12216" w:rsidP="00C12216">
      <w:pPr>
        <w:pStyle w:val="SangriaFrancesaArticulo"/>
      </w:pPr>
      <w:r w:rsidRPr="00C12216">
        <w:rPr>
          <w:rStyle w:val="TextoNormalNegritaCaracter"/>
        </w:rPr>
        <w:t>Artículo 12.</w:t>
      </w:r>
      <w:r w:rsidRPr="00C12216">
        <w:rPr>
          <w:rStyle w:val="TextoNormalCaracter"/>
        </w:rPr>
        <w:t>-</w:t>
      </w:r>
      <w:r>
        <w:t xml:space="preserve"> Sentencia </w:t>
      </w:r>
      <w:hyperlink w:anchor="SENTENCIA_2008_33" w:history="1">
        <w:r w:rsidRPr="00C12216">
          <w:rPr>
            <w:rStyle w:val="TextoNormalCaracter"/>
          </w:rPr>
          <w:t>33/2008</w:t>
        </w:r>
      </w:hyperlink>
      <w:r>
        <w:t>, ff. 1, 3.</w:t>
      </w:r>
    </w:p>
    <w:p w:rsidR="00C12216" w:rsidRDefault="00C12216" w:rsidP="00C12216">
      <w:pPr>
        <w:pStyle w:val="SangriaFrancesaArticulo"/>
      </w:pPr>
    </w:p>
    <w:p w:rsidR="00C12216" w:rsidRDefault="00C12216" w:rsidP="00C12216">
      <w:pPr>
        <w:pStyle w:val="TextoNormalNegritaCursivandice"/>
      </w:pPr>
      <w:r>
        <w:t>Ley 65/1997, de 30 de diciembre. Presupuestos generales del Estado para 1998</w:t>
      </w:r>
    </w:p>
    <w:p w:rsidR="00C12216" w:rsidRDefault="00C12216" w:rsidP="00C12216">
      <w:pPr>
        <w:pStyle w:val="SangriaFrancesaArticulo"/>
      </w:pPr>
      <w:r w:rsidRPr="00C12216">
        <w:rPr>
          <w:rStyle w:val="TextoNormalNegritaCaracter"/>
        </w:rPr>
        <w:t>Artículo 73.5.</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t>Ley 6/1998, de 13 de abril. Régimen del suelo y valoraciones</w:t>
      </w:r>
    </w:p>
    <w:p w:rsidR="00C12216" w:rsidRDefault="00C12216" w:rsidP="00C12216">
      <w:pPr>
        <w:pStyle w:val="SangriaFrancesaArticulo"/>
      </w:pPr>
      <w:r w:rsidRPr="00C12216">
        <w:rPr>
          <w:rStyle w:val="TextoNormalNegritaCaracter"/>
        </w:rPr>
        <w:lastRenderedPageBreak/>
        <w:t>Disposición adicional tercera.</w:t>
      </w:r>
      <w:r w:rsidRPr="00C12216">
        <w:rPr>
          <w:rStyle w:val="TextoNormalCaracter"/>
        </w:rPr>
        <w:t>-</w:t>
      </w:r>
      <w:r>
        <w:t xml:space="preserve"> Sentencia </w:t>
      </w:r>
      <w:hyperlink w:anchor="SENTENCIA_2008_47" w:history="1">
        <w:r w:rsidRPr="00C12216">
          <w:rPr>
            <w:rStyle w:val="TextoNormalCaracter"/>
          </w:rPr>
          <w:t>47/2008</w:t>
        </w:r>
      </w:hyperlink>
      <w:r>
        <w:t>, f. 1.</w:t>
      </w:r>
    </w:p>
    <w:p w:rsidR="00C12216" w:rsidRDefault="00C12216" w:rsidP="00C12216">
      <w:pPr>
        <w:pStyle w:val="SangriaFrancesaArticulo"/>
      </w:pPr>
    </w:p>
    <w:p w:rsidR="00C12216" w:rsidRDefault="00C12216" w:rsidP="00C12216">
      <w:pPr>
        <w:pStyle w:val="TextoNormalNegritaCursivandice"/>
      </w:pPr>
      <w:r>
        <w:t>Ley 13/1998, de 4 mayo. Ordenación del mercado de tabacos y normativa tributaria</w:t>
      </w:r>
    </w:p>
    <w:p w:rsidR="00C12216" w:rsidRDefault="00C12216" w:rsidP="00C12216">
      <w:pPr>
        <w:pStyle w:val="SangriaFrancesaArticulo"/>
      </w:pPr>
      <w:r w:rsidRPr="00C12216">
        <w:rPr>
          <w:rStyle w:val="TextoNormalNegritaCaracter"/>
        </w:rPr>
        <w:t>Artículo 4.5.</w:t>
      </w:r>
      <w:r w:rsidRPr="00C12216">
        <w:rPr>
          <w:rStyle w:val="TextoNormalCaracter"/>
        </w:rPr>
        <w:t>-</w:t>
      </w:r>
      <w:r>
        <w:t xml:space="preserve"> Auto </w:t>
      </w:r>
      <w:hyperlink w:anchor="AUTO_2008_80" w:history="1">
        <w:r w:rsidRPr="00C12216">
          <w:rPr>
            <w:rStyle w:val="TextoNormalCaracter"/>
          </w:rPr>
          <w:t>80/2008</w:t>
        </w:r>
      </w:hyperlink>
      <w:r>
        <w:t>.</w:t>
      </w:r>
    </w:p>
    <w:p w:rsidR="00C12216" w:rsidRDefault="00C12216" w:rsidP="00C12216">
      <w:pPr>
        <w:pStyle w:val="SangriaFrancesaArticulo"/>
      </w:pPr>
    </w:p>
    <w:p w:rsidR="00C12216" w:rsidRDefault="00C12216" w:rsidP="00C12216">
      <w:pPr>
        <w:pStyle w:val="TextoNormalNegritaCursivandice"/>
      </w:pPr>
      <w:r>
        <w:t>Ley 29/1998, de 13 de julio. Jurisdicción contencioso-administrativa</w:t>
      </w:r>
    </w:p>
    <w:p w:rsidR="00C12216" w:rsidRDefault="00C12216" w:rsidP="00C12216">
      <w:pPr>
        <w:pStyle w:val="SangriaFrancesaArticulo"/>
      </w:pPr>
      <w:r w:rsidRPr="00C12216">
        <w:rPr>
          <w:rStyle w:val="TextoNormalNegritaCaracter"/>
        </w:rPr>
        <w:t>Artículo 1.1.</w:t>
      </w:r>
      <w:r w:rsidRPr="00C12216">
        <w:rPr>
          <w:rStyle w:val="TextoNormalCaracter"/>
        </w:rPr>
        <w:t>-</w:t>
      </w:r>
      <w:r>
        <w:t xml:space="preserve"> Sentencia </w:t>
      </w:r>
      <w:hyperlink w:anchor="SENTENCIA_2008_26" w:history="1">
        <w:r w:rsidRPr="00C12216">
          <w:rPr>
            <w:rStyle w:val="TextoNormalCaracter"/>
          </w:rPr>
          <w:t>26/2008</w:t>
        </w:r>
      </w:hyperlink>
      <w:r>
        <w:t>, ff. 4, 8.</w:t>
      </w:r>
    </w:p>
    <w:p w:rsidR="00C12216" w:rsidRDefault="00C12216" w:rsidP="00C12216">
      <w:pPr>
        <w:pStyle w:val="SangriaIzquierdaArticulo"/>
      </w:pPr>
      <w:r>
        <w:t xml:space="preserve">Auto </w:t>
      </w:r>
      <w:hyperlink w:anchor="AUTO_2008_49" w:history="1">
        <w:r w:rsidRPr="00C12216">
          <w:rPr>
            <w:rStyle w:val="TextoNormalCaracter"/>
          </w:rPr>
          <w:t>49/2008</w:t>
        </w:r>
      </w:hyperlink>
      <w:r>
        <w:t>.</w:t>
      </w:r>
    </w:p>
    <w:p w:rsidR="00C12216" w:rsidRDefault="00C12216" w:rsidP="00C12216">
      <w:pPr>
        <w:pStyle w:val="SangriaFrancesaArticulo"/>
      </w:pPr>
      <w:r w:rsidRPr="00C12216">
        <w:rPr>
          <w:rStyle w:val="TextoNormalNegritaCaracter"/>
        </w:rPr>
        <w:t>Artículo 1.2.</w:t>
      </w:r>
      <w:r w:rsidRPr="00C12216">
        <w:rPr>
          <w:rStyle w:val="TextoNormalCaracter"/>
        </w:rPr>
        <w:t>-</w:t>
      </w:r>
      <w:r>
        <w:t xml:space="preserve"> Sentencia </w:t>
      </w:r>
      <w:hyperlink w:anchor="SENTENCIA_2008_26" w:history="1">
        <w:r w:rsidRPr="00C12216">
          <w:rPr>
            <w:rStyle w:val="TextoNormalCaracter"/>
          </w:rPr>
          <w:t>26/2008</w:t>
        </w:r>
      </w:hyperlink>
      <w:r>
        <w:t>, f. 8.</w:t>
      </w:r>
    </w:p>
    <w:p w:rsidR="00C12216" w:rsidRDefault="00C12216" w:rsidP="00C12216">
      <w:pPr>
        <w:pStyle w:val="SangriaFrancesaArticulo"/>
      </w:pPr>
      <w:r w:rsidRPr="00C12216">
        <w:rPr>
          <w:rStyle w:val="TextoNormalNegritaCaracter"/>
        </w:rPr>
        <w:t>Artículo 2 e).</w:t>
      </w:r>
      <w:r w:rsidRPr="00C12216">
        <w:rPr>
          <w:rStyle w:val="TextoNormalCaracter"/>
        </w:rPr>
        <w:t>-</w:t>
      </w:r>
      <w:r>
        <w:t xml:space="preserve"> Sentencia </w:t>
      </w:r>
      <w:hyperlink w:anchor="SENTENCIA_2008_11" w:history="1">
        <w:r w:rsidRPr="00C12216">
          <w:rPr>
            <w:rStyle w:val="TextoNormalCaracter"/>
          </w:rPr>
          <w:t>11/2008</w:t>
        </w:r>
      </w:hyperlink>
      <w:r>
        <w:t>, ff. 1, 5.</w:t>
      </w:r>
    </w:p>
    <w:p w:rsidR="00C12216" w:rsidRDefault="00C12216" w:rsidP="00C12216">
      <w:pPr>
        <w:pStyle w:val="SangriaFrancesaArticulo"/>
      </w:pPr>
      <w:r w:rsidRPr="00C12216">
        <w:rPr>
          <w:rStyle w:val="TextoNormalNegritaCaracter"/>
        </w:rPr>
        <w:t>Artículo 7.3.</w:t>
      </w:r>
      <w:r w:rsidRPr="00C12216">
        <w:rPr>
          <w:rStyle w:val="TextoNormalCaracter"/>
        </w:rPr>
        <w:t>-</w:t>
      </w:r>
      <w:r>
        <w:t xml:space="preserve"> Sentencia </w:t>
      </w:r>
      <w:hyperlink w:anchor="SENTENCIA_2008_26" w:history="1">
        <w:r w:rsidRPr="00C12216">
          <w:rPr>
            <w:rStyle w:val="TextoNormalCaracter"/>
          </w:rPr>
          <w:t>26/2008</w:t>
        </w:r>
      </w:hyperlink>
      <w:r>
        <w:t>, f. 9.</w:t>
      </w:r>
    </w:p>
    <w:p w:rsidR="00C12216" w:rsidRDefault="00C12216" w:rsidP="00C12216">
      <w:pPr>
        <w:pStyle w:val="SangriaFrancesaArticulo"/>
      </w:pPr>
      <w:r w:rsidRPr="00C12216">
        <w:rPr>
          <w:rStyle w:val="TextoNormalNegritaCaracter"/>
        </w:rPr>
        <w:t>Artículos 8 a 14.</w:t>
      </w:r>
      <w:r w:rsidRPr="00C12216">
        <w:rPr>
          <w:rStyle w:val="TextoNormalCaracter"/>
        </w:rPr>
        <w:t>-</w:t>
      </w:r>
      <w:r>
        <w:t xml:space="preserve"> Sentencia </w:t>
      </w:r>
      <w:hyperlink w:anchor="SENTENCIA_2008_26" w:history="1">
        <w:r w:rsidRPr="00C12216">
          <w:rPr>
            <w:rStyle w:val="TextoNormalCaracter"/>
          </w:rPr>
          <w:t>26/2008</w:t>
        </w:r>
      </w:hyperlink>
      <w:r>
        <w:t>, f. 9.</w:t>
      </w:r>
    </w:p>
    <w:p w:rsidR="00C12216" w:rsidRDefault="00C12216" w:rsidP="00C12216">
      <w:pPr>
        <w:pStyle w:val="SangriaFrancesaArticulo"/>
      </w:pPr>
      <w:r w:rsidRPr="00C12216">
        <w:rPr>
          <w:rStyle w:val="TextoNormalNegritaCaracter"/>
        </w:rPr>
        <w:t>Artículo 19.</w:t>
      </w:r>
      <w:r w:rsidRPr="00C12216">
        <w:rPr>
          <w:rStyle w:val="TextoNormalCaracter"/>
        </w:rPr>
        <w:t>-</w:t>
      </w:r>
      <w:r>
        <w:t xml:space="preserve"> Sentencia </w:t>
      </w:r>
      <w:hyperlink w:anchor="SENTENCIA_2008_26" w:history="1">
        <w:r w:rsidRPr="00C12216">
          <w:rPr>
            <w:rStyle w:val="TextoNormalCaracter"/>
          </w:rPr>
          <w:t>26/2008</w:t>
        </w:r>
      </w:hyperlink>
      <w:r>
        <w:t>, f. 8.</w:t>
      </w:r>
    </w:p>
    <w:p w:rsidR="00C12216" w:rsidRDefault="00C12216" w:rsidP="00C12216">
      <w:pPr>
        <w:pStyle w:val="SangriaFrancesaArticulo"/>
      </w:pPr>
      <w:r w:rsidRPr="00C12216">
        <w:rPr>
          <w:rStyle w:val="TextoNormalNegritaCaracter"/>
        </w:rPr>
        <w:t>Artículo 19 d).</w:t>
      </w:r>
      <w:r w:rsidRPr="00C12216">
        <w:rPr>
          <w:rStyle w:val="TextoNormalCaracter"/>
        </w:rPr>
        <w:t>-</w:t>
      </w:r>
      <w:r>
        <w:t xml:space="preserve"> Sentencia </w:t>
      </w:r>
      <w:hyperlink w:anchor="SENTENCIA_2008_26" w:history="1">
        <w:r w:rsidRPr="00C12216">
          <w:rPr>
            <w:rStyle w:val="TextoNormalCaracter"/>
          </w:rPr>
          <w:t>26/2008</w:t>
        </w:r>
      </w:hyperlink>
      <w:r>
        <w:t>, f. 10.</w:t>
      </w:r>
    </w:p>
    <w:p w:rsidR="00C12216" w:rsidRDefault="00C12216" w:rsidP="00C12216">
      <w:pPr>
        <w:pStyle w:val="SangriaFrancesaArticulo"/>
      </w:pPr>
      <w:r w:rsidRPr="00C12216">
        <w:rPr>
          <w:rStyle w:val="TextoNormalNegritaCaracter"/>
        </w:rPr>
        <w:t>Artículo 19.1 e).</w:t>
      </w:r>
      <w:r w:rsidRPr="00C12216">
        <w:rPr>
          <w:rStyle w:val="TextoNormalCaracter"/>
        </w:rPr>
        <w:t>-</w:t>
      </w:r>
      <w:r>
        <w:t xml:space="preserve"> Sentencia </w:t>
      </w:r>
      <w:hyperlink w:anchor="SENTENCIA_2008_26" w:history="1">
        <w:r w:rsidRPr="00C12216">
          <w:rPr>
            <w:rStyle w:val="TextoNormalCaracter"/>
          </w:rPr>
          <w:t>26/2008</w:t>
        </w:r>
      </w:hyperlink>
      <w:r>
        <w:t>, ff. 4, 10.</w:t>
      </w:r>
    </w:p>
    <w:p w:rsidR="00C12216" w:rsidRDefault="00C12216" w:rsidP="00C12216">
      <w:pPr>
        <w:pStyle w:val="SangriaFrancesaArticulo"/>
      </w:pPr>
      <w:r w:rsidRPr="00C12216">
        <w:rPr>
          <w:rStyle w:val="TextoNormalNegritaCaracter"/>
        </w:rPr>
        <w:t>Artículo 25.2.</w:t>
      </w:r>
      <w:r w:rsidRPr="00C12216">
        <w:rPr>
          <w:rStyle w:val="TextoNormalCaracter"/>
        </w:rPr>
        <w:t>-</w:t>
      </w:r>
      <w:r>
        <w:t xml:space="preserve"> Sentencia </w:t>
      </w:r>
      <w:hyperlink w:anchor="SENTENCIA_2008_26" w:history="1">
        <w:r w:rsidRPr="00C12216">
          <w:rPr>
            <w:rStyle w:val="TextoNormalCaracter"/>
          </w:rPr>
          <w:t>26/2008</w:t>
        </w:r>
      </w:hyperlink>
      <w:r>
        <w:t>, ff. 1, 6.</w:t>
      </w:r>
    </w:p>
    <w:p w:rsidR="00C12216" w:rsidRDefault="00C12216" w:rsidP="00C12216">
      <w:pPr>
        <w:pStyle w:val="SangriaFrancesaArticulo"/>
      </w:pPr>
      <w:r w:rsidRPr="00C12216">
        <w:rPr>
          <w:rStyle w:val="TextoNormalNegritaCaracter"/>
        </w:rPr>
        <w:t>Artículo 31.1.</w:t>
      </w:r>
      <w:r w:rsidRPr="00C12216">
        <w:rPr>
          <w:rStyle w:val="TextoNormalCaracter"/>
        </w:rPr>
        <w:t>-</w:t>
      </w:r>
      <w:r>
        <w:t xml:space="preserve"> Sentencia </w:t>
      </w:r>
      <w:hyperlink w:anchor="SENTENCIA_2008_26" w:history="1">
        <w:r w:rsidRPr="00C12216">
          <w:rPr>
            <w:rStyle w:val="TextoNormalCaracter"/>
          </w:rPr>
          <w:t>26/2008</w:t>
        </w:r>
      </w:hyperlink>
      <w:r>
        <w:t>, f. 8.</w:t>
      </w:r>
    </w:p>
    <w:p w:rsidR="00C12216" w:rsidRDefault="00C12216" w:rsidP="00C12216">
      <w:pPr>
        <w:pStyle w:val="SangriaFrancesaArticulo"/>
      </w:pPr>
      <w:r w:rsidRPr="00C12216">
        <w:rPr>
          <w:rStyle w:val="TextoNormalNegritaCaracter"/>
        </w:rPr>
        <w:t>Artículo 31.2.</w:t>
      </w:r>
      <w:r w:rsidRPr="00C12216">
        <w:rPr>
          <w:rStyle w:val="TextoNormalCaracter"/>
        </w:rPr>
        <w:t>-</w:t>
      </w:r>
      <w:r>
        <w:t xml:space="preserve"> Sentencia </w:t>
      </w:r>
      <w:hyperlink w:anchor="SENTENCIA_2008_26" w:history="1">
        <w:r w:rsidRPr="00C12216">
          <w:rPr>
            <w:rStyle w:val="TextoNormalCaracter"/>
          </w:rPr>
          <w:t>26/2008</w:t>
        </w:r>
      </w:hyperlink>
      <w:r>
        <w:t>, f. 8.</w:t>
      </w:r>
    </w:p>
    <w:p w:rsidR="00C12216" w:rsidRDefault="00C12216" w:rsidP="00C12216">
      <w:pPr>
        <w:pStyle w:val="SangriaFrancesaArticulo"/>
      </w:pPr>
      <w:r w:rsidRPr="00C12216">
        <w:rPr>
          <w:rStyle w:val="TextoNormalNegritaCaracter"/>
        </w:rPr>
        <w:t>Artículo 33.</w:t>
      </w:r>
      <w:r w:rsidRPr="00C12216">
        <w:rPr>
          <w:rStyle w:val="TextoNormalCaracter"/>
        </w:rPr>
        <w:t>-</w:t>
      </w:r>
      <w:r>
        <w:t xml:space="preserve"> Sentencia </w:t>
      </w:r>
      <w:hyperlink w:anchor="SENTENCIA_2008_44" w:history="1">
        <w:r w:rsidRPr="00C12216">
          <w:rPr>
            <w:rStyle w:val="TextoNormalCaracter"/>
          </w:rPr>
          <w:t>44/2008</w:t>
        </w:r>
      </w:hyperlink>
      <w:r>
        <w:t>, f. 2.</w:t>
      </w:r>
    </w:p>
    <w:p w:rsidR="00C12216" w:rsidRDefault="00C12216" w:rsidP="00C12216">
      <w:pPr>
        <w:pStyle w:val="SangriaFrancesaArticulo"/>
      </w:pPr>
      <w:r w:rsidRPr="00C12216">
        <w:rPr>
          <w:rStyle w:val="TextoNormalNegritaCaracter"/>
        </w:rPr>
        <w:t>Artículo 39.1.</w:t>
      </w:r>
      <w:r w:rsidRPr="00C12216">
        <w:rPr>
          <w:rStyle w:val="TextoNormalCaracter"/>
        </w:rPr>
        <w:t>-</w:t>
      </w:r>
      <w:r>
        <w:t xml:space="preserve"> Sentencia </w:t>
      </w:r>
      <w:hyperlink w:anchor="SENTENCIA_2008_26" w:history="1">
        <w:r w:rsidRPr="00C12216">
          <w:rPr>
            <w:rStyle w:val="TextoNormalCaracter"/>
          </w:rPr>
          <w:t>26/2008</w:t>
        </w:r>
      </w:hyperlink>
      <w:r>
        <w:t>, f. 7.</w:t>
      </w:r>
    </w:p>
    <w:p w:rsidR="00C12216" w:rsidRDefault="00C12216" w:rsidP="00C12216">
      <w:pPr>
        <w:pStyle w:val="SangriaFrancesaArticulo"/>
      </w:pPr>
      <w:r w:rsidRPr="00C12216">
        <w:rPr>
          <w:rStyle w:val="TextoNormalNegritaCaracter"/>
        </w:rPr>
        <w:t>Artículo 44.</w:t>
      </w:r>
      <w:r w:rsidRPr="00C12216">
        <w:rPr>
          <w:rStyle w:val="TextoNormalCaracter"/>
        </w:rPr>
        <w:t>-</w:t>
      </w:r>
      <w:r>
        <w:t xml:space="preserve"> Sentencia </w:t>
      </w:r>
      <w:hyperlink w:anchor="SENTENCIA_2008_26" w:history="1">
        <w:r w:rsidRPr="00C12216">
          <w:rPr>
            <w:rStyle w:val="TextoNormalCaracter"/>
          </w:rPr>
          <w:t>26/2008</w:t>
        </w:r>
      </w:hyperlink>
      <w:r>
        <w:t>, ff. 4, 8.</w:t>
      </w:r>
    </w:p>
    <w:p w:rsidR="00C12216" w:rsidRDefault="00C12216" w:rsidP="00C12216">
      <w:pPr>
        <w:pStyle w:val="SangriaFrancesaArticulo"/>
      </w:pPr>
      <w:r w:rsidRPr="00C12216">
        <w:rPr>
          <w:rStyle w:val="TextoNormalNegritaCaracter"/>
        </w:rPr>
        <w:t>Artículo 44.1.</w:t>
      </w:r>
      <w:r w:rsidRPr="00C12216">
        <w:rPr>
          <w:rStyle w:val="TextoNormalCaracter"/>
        </w:rPr>
        <w:t>-</w:t>
      </w:r>
      <w:r>
        <w:t xml:space="preserve"> Sentencia </w:t>
      </w:r>
      <w:hyperlink w:anchor="SENTENCIA_2008_26" w:history="1">
        <w:r w:rsidRPr="00C12216">
          <w:rPr>
            <w:rStyle w:val="TextoNormalCaracter"/>
          </w:rPr>
          <w:t>26/2008</w:t>
        </w:r>
      </w:hyperlink>
      <w:r>
        <w:t>, f. 10.</w:t>
      </w:r>
    </w:p>
    <w:p w:rsidR="00C12216" w:rsidRDefault="00C12216" w:rsidP="00C12216">
      <w:pPr>
        <w:pStyle w:val="SangriaFrancesaArticulo"/>
      </w:pPr>
      <w:r w:rsidRPr="00C12216">
        <w:rPr>
          <w:rStyle w:val="TextoNormalNegritaCaracter"/>
        </w:rPr>
        <w:t>Artículo 46.</w:t>
      </w:r>
      <w:r w:rsidRPr="00C12216">
        <w:rPr>
          <w:rStyle w:val="TextoNormalCaracter"/>
        </w:rPr>
        <w:t>-</w:t>
      </w:r>
      <w:r>
        <w:t xml:space="preserve"> Sentencia </w:t>
      </w:r>
      <w:hyperlink w:anchor="SENTENCIA_2008_3" w:history="1">
        <w:r w:rsidRPr="00C12216">
          <w:rPr>
            <w:rStyle w:val="TextoNormalCaracter"/>
          </w:rPr>
          <w:t>3/2008</w:t>
        </w:r>
      </w:hyperlink>
      <w:r>
        <w:t>, f. 2.</w:t>
      </w:r>
    </w:p>
    <w:p w:rsidR="00C12216" w:rsidRDefault="00C12216" w:rsidP="00C12216">
      <w:pPr>
        <w:pStyle w:val="SangriaFrancesaArticulo"/>
      </w:pPr>
      <w:r w:rsidRPr="00C12216">
        <w:rPr>
          <w:rStyle w:val="TextoNormalNegritaCaracter"/>
        </w:rPr>
        <w:t>Artículo 46.6.</w:t>
      </w:r>
      <w:r w:rsidRPr="00C12216">
        <w:rPr>
          <w:rStyle w:val="TextoNormalCaracter"/>
        </w:rPr>
        <w:t>-</w:t>
      </w:r>
      <w:r>
        <w:t xml:space="preserve"> Sentencia </w:t>
      </w:r>
      <w:hyperlink w:anchor="SENTENCIA_2008_26" w:history="1">
        <w:r w:rsidRPr="00C12216">
          <w:rPr>
            <w:rStyle w:val="TextoNormalCaracter"/>
          </w:rPr>
          <w:t>26/2008</w:t>
        </w:r>
      </w:hyperlink>
      <w:r>
        <w:t>, f. 10.</w:t>
      </w:r>
    </w:p>
    <w:p w:rsidR="00C12216" w:rsidRDefault="00C12216" w:rsidP="00C12216">
      <w:pPr>
        <w:pStyle w:val="SangriaFrancesaArticulo"/>
      </w:pPr>
      <w:r w:rsidRPr="00C12216">
        <w:rPr>
          <w:rStyle w:val="TextoNormalNegritaCaracter"/>
        </w:rPr>
        <w:t>Artículo 52.2.</w:t>
      </w:r>
      <w:r w:rsidRPr="00C12216">
        <w:rPr>
          <w:rStyle w:val="TextoNormalCaracter"/>
        </w:rPr>
        <w:t>-</w:t>
      </w:r>
      <w:r>
        <w:t xml:space="preserve"> Sentencia </w:t>
      </w:r>
      <w:hyperlink w:anchor="SENTENCIA_2008_24" w:history="1">
        <w:r w:rsidRPr="00C12216">
          <w:rPr>
            <w:rStyle w:val="TextoNormalCaracter"/>
          </w:rPr>
          <w:t>24/2008</w:t>
        </w:r>
      </w:hyperlink>
      <w:r>
        <w:t>, passim.</w:t>
      </w:r>
    </w:p>
    <w:p w:rsidR="00C12216" w:rsidRDefault="00C12216" w:rsidP="00C12216">
      <w:pPr>
        <w:pStyle w:val="SangriaFrancesaArticulo"/>
      </w:pPr>
      <w:r w:rsidRPr="00C12216">
        <w:rPr>
          <w:rStyle w:val="TextoNormalNegritaCaracter"/>
        </w:rPr>
        <w:t>Artículo 56.4.</w:t>
      </w:r>
      <w:r w:rsidRPr="00C12216">
        <w:rPr>
          <w:rStyle w:val="TextoNormalCaracter"/>
        </w:rPr>
        <w:t>-</w:t>
      </w:r>
      <w:r>
        <w:t xml:space="preserve"> Sentencia </w:t>
      </w:r>
      <w:hyperlink w:anchor="SENTENCIA_2008_16" w:history="1">
        <w:r w:rsidRPr="00C12216">
          <w:rPr>
            <w:rStyle w:val="TextoNormalCaracter"/>
          </w:rPr>
          <w:t>16/2008</w:t>
        </w:r>
      </w:hyperlink>
      <w:r>
        <w:t>, f. 3.</w:t>
      </w:r>
    </w:p>
    <w:p w:rsidR="00C12216" w:rsidRDefault="00C12216" w:rsidP="00C12216">
      <w:pPr>
        <w:pStyle w:val="SangriaFrancesaArticulo"/>
      </w:pPr>
      <w:r w:rsidRPr="00C12216">
        <w:rPr>
          <w:rStyle w:val="TextoNormalNegritaCaracter"/>
        </w:rPr>
        <w:t>Artículo 65.2.</w:t>
      </w:r>
      <w:r w:rsidRPr="00C12216">
        <w:rPr>
          <w:rStyle w:val="TextoNormalCaracter"/>
        </w:rPr>
        <w:t>-</w:t>
      </w:r>
      <w:r>
        <w:t xml:space="preserve"> Sentencia </w:t>
      </w:r>
      <w:hyperlink w:anchor="SENTENCIA_2008_1" w:history="1">
        <w:r w:rsidRPr="00C12216">
          <w:rPr>
            <w:rStyle w:val="TextoNormalCaracter"/>
          </w:rPr>
          <w:t>1/2008</w:t>
        </w:r>
      </w:hyperlink>
      <w:r>
        <w:t>, f. 1.</w:t>
      </w:r>
    </w:p>
    <w:p w:rsidR="00C12216" w:rsidRDefault="00C12216" w:rsidP="00C12216">
      <w:pPr>
        <w:pStyle w:val="SangriaFrancesaArticulo"/>
      </w:pPr>
      <w:r w:rsidRPr="00C12216">
        <w:rPr>
          <w:rStyle w:val="TextoNormalNegritaCaracter"/>
        </w:rPr>
        <w:t>Artículo 69 c).</w:t>
      </w:r>
      <w:r w:rsidRPr="00C12216">
        <w:rPr>
          <w:rStyle w:val="TextoNormalCaracter"/>
        </w:rPr>
        <w:t>-</w:t>
      </w:r>
      <w:r>
        <w:t xml:space="preserve"> Sentencias </w:t>
      </w:r>
      <w:hyperlink w:anchor="SENTENCIA_2008_14" w:history="1">
        <w:r w:rsidRPr="00C12216">
          <w:rPr>
            <w:rStyle w:val="TextoNormalCaracter"/>
          </w:rPr>
          <w:t>14/2008</w:t>
        </w:r>
      </w:hyperlink>
      <w:r>
        <w:t xml:space="preserve">, f. 4; </w:t>
      </w:r>
      <w:hyperlink w:anchor="SENTENCIA_2008_26" w:history="1">
        <w:r w:rsidRPr="00C12216">
          <w:rPr>
            <w:rStyle w:val="TextoNormalCaracter"/>
          </w:rPr>
          <w:t>26/2008</w:t>
        </w:r>
      </w:hyperlink>
      <w:r>
        <w:t>, ff. 1, 2, 6, 11.</w:t>
      </w:r>
    </w:p>
    <w:p w:rsidR="00C12216" w:rsidRDefault="00C12216" w:rsidP="00C12216">
      <w:pPr>
        <w:pStyle w:val="SangriaIzquierdaArticulo"/>
      </w:pPr>
      <w:r>
        <w:t xml:space="preserve">Auto </w:t>
      </w:r>
      <w:hyperlink w:anchor="AUTO_2008_61" w:history="1">
        <w:r w:rsidRPr="00C12216">
          <w:rPr>
            <w:rStyle w:val="TextoNormalCaracter"/>
          </w:rPr>
          <w:t>61/2008</w:t>
        </w:r>
      </w:hyperlink>
      <w:r>
        <w:t>.</w:t>
      </w:r>
    </w:p>
    <w:p w:rsidR="00C12216" w:rsidRDefault="00C12216" w:rsidP="00C12216">
      <w:pPr>
        <w:pStyle w:val="SangriaFrancesaArticulo"/>
      </w:pPr>
      <w:r w:rsidRPr="00C12216">
        <w:rPr>
          <w:rStyle w:val="TextoNormalNegritaCaracter"/>
        </w:rPr>
        <w:t>Artículo 81.1 c).</w:t>
      </w:r>
      <w:r w:rsidRPr="00C12216">
        <w:rPr>
          <w:rStyle w:val="TextoNormalCaracter"/>
        </w:rPr>
        <w:t>-</w:t>
      </w:r>
      <w:r>
        <w:t xml:space="preserve"> Sentencia </w:t>
      </w:r>
      <w:hyperlink w:anchor="SENTENCIA_2008_26" w:history="1">
        <w:r w:rsidRPr="00C12216">
          <w:rPr>
            <w:rStyle w:val="TextoNormalCaracter"/>
          </w:rPr>
          <w:t>26/2008</w:t>
        </w:r>
      </w:hyperlink>
      <w:r>
        <w:t>, f. 10.</w:t>
      </w:r>
    </w:p>
    <w:p w:rsidR="00C12216" w:rsidRDefault="00C12216" w:rsidP="00C12216">
      <w:pPr>
        <w:pStyle w:val="SangriaFrancesaArticulo"/>
      </w:pPr>
      <w:r w:rsidRPr="00C12216">
        <w:rPr>
          <w:rStyle w:val="TextoNormalNegritaCaracter"/>
        </w:rPr>
        <w:t>Artículo 86.</w:t>
      </w:r>
      <w:r w:rsidRPr="00C12216">
        <w:rPr>
          <w:rStyle w:val="TextoNormalCaracter"/>
        </w:rPr>
        <w:t>-</w:t>
      </w:r>
      <w:r>
        <w:t xml:space="preserve"> Sentencia </w:t>
      </w:r>
      <w:hyperlink w:anchor="SENTENCIA_2008_26" w:history="1">
        <w:r w:rsidRPr="00C12216">
          <w:rPr>
            <w:rStyle w:val="TextoNormalCaracter"/>
          </w:rPr>
          <w:t>26/2008</w:t>
        </w:r>
      </w:hyperlink>
      <w:r>
        <w:t>, f. 2.</w:t>
      </w:r>
    </w:p>
    <w:p w:rsidR="00C12216" w:rsidRDefault="00C12216" w:rsidP="00C12216">
      <w:pPr>
        <w:pStyle w:val="SangriaFrancesaArticulo"/>
      </w:pPr>
      <w:r w:rsidRPr="00C12216">
        <w:rPr>
          <w:rStyle w:val="TextoNormalNegritaCaracter"/>
        </w:rPr>
        <w:t>Artículo 86.2 b).</w:t>
      </w:r>
      <w:r w:rsidRPr="00C12216">
        <w:rPr>
          <w:rStyle w:val="TextoNormalCaracter"/>
        </w:rPr>
        <w:t>-</w:t>
      </w:r>
      <w:r>
        <w:t xml:space="preserve"> Sentencias </w:t>
      </w:r>
      <w:hyperlink w:anchor="SENTENCIA_2008_1" w:history="1">
        <w:r w:rsidRPr="00C12216">
          <w:rPr>
            <w:rStyle w:val="TextoNormalCaracter"/>
          </w:rPr>
          <w:t>1/2008</w:t>
        </w:r>
      </w:hyperlink>
      <w:r>
        <w:t xml:space="preserve">, f. 2; </w:t>
      </w:r>
      <w:hyperlink w:anchor="SENTENCIA_2008_25" w:history="1">
        <w:r w:rsidRPr="00C12216">
          <w:rPr>
            <w:rStyle w:val="TextoNormalCaracter"/>
          </w:rPr>
          <w:t>25/2008</w:t>
        </w:r>
      </w:hyperlink>
      <w:r>
        <w:t>, f. 3.</w:t>
      </w:r>
    </w:p>
    <w:p w:rsidR="00C12216" w:rsidRDefault="00C12216" w:rsidP="00C12216">
      <w:pPr>
        <w:pStyle w:val="SangriaFrancesaArticulo"/>
      </w:pPr>
      <w:r w:rsidRPr="00C12216">
        <w:rPr>
          <w:rStyle w:val="TextoNormalNegritaCaracter"/>
        </w:rPr>
        <w:t>Artículo 89.2.</w:t>
      </w:r>
      <w:r w:rsidRPr="00C12216">
        <w:rPr>
          <w:rStyle w:val="TextoNormalCaracter"/>
        </w:rPr>
        <w:t>-</w:t>
      </w:r>
      <w:r>
        <w:t xml:space="preserve"> Sentencia </w:t>
      </w:r>
      <w:hyperlink w:anchor="SENTENCIA_2008_26" w:history="1">
        <w:r w:rsidRPr="00C12216">
          <w:rPr>
            <w:rStyle w:val="TextoNormalCaracter"/>
          </w:rPr>
          <w:t>26/2008</w:t>
        </w:r>
      </w:hyperlink>
      <w:r>
        <w:t>, f. 2.</w:t>
      </w:r>
    </w:p>
    <w:p w:rsidR="00C12216" w:rsidRDefault="00C12216" w:rsidP="00C12216">
      <w:pPr>
        <w:pStyle w:val="SangriaFrancesaArticulo"/>
      </w:pPr>
      <w:r w:rsidRPr="00C12216">
        <w:rPr>
          <w:rStyle w:val="TextoNormalNegritaCaracter"/>
        </w:rPr>
        <w:t>Artículo 109.</w:t>
      </w:r>
      <w:r w:rsidRPr="00C12216">
        <w:rPr>
          <w:rStyle w:val="TextoNormalCaracter"/>
        </w:rPr>
        <w:t>-</w:t>
      </w:r>
      <w:r>
        <w:t xml:space="preserve"> Auto </w:t>
      </w:r>
      <w:hyperlink w:anchor="AUTO_2008_117" w:history="1">
        <w:r w:rsidRPr="00C12216">
          <w:rPr>
            <w:rStyle w:val="TextoNormalCaracter"/>
          </w:rPr>
          <w:t>117/2008</w:t>
        </w:r>
      </w:hyperlink>
      <w:r>
        <w:t>.</w:t>
      </w:r>
    </w:p>
    <w:p w:rsidR="00C12216" w:rsidRDefault="00C12216" w:rsidP="00C12216">
      <w:pPr>
        <w:pStyle w:val="SangriaFrancesaArticulo"/>
      </w:pPr>
      <w:r w:rsidRPr="00C12216">
        <w:rPr>
          <w:rStyle w:val="TextoNormalNegritaCaracter"/>
        </w:rPr>
        <w:t>Artículo 129.</w:t>
      </w:r>
      <w:r w:rsidRPr="00C12216">
        <w:rPr>
          <w:rStyle w:val="TextoNormalCaracter"/>
        </w:rPr>
        <w:t>-</w:t>
      </w:r>
      <w:r>
        <w:t xml:space="preserve"> Sentencia </w:t>
      </w:r>
      <w:hyperlink w:anchor="SENTENCIA_2008_26" w:history="1">
        <w:r w:rsidRPr="00C12216">
          <w:rPr>
            <w:rStyle w:val="TextoNormalCaracter"/>
          </w:rPr>
          <w:t>26/2008</w:t>
        </w:r>
      </w:hyperlink>
      <w:r>
        <w:t>, f. 6.</w:t>
      </w:r>
    </w:p>
    <w:p w:rsidR="00C12216" w:rsidRDefault="00C12216" w:rsidP="00C12216">
      <w:pPr>
        <w:pStyle w:val="SangriaFrancesaArticulo"/>
      </w:pPr>
      <w:r w:rsidRPr="00C12216">
        <w:rPr>
          <w:rStyle w:val="TextoNormalNegritaCaracter"/>
        </w:rPr>
        <w:t>Artículo 130.</w:t>
      </w:r>
      <w:r w:rsidRPr="00C12216">
        <w:rPr>
          <w:rStyle w:val="TextoNormalCaracter"/>
        </w:rPr>
        <w:t>-</w:t>
      </w:r>
      <w:r>
        <w:t xml:space="preserve"> Sentencia </w:t>
      </w:r>
      <w:hyperlink w:anchor="SENTENCIA_2008_26" w:history="1">
        <w:r w:rsidRPr="00C12216">
          <w:rPr>
            <w:rStyle w:val="TextoNormalCaracter"/>
          </w:rPr>
          <w:t>26/2008</w:t>
        </w:r>
      </w:hyperlink>
      <w:r>
        <w:t>, f. 6.</w:t>
      </w:r>
    </w:p>
    <w:p w:rsidR="00C12216" w:rsidRDefault="00C12216" w:rsidP="00C12216">
      <w:pPr>
        <w:pStyle w:val="SangriaFrancesaArticulo"/>
      </w:pPr>
      <w:r w:rsidRPr="00C12216">
        <w:rPr>
          <w:rStyle w:val="TextoNormalNegritaCaracter"/>
        </w:rPr>
        <w:t>Artículo 138.</w:t>
      </w:r>
      <w:r w:rsidRPr="00C12216">
        <w:rPr>
          <w:rStyle w:val="TextoNormalCaracter"/>
        </w:rPr>
        <w:t>-</w:t>
      </w:r>
      <w:r>
        <w:t xml:space="preserve"> Sentencia </w:t>
      </w:r>
      <w:hyperlink w:anchor="SENTENCIA_2008_14" w:history="1">
        <w:r w:rsidRPr="00C12216">
          <w:rPr>
            <w:rStyle w:val="TextoNormalCaracter"/>
          </w:rPr>
          <w:t>14/2008</w:t>
        </w:r>
      </w:hyperlink>
      <w:r>
        <w:t>, f. 4.</w:t>
      </w:r>
    </w:p>
    <w:p w:rsidR="00C12216" w:rsidRDefault="00C12216" w:rsidP="00C12216">
      <w:pPr>
        <w:pStyle w:val="SangriaFrancesaArticulo"/>
      </w:pPr>
      <w:r w:rsidRPr="00C12216">
        <w:rPr>
          <w:rStyle w:val="TextoNormalNegritaCaracter"/>
        </w:rPr>
        <w:t>Disposición adicional primera, apartado 1.</w:t>
      </w:r>
      <w:r w:rsidRPr="00C12216">
        <w:rPr>
          <w:rStyle w:val="TextoNormalCaracter"/>
        </w:rPr>
        <w:t>-</w:t>
      </w:r>
      <w:r>
        <w:t xml:space="preserve"> Sentencia </w:t>
      </w:r>
      <w:hyperlink w:anchor="SENTENCIA_2008_26" w:history="1">
        <w:r w:rsidRPr="00C12216">
          <w:rPr>
            <w:rStyle w:val="TextoNormalCaracter"/>
          </w:rPr>
          <w:t>26/2008</w:t>
        </w:r>
      </w:hyperlink>
      <w:r>
        <w:t>, f. 8.</w:t>
      </w:r>
    </w:p>
    <w:p w:rsidR="00C12216" w:rsidRDefault="00C12216" w:rsidP="00C12216">
      <w:pPr>
        <w:pStyle w:val="SangriaFrancesaArticulo"/>
      </w:pPr>
    </w:p>
    <w:p w:rsidR="00C12216" w:rsidRDefault="00C12216" w:rsidP="00C12216">
      <w:pPr>
        <w:pStyle w:val="TextoNormalNegritaCursivandice"/>
      </w:pPr>
      <w:r>
        <w:t>Ley 55/1999, de 29 de diciembre. Medidas fiscales, administrativas y del orden social</w:t>
      </w:r>
    </w:p>
    <w:p w:rsidR="00C12216" w:rsidRDefault="00C12216" w:rsidP="00C12216">
      <w:pPr>
        <w:pStyle w:val="SangriaFrancesaArticulo"/>
      </w:pPr>
      <w:r w:rsidRPr="00C12216">
        <w:rPr>
          <w:rStyle w:val="TextoNormalNegritaCaracter"/>
        </w:rPr>
        <w:t>Artículo 68.</w:t>
      </w:r>
      <w:r w:rsidRPr="00C12216">
        <w:rPr>
          <w:rStyle w:val="TextoNormalCaracter"/>
        </w:rPr>
        <w:t>-</w:t>
      </w:r>
      <w:r>
        <w:t xml:space="preserve"> Sentencia </w:t>
      </w:r>
      <w:hyperlink w:anchor="SENTENCIA_2008_47" w:history="1">
        <w:r w:rsidRPr="00C12216">
          <w:rPr>
            <w:rStyle w:val="TextoNormalCaracter"/>
          </w:rPr>
          <w:t>47/2008</w:t>
        </w:r>
      </w:hyperlink>
      <w:r>
        <w:t>, f. 1.</w:t>
      </w:r>
    </w:p>
    <w:p w:rsidR="00C12216" w:rsidRDefault="00C12216" w:rsidP="00C12216">
      <w:pPr>
        <w:pStyle w:val="SangriaFrancesaArticulo"/>
      </w:pPr>
    </w:p>
    <w:p w:rsidR="00C12216" w:rsidRDefault="00C12216" w:rsidP="00C12216">
      <w:pPr>
        <w:pStyle w:val="TextoNormalNegritaCursivandice"/>
      </w:pPr>
      <w:r>
        <w:t>Ley 1/2000, de 7 de enero. Enjuiciamiento civil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Sentencias </w:t>
      </w:r>
      <w:hyperlink w:anchor="SENTENCIA_2008_49" w:history="1">
        <w:r w:rsidRPr="00C12216">
          <w:rPr>
            <w:rStyle w:val="TextoNormalCaracter"/>
          </w:rPr>
          <w:t>49/2008</w:t>
        </w:r>
      </w:hyperlink>
      <w:r>
        <w:t xml:space="preserve">, f. 2; </w:t>
      </w:r>
      <w:hyperlink w:anchor="SENTENCIA_2008_55" w:history="1">
        <w:r w:rsidRPr="00C12216">
          <w:rPr>
            <w:rStyle w:val="TextoNormalCaracter"/>
          </w:rPr>
          <w:t>55/2008</w:t>
        </w:r>
      </w:hyperlink>
      <w:r>
        <w:t xml:space="preserve">, f. 4; </w:t>
      </w:r>
      <w:hyperlink w:anchor="SENTENCIA_2008_58" w:history="1">
        <w:r w:rsidRPr="00C12216">
          <w:rPr>
            <w:rStyle w:val="TextoNormalCaracter"/>
          </w:rPr>
          <w:t>58/2008</w:t>
        </w:r>
      </w:hyperlink>
      <w:r>
        <w:t>, f. 3.</w:t>
      </w:r>
    </w:p>
    <w:p w:rsidR="00C12216" w:rsidRDefault="00C12216" w:rsidP="00C12216">
      <w:pPr>
        <w:pStyle w:val="SangriaFrancesaArticulo"/>
      </w:pPr>
      <w:r w:rsidRPr="00C12216">
        <w:rPr>
          <w:rStyle w:val="TextoNormalNegritaCaracter"/>
        </w:rPr>
        <w:t>Artículo 4.</w:t>
      </w:r>
      <w:r w:rsidRPr="00C12216">
        <w:rPr>
          <w:rStyle w:val="TextoNormalCaracter"/>
        </w:rPr>
        <w:t>-</w:t>
      </w:r>
      <w:r>
        <w:t xml:space="preserve"> Sentencia </w:t>
      </w:r>
      <w:hyperlink w:anchor="SENTENCIA_2008_24" w:history="1">
        <w:r w:rsidRPr="00C12216">
          <w:rPr>
            <w:rStyle w:val="TextoNormalCaracter"/>
          </w:rPr>
          <w:t>24/2008</w:t>
        </w:r>
      </w:hyperlink>
      <w:r>
        <w:t>, f. 3.</w:t>
      </w:r>
    </w:p>
    <w:p w:rsidR="00C12216" w:rsidRDefault="00C12216" w:rsidP="00C12216">
      <w:pPr>
        <w:pStyle w:val="SangriaFrancesaArticulo"/>
      </w:pPr>
      <w:r w:rsidRPr="00C12216">
        <w:rPr>
          <w:rStyle w:val="TextoNormalNegritaCaracter"/>
        </w:rPr>
        <w:t>Artículo 16.1.2.</w:t>
      </w:r>
      <w:r w:rsidRPr="00C12216">
        <w:rPr>
          <w:rStyle w:val="TextoNormalCaracter"/>
        </w:rPr>
        <w:t>-</w:t>
      </w:r>
      <w:r>
        <w:t xml:space="preserve"> Sentencia </w:t>
      </w:r>
      <w:hyperlink w:anchor="SENTENCIA_2008_17" w:history="1">
        <w:r w:rsidRPr="00C12216">
          <w:rPr>
            <w:rStyle w:val="TextoNormalCaracter"/>
          </w:rPr>
          <w:t>17/2008</w:t>
        </w:r>
      </w:hyperlink>
      <w:r>
        <w:t>, f. 2.</w:t>
      </w:r>
    </w:p>
    <w:p w:rsidR="00C12216" w:rsidRDefault="00C12216" w:rsidP="00C12216">
      <w:pPr>
        <w:pStyle w:val="SangriaFrancesaArticulo"/>
      </w:pPr>
      <w:r w:rsidRPr="00C12216">
        <w:rPr>
          <w:rStyle w:val="TextoNormalNegritaCaracter"/>
        </w:rPr>
        <w:t>Artículo 19.1.</w:t>
      </w:r>
      <w:r w:rsidRPr="00C12216">
        <w:rPr>
          <w:rStyle w:val="TextoNormalCaracter"/>
        </w:rPr>
        <w:t>-</w:t>
      </w:r>
      <w:r>
        <w:t xml:space="preserve"> Autos </w:t>
      </w:r>
      <w:hyperlink w:anchor="AUTO_2008_22" w:history="1">
        <w:r w:rsidRPr="00C12216">
          <w:rPr>
            <w:rStyle w:val="TextoNormalCaracter"/>
          </w:rPr>
          <w:t>22/2008</w:t>
        </w:r>
      </w:hyperlink>
      <w:r>
        <w:t xml:space="preserve">; </w:t>
      </w:r>
      <w:hyperlink w:anchor="AUTO_2008_34" w:history="1">
        <w:r w:rsidRPr="00C12216">
          <w:rPr>
            <w:rStyle w:val="TextoNormalCaracter"/>
          </w:rPr>
          <w:t>34/2008</w:t>
        </w:r>
      </w:hyperlink>
      <w:r>
        <w:t xml:space="preserve">; </w:t>
      </w:r>
      <w:hyperlink w:anchor="AUTO_2008_79" w:history="1">
        <w:r w:rsidRPr="00C12216">
          <w:rPr>
            <w:rStyle w:val="TextoNormalCaracter"/>
          </w:rPr>
          <w:t>79/2008</w:t>
        </w:r>
      </w:hyperlink>
      <w:r>
        <w:t>.</w:t>
      </w:r>
    </w:p>
    <w:p w:rsidR="00C12216" w:rsidRDefault="00C12216" w:rsidP="00C12216">
      <w:pPr>
        <w:pStyle w:val="SangriaFrancesaArticulo"/>
      </w:pPr>
      <w:r w:rsidRPr="00C12216">
        <w:rPr>
          <w:rStyle w:val="TextoNormalNegritaCaracter"/>
        </w:rPr>
        <w:lastRenderedPageBreak/>
        <w:t>Artículo 19.3.</w:t>
      </w:r>
      <w:r w:rsidRPr="00C12216">
        <w:rPr>
          <w:rStyle w:val="TextoNormalCaracter"/>
        </w:rPr>
        <w:t>-</w:t>
      </w:r>
      <w:r>
        <w:t xml:space="preserve"> Autos </w:t>
      </w:r>
      <w:hyperlink w:anchor="AUTO_2008_22" w:history="1">
        <w:r w:rsidRPr="00C12216">
          <w:rPr>
            <w:rStyle w:val="TextoNormalCaracter"/>
          </w:rPr>
          <w:t>22/2008</w:t>
        </w:r>
      </w:hyperlink>
      <w:r>
        <w:t xml:space="preserve">; </w:t>
      </w:r>
      <w:hyperlink w:anchor="AUTO_2008_79" w:history="1">
        <w:r w:rsidRPr="00C12216">
          <w:rPr>
            <w:rStyle w:val="TextoNormalCaracter"/>
          </w:rPr>
          <w:t>79/2008</w:t>
        </w:r>
      </w:hyperlink>
      <w:r>
        <w:t>.</w:t>
      </w:r>
    </w:p>
    <w:p w:rsidR="00C12216" w:rsidRDefault="00C12216" w:rsidP="00C12216">
      <w:pPr>
        <w:pStyle w:val="SangriaFrancesaArticulo"/>
      </w:pPr>
      <w:r w:rsidRPr="00C12216">
        <w:rPr>
          <w:rStyle w:val="TextoNormalNegritaCaracter"/>
        </w:rPr>
        <w:t>Artículo 20.2.</w:t>
      </w:r>
      <w:r w:rsidRPr="00C12216">
        <w:rPr>
          <w:rStyle w:val="TextoNormalCaracter"/>
        </w:rPr>
        <w:t>-</w:t>
      </w:r>
      <w:r>
        <w:t xml:space="preserve"> Autos </w:t>
      </w:r>
      <w:hyperlink w:anchor="AUTO_2008_22" w:history="1">
        <w:r w:rsidRPr="00C12216">
          <w:rPr>
            <w:rStyle w:val="TextoNormalCaracter"/>
          </w:rPr>
          <w:t>22/2008</w:t>
        </w:r>
      </w:hyperlink>
      <w:r>
        <w:t xml:space="preserve">; </w:t>
      </w:r>
      <w:hyperlink w:anchor="AUTO_2008_34" w:history="1">
        <w:r w:rsidRPr="00C12216">
          <w:rPr>
            <w:rStyle w:val="TextoNormalCaracter"/>
          </w:rPr>
          <w:t>34/2008</w:t>
        </w:r>
      </w:hyperlink>
      <w:r>
        <w:t xml:space="preserve">; </w:t>
      </w:r>
      <w:hyperlink w:anchor="AUTO_2008_79" w:history="1">
        <w:r w:rsidRPr="00C12216">
          <w:rPr>
            <w:rStyle w:val="TextoNormalCaracter"/>
          </w:rPr>
          <w:t>79/2008</w:t>
        </w:r>
      </w:hyperlink>
      <w:r>
        <w:t>.</w:t>
      </w:r>
    </w:p>
    <w:p w:rsidR="00C12216" w:rsidRDefault="00C12216" w:rsidP="00C12216">
      <w:pPr>
        <w:pStyle w:val="SangriaFrancesaArticulo"/>
      </w:pPr>
      <w:r w:rsidRPr="00C12216">
        <w:rPr>
          <w:rStyle w:val="TextoNormalNegritaCaracter"/>
        </w:rPr>
        <w:t>Artículo 20.3.</w:t>
      </w:r>
      <w:r w:rsidRPr="00C12216">
        <w:rPr>
          <w:rStyle w:val="TextoNormalCaracter"/>
        </w:rPr>
        <w:t>-</w:t>
      </w:r>
      <w:r>
        <w:t xml:space="preserve"> Autos </w:t>
      </w:r>
      <w:hyperlink w:anchor="AUTO_2008_22" w:history="1">
        <w:r w:rsidRPr="00C12216">
          <w:rPr>
            <w:rStyle w:val="TextoNormalCaracter"/>
          </w:rPr>
          <w:t>22/2008</w:t>
        </w:r>
      </w:hyperlink>
      <w:r>
        <w:t xml:space="preserve">; </w:t>
      </w:r>
      <w:hyperlink w:anchor="AUTO_2008_34" w:history="1">
        <w:r w:rsidRPr="00C12216">
          <w:rPr>
            <w:rStyle w:val="TextoNormalCaracter"/>
          </w:rPr>
          <w:t>34/2008</w:t>
        </w:r>
      </w:hyperlink>
      <w:r>
        <w:t xml:space="preserve">; </w:t>
      </w:r>
      <w:hyperlink w:anchor="AUTO_2008_79" w:history="1">
        <w:r w:rsidRPr="00C12216">
          <w:rPr>
            <w:rStyle w:val="TextoNormalCaracter"/>
          </w:rPr>
          <w:t>79/2008</w:t>
        </w:r>
      </w:hyperlink>
      <w:r>
        <w:t>.</w:t>
      </w:r>
    </w:p>
    <w:p w:rsidR="00C12216" w:rsidRDefault="00C12216" w:rsidP="00C12216">
      <w:pPr>
        <w:pStyle w:val="SangriaFrancesaArticulo"/>
      </w:pPr>
      <w:r w:rsidRPr="00C12216">
        <w:rPr>
          <w:rStyle w:val="TextoNormalNegritaCaracter"/>
        </w:rPr>
        <w:t>Artículo 25.2.1.</w:t>
      </w:r>
      <w:r w:rsidRPr="00C12216">
        <w:rPr>
          <w:rStyle w:val="TextoNormalCaracter"/>
        </w:rPr>
        <w:t>-</w:t>
      </w:r>
      <w:r>
        <w:t xml:space="preserve"> Auto </w:t>
      </w:r>
      <w:hyperlink w:anchor="AUTO_2008_34" w:history="1">
        <w:r w:rsidRPr="00C12216">
          <w:rPr>
            <w:rStyle w:val="TextoNormalCaracter"/>
          </w:rPr>
          <w:t>34/2008</w:t>
        </w:r>
      </w:hyperlink>
      <w:r>
        <w:t>.</w:t>
      </w:r>
    </w:p>
    <w:p w:rsidR="00C12216" w:rsidRDefault="00C12216" w:rsidP="00C12216">
      <w:pPr>
        <w:pStyle w:val="SangriaFrancesaArticulo"/>
      </w:pPr>
      <w:r w:rsidRPr="00C12216">
        <w:rPr>
          <w:rStyle w:val="TextoNormalNegritaCaracter"/>
        </w:rPr>
        <w:t>Artículo 99.2.</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135.</w:t>
      </w:r>
      <w:r w:rsidRPr="00C12216">
        <w:rPr>
          <w:rStyle w:val="TextoNormalCaracter"/>
        </w:rPr>
        <w:t>-</w:t>
      </w:r>
      <w:r>
        <w:t xml:space="preserve"> Sentencia </w:t>
      </w:r>
      <w:hyperlink w:anchor="SENTENCIA_2008_24" w:history="1">
        <w:r w:rsidRPr="00C12216">
          <w:rPr>
            <w:rStyle w:val="TextoNormalCaracter"/>
          </w:rPr>
          <w:t>24/2008</w:t>
        </w:r>
      </w:hyperlink>
      <w:r>
        <w:t>, f. 3.</w:t>
      </w:r>
    </w:p>
    <w:p w:rsidR="00C12216" w:rsidRDefault="00C12216" w:rsidP="00C12216">
      <w:pPr>
        <w:pStyle w:val="SangriaFrancesaArticulo"/>
      </w:pPr>
      <w:r w:rsidRPr="00C12216">
        <w:rPr>
          <w:rStyle w:val="TextoNormalNegritaCaracter"/>
        </w:rPr>
        <w:t>Artículo 135.1.</w:t>
      </w:r>
      <w:r w:rsidRPr="00C12216">
        <w:rPr>
          <w:rStyle w:val="TextoNormalCaracter"/>
        </w:rPr>
        <w:t>-</w:t>
      </w:r>
      <w:r>
        <w:t xml:space="preserve"> Sentencia </w:t>
      </w:r>
      <w:hyperlink w:anchor="SENTENCIA_2008_24" w:history="1">
        <w:r w:rsidRPr="00C12216">
          <w:rPr>
            <w:rStyle w:val="TextoNormalCaracter"/>
          </w:rPr>
          <w:t>24/2008</w:t>
        </w:r>
      </w:hyperlink>
      <w:r>
        <w:t>, ff. 2, 3.</w:t>
      </w:r>
    </w:p>
    <w:p w:rsidR="00C12216" w:rsidRDefault="00C12216" w:rsidP="00C12216">
      <w:pPr>
        <w:pStyle w:val="SangriaFrancesaArticulo"/>
      </w:pPr>
      <w:r w:rsidRPr="00C12216">
        <w:rPr>
          <w:rStyle w:val="TextoNormalNegritaCaracter"/>
        </w:rPr>
        <w:t>Artículo 136.</w:t>
      </w:r>
      <w:r w:rsidRPr="00C12216">
        <w:rPr>
          <w:rStyle w:val="TextoNormalCaracter"/>
        </w:rPr>
        <w:t>-</w:t>
      </w:r>
      <w:r>
        <w:t xml:space="preserve"> Auto </w:t>
      </w:r>
      <w:hyperlink w:anchor="AUTO_2008_47" w:history="1">
        <w:r w:rsidRPr="00C12216">
          <w:rPr>
            <w:rStyle w:val="TextoNormalCaracter"/>
          </w:rPr>
          <w:t>47/2008</w:t>
        </w:r>
      </w:hyperlink>
      <w:r>
        <w:t>.</w:t>
      </w:r>
    </w:p>
    <w:p w:rsidR="00C12216" w:rsidRDefault="00C12216" w:rsidP="00C12216">
      <w:pPr>
        <w:pStyle w:val="SangriaFrancesaArticulo"/>
      </w:pPr>
      <w:r w:rsidRPr="00C12216">
        <w:rPr>
          <w:rStyle w:val="TextoNormalNegritaCaracter"/>
        </w:rPr>
        <w:t>Artículo 215.</w:t>
      </w:r>
      <w:r w:rsidRPr="00C12216">
        <w:rPr>
          <w:rStyle w:val="TextoNormalCaracter"/>
        </w:rPr>
        <w:t>-</w:t>
      </w:r>
      <w:r>
        <w:t xml:space="preserve"> Sentencia </w:t>
      </w:r>
      <w:hyperlink w:anchor="SENTENCIA_2008_11" w:history="1">
        <w:r w:rsidRPr="00C12216">
          <w:rPr>
            <w:rStyle w:val="TextoNormalCaracter"/>
          </w:rPr>
          <w:t>11/2008</w:t>
        </w:r>
      </w:hyperlink>
      <w:r>
        <w:t>, f. 4.</w:t>
      </w:r>
    </w:p>
    <w:p w:rsidR="00C12216" w:rsidRDefault="00C12216" w:rsidP="00C12216">
      <w:pPr>
        <w:pStyle w:val="SangriaFrancesaArticulo"/>
      </w:pPr>
      <w:r w:rsidRPr="00C12216">
        <w:rPr>
          <w:rStyle w:val="TextoNormalNegritaCaracter"/>
        </w:rPr>
        <w:t>Artículo 231.</w:t>
      </w:r>
      <w:r w:rsidRPr="00C12216">
        <w:rPr>
          <w:rStyle w:val="TextoNormalCaracter"/>
        </w:rPr>
        <w:t>-</w:t>
      </w:r>
      <w:r>
        <w:t xml:space="preserve"> Sentencia </w:t>
      </w:r>
      <w:hyperlink w:anchor="SENTENCIA_2008_33" w:history="1">
        <w:r w:rsidRPr="00C12216">
          <w:rPr>
            <w:rStyle w:val="TextoNormalCaracter"/>
          </w:rPr>
          <w:t>33/2008</w:t>
        </w:r>
      </w:hyperlink>
      <w:r>
        <w:t>, f. 4.</w:t>
      </w:r>
    </w:p>
    <w:p w:rsidR="00C12216" w:rsidRDefault="00C12216" w:rsidP="00C12216">
      <w:pPr>
        <w:pStyle w:val="SangriaFrancesaArticulo"/>
      </w:pPr>
      <w:r w:rsidRPr="00C12216">
        <w:rPr>
          <w:rStyle w:val="TextoNormalNegritaCaracter"/>
        </w:rPr>
        <w:t>Artículo 249.1.</w:t>
      </w:r>
      <w:r w:rsidRPr="00C12216">
        <w:rPr>
          <w:rStyle w:val="TextoNormalCaracter"/>
        </w:rPr>
        <w:t>-</w:t>
      </w:r>
      <w:r>
        <w:t xml:space="preserve"> Sentencia </w:t>
      </w:r>
      <w:hyperlink w:anchor="SENTENCIA_2008_45" w:history="1">
        <w:r w:rsidRPr="00C12216">
          <w:rPr>
            <w:rStyle w:val="TextoNormalCaracter"/>
          </w:rPr>
          <w:t>45/2008</w:t>
        </w:r>
      </w:hyperlink>
      <w:r>
        <w:t>, f. 2.</w:t>
      </w:r>
    </w:p>
    <w:p w:rsidR="00C12216" w:rsidRDefault="00C12216" w:rsidP="00C12216">
      <w:pPr>
        <w:pStyle w:val="SangriaFrancesaArticulo"/>
      </w:pPr>
      <w:r w:rsidRPr="00C12216">
        <w:rPr>
          <w:rStyle w:val="TextoNormalNegritaCaracter"/>
        </w:rPr>
        <w:t>Artículo 265.2.2.</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270.</w:t>
      </w:r>
      <w:r w:rsidRPr="00C12216">
        <w:rPr>
          <w:rStyle w:val="TextoNormalCaracter"/>
        </w:rPr>
        <w:t>-</w:t>
      </w:r>
      <w:r>
        <w:t xml:space="preserve"> Sentencia </w:t>
      </w:r>
      <w:hyperlink w:anchor="SENTENCIA_2008_16" w:history="1">
        <w:r w:rsidRPr="00C12216">
          <w:rPr>
            <w:rStyle w:val="TextoNormalCaracter"/>
          </w:rPr>
          <w:t>16/2008</w:t>
        </w:r>
      </w:hyperlink>
      <w:r>
        <w:t>, f. 3.</w:t>
      </w:r>
    </w:p>
    <w:p w:rsidR="00C12216" w:rsidRDefault="00C12216" w:rsidP="00C12216">
      <w:pPr>
        <w:pStyle w:val="SangriaFrancesaArticulo"/>
      </w:pPr>
      <w:r w:rsidRPr="00C12216">
        <w:rPr>
          <w:rStyle w:val="TextoNormalNegritaCaracter"/>
        </w:rPr>
        <w:t>Artículo 283.</w:t>
      </w:r>
      <w:r w:rsidRPr="00C12216">
        <w:rPr>
          <w:rStyle w:val="TextoNormalCaracter"/>
        </w:rPr>
        <w:t>-</w:t>
      </w:r>
      <w:r>
        <w:t xml:space="preserve"> Auto </w:t>
      </w:r>
      <w:hyperlink w:anchor="AUTO_2008_2" w:history="1">
        <w:r w:rsidRPr="00C12216">
          <w:rPr>
            <w:rStyle w:val="TextoNormalCaracter"/>
          </w:rPr>
          <w:t>2/2008</w:t>
        </w:r>
      </w:hyperlink>
      <w:r>
        <w:t>.</w:t>
      </w:r>
    </w:p>
    <w:p w:rsidR="00C12216" w:rsidRDefault="00C12216" w:rsidP="00C12216">
      <w:pPr>
        <w:pStyle w:val="SangriaFrancesaArticulo"/>
      </w:pPr>
      <w:r w:rsidRPr="00C12216">
        <w:rPr>
          <w:rStyle w:val="TextoNormalNegritaCaracter"/>
        </w:rPr>
        <w:t>Artículo 283.1.</w:t>
      </w:r>
      <w:r w:rsidRPr="00C12216">
        <w:rPr>
          <w:rStyle w:val="TextoNormalCaracter"/>
        </w:rPr>
        <w:t>-</w:t>
      </w:r>
      <w:r>
        <w:t xml:space="preserve"> Sentencia </w:t>
      </w:r>
      <w:hyperlink w:anchor="SENTENCIA_2008_22" w:history="1">
        <w:r w:rsidRPr="00C12216">
          <w:rPr>
            <w:rStyle w:val="TextoNormalCaracter"/>
          </w:rPr>
          <w:t>22/2008</w:t>
        </w:r>
      </w:hyperlink>
      <w:r>
        <w:t>, f. 5.</w:t>
      </w:r>
    </w:p>
    <w:p w:rsidR="00C12216" w:rsidRDefault="00C12216" w:rsidP="00C12216">
      <w:pPr>
        <w:pStyle w:val="SangriaFrancesaArticulo"/>
      </w:pPr>
      <w:r w:rsidRPr="00C12216">
        <w:rPr>
          <w:rStyle w:val="TextoNormalNegritaCaracter"/>
        </w:rPr>
        <w:t>Artículo 283.3.</w:t>
      </w:r>
      <w:r w:rsidRPr="00C12216">
        <w:rPr>
          <w:rStyle w:val="TextoNormalCaracter"/>
        </w:rPr>
        <w:t>-</w:t>
      </w:r>
      <w:r>
        <w:t xml:space="preserve"> Sentencia </w:t>
      </w:r>
      <w:hyperlink w:anchor="SENTENCIA_2008_22" w:history="1">
        <w:r w:rsidRPr="00C12216">
          <w:rPr>
            <w:rStyle w:val="TextoNormalCaracter"/>
          </w:rPr>
          <w:t>22/2008</w:t>
        </w:r>
      </w:hyperlink>
      <w:r>
        <w:t>, f. 5.</w:t>
      </w:r>
    </w:p>
    <w:p w:rsidR="00C12216" w:rsidRDefault="00C12216" w:rsidP="00C12216">
      <w:pPr>
        <w:pStyle w:val="SangriaFrancesaArticulo"/>
      </w:pPr>
      <w:r w:rsidRPr="00C12216">
        <w:rPr>
          <w:rStyle w:val="TextoNormalNegritaCaracter"/>
        </w:rPr>
        <w:t>Artículo 448.1.</w:t>
      </w:r>
      <w:r w:rsidRPr="00C12216">
        <w:rPr>
          <w:rStyle w:val="TextoNormalCaracter"/>
        </w:rPr>
        <w:t>-</w:t>
      </w:r>
      <w:r>
        <w:t xml:space="preserve"> Auto </w:t>
      </w:r>
      <w:hyperlink w:anchor="AUTO_2008_41" w:history="1">
        <w:r w:rsidRPr="00C12216">
          <w:rPr>
            <w:rStyle w:val="TextoNormalCaracter"/>
          </w:rPr>
          <w:t>41/2008</w:t>
        </w:r>
      </w:hyperlink>
      <w:r>
        <w:t>.</w:t>
      </w:r>
    </w:p>
    <w:p w:rsidR="00C12216" w:rsidRDefault="00C12216" w:rsidP="00C12216">
      <w:pPr>
        <w:pStyle w:val="SangriaFrancesaArticulo"/>
      </w:pPr>
      <w:r w:rsidRPr="00C12216">
        <w:rPr>
          <w:rStyle w:val="TextoNormalNegritaCaracter"/>
        </w:rPr>
        <w:t>Artículo 449.3.</w:t>
      </w:r>
      <w:r w:rsidRPr="00C12216">
        <w:rPr>
          <w:rStyle w:val="TextoNormalCaracter"/>
        </w:rPr>
        <w:t>-</w:t>
      </w:r>
      <w:r>
        <w:t xml:space="preserve"> Sentencia </w:t>
      </w:r>
      <w:hyperlink w:anchor="SENTENCIA_2008_33" w:history="1">
        <w:r w:rsidRPr="00C12216">
          <w:rPr>
            <w:rStyle w:val="TextoNormalCaracter"/>
          </w:rPr>
          <w:t>33/2008</w:t>
        </w:r>
      </w:hyperlink>
      <w:r>
        <w:t>, ff. 1, 4.</w:t>
      </w:r>
    </w:p>
    <w:p w:rsidR="00C12216" w:rsidRDefault="00C12216" w:rsidP="00C12216">
      <w:pPr>
        <w:pStyle w:val="SangriaFrancesaArticulo"/>
      </w:pPr>
      <w:r w:rsidRPr="00C12216">
        <w:rPr>
          <w:rStyle w:val="TextoNormalNegritaCaracter"/>
        </w:rPr>
        <w:t>Artículo 449.6.</w:t>
      </w:r>
      <w:r w:rsidRPr="00C12216">
        <w:rPr>
          <w:rStyle w:val="TextoNormalCaracter"/>
        </w:rPr>
        <w:t>-</w:t>
      </w:r>
      <w:r>
        <w:t xml:space="preserve"> Sentencia </w:t>
      </w:r>
      <w:hyperlink w:anchor="SENTENCIA_2008_33" w:history="1">
        <w:r w:rsidRPr="00C12216">
          <w:rPr>
            <w:rStyle w:val="TextoNormalCaracter"/>
          </w:rPr>
          <w:t>33/2008</w:t>
        </w:r>
      </w:hyperlink>
      <w:r>
        <w:t>, f. 4.</w:t>
      </w:r>
    </w:p>
    <w:p w:rsidR="00C12216" w:rsidRDefault="00C12216" w:rsidP="00C12216">
      <w:pPr>
        <w:pStyle w:val="SangriaFrancesaArticulo"/>
      </w:pPr>
      <w:r w:rsidRPr="00C12216">
        <w:rPr>
          <w:rStyle w:val="TextoNormalNegritaCaracter"/>
        </w:rPr>
        <w:t>Artículo 463.</w:t>
      </w:r>
      <w:r w:rsidRPr="00C12216">
        <w:rPr>
          <w:rStyle w:val="TextoNormalCaracter"/>
        </w:rPr>
        <w:t>-</w:t>
      </w:r>
      <w:r>
        <w:t xml:space="preserve"> Auto </w:t>
      </w:r>
      <w:hyperlink w:anchor="AUTO_2008_47" w:history="1">
        <w:r w:rsidRPr="00C12216">
          <w:rPr>
            <w:rStyle w:val="TextoNormalCaracter"/>
          </w:rPr>
          <w:t>47/2008</w:t>
        </w:r>
      </w:hyperlink>
      <w:r>
        <w:t>.</w:t>
      </w:r>
    </w:p>
    <w:p w:rsidR="00C12216" w:rsidRDefault="00C12216" w:rsidP="00C12216">
      <w:pPr>
        <w:pStyle w:val="SangriaFrancesaArticulo"/>
      </w:pPr>
      <w:r w:rsidRPr="00C12216">
        <w:rPr>
          <w:rStyle w:val="TextoNormalNegritaCaracter"/>
        </w:rPr>
        <w:t>Artículo 463.1</w:t>
      </w:r>
      <w:r>
        <w:t xml:space="preserve"> </w:t>
      </w:r>
      <w:r w:rsidRPr="00C12216">
        <w:rPr>
          <w:rStyle w:val="TextoNormalCaracter"/>
        </w:rPr>
        <w:t>(redactado por la Ley 22/2003, de 9 de julio)</w:t>
      </w:r>
      <w:r w:rsidRPr="00C12216">
        <w:rPr>
          <w:rStyle w:val="TextoNormalNegritaCaracter"/>
        </w:rPr>
        <w:t>.</w:t>
      </w:r>
      <w:r w:rsidRPr="00C12216">
        <w:rPr>
          <w:rStyle w:val="TextoNormalCaracter"/>
        </w:rPr>
        <w:t>-</w:t>
      </w:r>
      <w:r>
        <w:t xml:space="preserve"> Sentencia </w:t>
      </w:r>
      <w:hyperlink w:anchor="SENTENCIA_2008_55" w:history="1">
        <w:r w:rsidRPr="00C12216">
          <w:rPr>
            <w:rStyle w:val="TextoNormalCaracter"/>
          </w:rPr>
          <w:t>55/2008</w:t>
        </w:r>
      </w:hyperlink>
      <w:r>
        <w:t>, f. 1.</w:t>
      </w:r>
    </w:p>
    <w:p w:rsidR="00C12216" w:rsidRDefault="00C12216" w:rsidP="00C12216">
      <w:pPr>
        <w:pStyle w:val="SangriaFrancesaArticulo"/>
      </w:pPr>
      <w:r w:rsidRPr="00C12216">
        <w:rPr>
          <w:rStyle w:val="TextoNormalNegritaCaracter"/>
        </w:rPr>
        <w:t>Artículo 468.</w:t>
      </w:r>
      <w:r w:rsidRPr="00C12216">
        <w:rPr>
          <w:rStyle w:val="TextoNormalCaracter"/>
        </w:rPr>
        <w:t>-</w:t>
      </w:r>
      <w:r>
        <w:t xml:space="preserve"> Sentencia </w:t>
      </w:r>
      <w:hyperlink w:anchor="SENTENCIA_2008_17" w:history="1">
        <w:r w:rsidRPr="00C12216">
          <w:rPr>
            <w:rStyle w:val="TextoNormalCaracter"/>
          </w:rPr>
          <w:t>17/2008</w:t>
        </w:r>
      </w:hyperlink>
      <w:r>
        <w:t>, f. 2.</w:t>
      </w:r>
    </w:p>
    <w:p w:rsidR="00C12216" w:rsidRDefault="00C12216" w:rsidP="00C12216">
      <w:pPr>
        <w:pStyle w:val="SangriaFrancesaArticulo"/>
      </w:pPr>
      <w:r w:rsidRPr="00C12216">
        <w:rPr>
          <w:rStyle w:val="TextoNormalNegritaCaracter"/>
        </w:rPr>
        <w:t>Artículo 472.</w:t>
      </w:r>
      <w:r w:rsidRPr="00C12216">
        <w:rPr>
          <w:rStyle w:val="TextoNormalCaracter"/>
        </w:rPr>
        <w:t>-</w:t>
      </w:r>
      <w:r>
        <w:t xml:space="preserve"> Auto </w:t>
      </w:r>
      <w:hyperlink w:anchor="AUTO_2008_47" w:history="1">
        <w:r w:rsidRPr="00C12216">
          <w:rPr>
            <w:rStyle w:val="TextoNormalCaracter"/>
          </w:rPr>
          <w:t>47/2008</w:t>
        </w:r>
      </w:hyperlink>
      <w:r>
        <w:t>.</w:t>
      </w:r>
    </w:p>
    <w:p w:rsidR="00C12216" w:rsidRDefault="00C12216" w:rsidP="00C12216">
      <w:pPr>
        <w:pStyle w:val="SangriaFrancesaArticulo"/>
      </w:pPr>
      <w:r w:rsidRPr="00C12216">
        <w:rPr>
          <w:rStyle w:val="TextoNormalNegritaCaracter"/>
        </w:rPr>
        <w:t>Artículo 477.2.1.</w:t>
      </w:r>
      <w:r w:rsidRPr="00C12216">
        <w:rPr>
          <w:rStyle w:val="TextoNormalCaracter"/>
        </w:rPr>
        <w:t>-</w:t>
      </w:r>
      <w:r>
        <w:t xml:space="preserve"> Sentencia </w:t>
      </w:r>
      <w:hyperlink w:anchor="SENTENCIA_2008_17" w:history="1">
        <w:r w:rsidRPr="00C12216">
          <w:rPr>
            <w:rStyle w:val="TextoNormalCaracter"/>
          </w:rPr>
          <w:t>17/2008</w:t>
        </w:r>
      </w:hyperlink>
      <w:r>
        <w:t>, f. 2.</w:t>
      </w:r>
    </w:p>
    <w:p w:rsidR="00C12216" w:rsidRDefault="00C12216" w:rsidP="00C12216">
      <w:pPr>
        <w:pStyle w:val="SangriaFrancesaArticulo"/>
      </w:pPr>
      <w:r w:rsidRPr="00C12216">
        <w:rPr>
          <w:rStyle w:val="TextoNormalNegritaCaracter"/>
        </w:rPr>
        <w:t>Artículo 477.2.2.</w:t>
      </w:r>
      <w:r w:rsidRPr="00C12216">
        <w:rPr>
          <w:rStyle w:val="TextoNormalCaracter"/>
        </w:rPr>
        <w:t>-</w:t>
      </w:r>
      <w:r>
        <w:t xml:space="preserve"> Sentencia </w:t>
      </w:r>
      <w:hyperlink w:anchor="SENTENCIA_2008_17" w:history="1">
        <w:r w:rsidRPr="00C12216">
          <w:rPr>
            <w:rStyle w:val="TextoNormalCaracter"/>
          </w:rPr>
          <w:t>17/2008</w:t>
        </w:r>
      </w:hyperlink>
      <w:r>
        <w:t>, f. 2.</w:t>
      </w:r>
    </w:p>
    <w:p w:rsidR="00C12216" w:rsidRDefault="00C12216" w:rsidP="00C12216">
      <w:pPr>
        <w:pStyle w:val="SangriaFrancesaArticulo"/>
      </w:pPr>
      <w:r w:rsidRPr="00C12216">
        <w:rPr>
          <w:rStyle w:val="TextoNormalNegritaCaracter"/>
        </w:rPr>
        <w:t>Artículo 482.1.</w:t>
      </w:r>
      <w:r w:rsidRPr="00C12216">
        <w:rPr>
          <w:rStyle w:val="TextoNormalCaracter"/>
        </w:rPr>
        <w:t>-</w:t>
      </w:r>
      <w:r>
        <w:t xml:space="preserve"> Auto </w:t>
      </w:r>
      <w:hyperlink w:anchor="AUTO_2008_47" w:history="1">
        <w:r w:rsidRPr="00C12216">
          <w:rPr>
            <w:rStyle w:val="TextoNormalCaracter"/>
          </w:rPr>
          <w:t>47/2008</w:t>
        </w:r>
      </w:hyperlink>
      <w:r>
        <w:t>.</w:t>
      </w:r>
    </w:p>
    <w:p w:rsidR="00C12216" w:rsidRDefault="00C12216" w:rsidP="00C12216">
      <w:pPr>
        <w:pStyle w:val="SangriaFrancesaArticulo"/>
      </w:pPr>
      <w:r w:rsidRPr="00C12216">
        <w:rPr>
          <w:rStyle w:val="TextoNormalNegritaCaracter"/>
        </w:rPr>
        <w:t>Artículo 512.2.</w:t>
      </w:r>
      <w:r w:rsidRPr="00C12216">
        <w:rPr>
          <w:rStyle w:val="TextoNormalCaracter"/>
        </w:rPr>
        <w:t>-</w:t>
      </w:r>
      <w:r>
        <w:t xml:space="preserve"> Sentencia </w:t>
      </w:r>
      <w:hyperlink w:anchor="SENTENCIA_2008_13" w:history="1">
        <w:r w:rsidRPr="00C12216">
          <w:rPr>
            <w:rStyle w:val="TextoNormalCaracter"/>
          </w:rPr>
          <w:t>13/2008</w:t>
        </w:r>
      </w:hyperlink>
      <w:r>
        <w:t>, f. 4.</w:t>
      </w:r>
    </w:p>
    <w:p w:rsidR="00C12216" w:rsidRDefault="00C12216" w:rsidP="00C12216">
      <w:pPr>
        <w:pStyle w:val="SangriaFrancesaArticulo"/>
      </w:pPr>
      <w:r w:rsidRPr="00C12216">
        <w:rPr>
          <w:rStyle w:val="TextoNormalNegritaCaracter"/>
        </w:rPr>
        <w:t>Artículo 526.</w:t>
      </w:r>
      <w:r w:rsidRPr="00C12216">
        <w:rPr>
          <w:rStyle w:val="TextoNormalCaracter"/>
        </w:rPr>
        <w:t>-</w:t>
      </w:r>
      <w:r>
        <w:t xml:space="preserve"> Sentencia </w:t>
      </w:r>
      <w:hyperlink w:anchor="SENTENCIA_2008_22" w:history="1">
        <w:r w:rsidRPr="00C12216">
          <w:rPr>
            <w:rStyle w:val="TextoNormalCaracter"/>
          </w:rPr>
          <w:t>22/2008</w:t>
        </w:r>
      </w:hyperlink>
      <w:r>
        <w:t>, f. 3.</w:t>
      </w:r>
    </w:p>
    <w:p w:rsidR="00C12216" w:rsidRDefault="00C12216" w:rsidP="00C12216">
      <w:pPr>
        <w:pStyle w:val="SangriaFrancesaArticulo"/>
      </w:pPr>
      <w:r w:rsidRPr="00C12216">
        <w:rPr>
          <w:rStyle w:val="TextoNormalNegritaCaracter"/>
        </w:rPr>
        <w:t>Artículo 528.2.2.</w:t>
      </w:r>
      <w:r w:rsidRPr="00C12216">
        <w:rPr>
          <w:rStyle w:val="TextoNormalCaracter"/>
        </w:rPr>
        <w:t>-</w:t>
      </w:r>
      <w:r>
        <w:t xml:space="preserve"> Sentencia </w:t>
      </w:r>
      <w:hyperlink w:anchor="SENTENCIA_2008_22" w:history="1">
        <w:r w:rsidRPr="00C12216">
          <w:rPr>
            <w:rStyle w:val="TextoNormalCaracter"/>
          </w:rPr>
          <w:t>22/2008</w:t>
        </w:r>
      </w:hyperlink>
      <w:r>
        <w:t>, f. 3.</w:t>
      </w:r>
    </w:p>
    <w:p w:rsidR="00C12216" w:rsidRDefault="00C12216" w:rsidP="00C12216">
      <w:pPr>
        <w:pStyle w:val="SangriaFrancesaArticulo"/>
      </w:pPr>
      <w:r w:rsidRPr="00C12216">
        <w:rPr>
          <w:rStyle w:val="TextoNormalNegritaCaracter"/>
        </w:rPr>
        <w:t>Artículo 535.</w:t>
      </w:r>
      <w:r w:rsidRPr="00C12216">
        <w:rPr>
          <w:rStyle w:val="TextoNormalCaracter"/>
        </w:rPr>
        <w:t>-</w:t>
      </w:r>
      <w:r>
        <w:t xml:space="preserve"> Sentencia </w:t>
      </w:r>
      <w:hyperlink w:anchor="SENTENCIA_2008_22" w:history="1">
        <w:r w:rsidRPr="00C12216">
          <w:rPr>
            <w:rStyle w:val="TextoNormalCaracter"/>
          </w:rPr>
          <w:t>22/2008</w:t>
        </w:r>
      </w:hyperlink>
      <w:r>
        <w:t>, f. 3.</w:t>
      </w:r>
    </w:p>
    <w:p w:rsidR="00C12216" w:rsidRDefault="00C12216" w:rsidP="00C12216">
      <w:pPr>
        <w:pStyle w:val="SangriaFrancesaArticulo"/>
      </w:pPr>
      <w:r w:rsidRPr="00C12216">
        <w:rPr>
          <w:rStyle w:val="TextoNormalNegritaCaracter"/>
        </w:rPr>
        <w:t>Artículo 659.</w:t>
      </w:r>
      <w:r w:rsidRPr="00C12216">
        <w:rPr>
          <w:rStyle w:val="TextoNormalCaracter"/>
        </w:rPr>
        <w:t>-</w:t>
      </w:r>
      <w:r>
        <w:t xml:space="preserve"> Sentencia </w:t>
      </w:r>
      <w:hyperlink w:anchor="SENTENCIA_2008_6" w:history="1">
        <w:r w:rsidRPr="00C12216">
          <w:rPr>
            <w:rStyle w:val="TextoNormalCaracter"/>
          </w:rPr>
          <w:t>6/2008</w:t>
        </w:r>
      </w:hyperlink>
      <w:r>
        <w:t>, ff. 1 a 3.</w:t>
      </w:r>
    </w:p>
    <w:p w:rsidR="00C12216" w:rsidRDefault="00C12216" w:rsidP="00C12216">
      <w:pPr>
        <w:pStyle w:val="SangriaFrancesaArticulo"/>
      </w:pPr>
      <w:r w:rsidRPr="00C12216">
        <w:rPr>
          <w:rStyle w:val="TextoNormalNegritaCaracter"/>
        </w:rPr>
        <w:t>Artículo 659.1.</w:t>
      </w:r>
      <w:r w:rsidRPr="00C12216">
        <w:rPr>
          <w:rStyle w:val="TextoNormalCaracter"/>
        </w:rPr>
        <w:t>-</w:t>
      </w:r>
      <w:r>
        <w:t xml:space="preserve"> Sentencia </w:t>
      </w:r>
      <w:hyperlink w:anchor="SENTENCIA_2008_6" w:history="1">
        <w:r w:rsidRPr="00C12216">
          <w:rPr>
            <w:rStyle w:val="TextoNormalCaracter"/>
          </w:rPr>
          <w:t>6/2008</w:t>
        </w:r>
      </w:hyperlink>
      <w:r>
        <w:t>, f. 3.</w:t>
      </w:r>
    </w:p>
    <w:p w:rsidR="00C12216" w:rsidRDefault="00C12216" w:rsidP="00C12216">
      <w:pPr>
        <w:pStyle w:val="SangriaFrancesaArticulo"/>
      </w:pPr>
      <w:r w:rsidRPr="00C12216">
        <w:rPr>
          <w:rStyle w:val="TextoNormalNegritaCaracter"/>
        </w:rPr>
        <w:t>Artículo 659.3.</w:t>
      </w:r>
      <w:r w:rsidRPr="00C12216">
        <w:rPr>
          <w:rStyle w:val="TextoNormalCaracter"/>
        </w:rPr>
        <w:t>-</w:t>
      </w:r>
      <w:r>
        <w:t xml:space="preserve"> Sentencia </w:t>
      </w:r>
      <w:hyperlink w:anchor="SENTENCIA_2008_6" w:history="1">
        <w:r w:rsidRPr="00C12216">
          <w:rPr>
            <w:rStyle w:val="TextoNormalCaracter"/>
          </w:rPr>
          <w:t>6/2008</w:t>
        </w:r>
      </w:hyperlink>
      <w:r>
        <w:t>, f. 3.</w:t>
      </w:r>
    </w:p>
    <w:p w:rsidR="00C12216" w:rsidRDefault="00C12216" w:rsidP="00C12216">
      <w:pPr>
        <w:pStyle w:val="SangriaFrancesaArticulo"/>
      </w:pPr>
      <w:r w:rsidRPr="00C12216">
        <w:rPr>
          <w:rStyle w:val="TextoNormalNegritaCaracter"/>
        </w:rPr>
        <w:t>Artículos 681 a 688.</w:t>
      </w:r>
      <w:r w:rsidRPr="00C12216">
        <w:rPr>
          <w:rStyle w:val="TextoNormalCaracter"/>
        </w:rPr>
        <w:t>-</w:t>
      </w:r>
      <w:r>
        <w:t xml:space="preserve"> Sentencia </w:t>
      </w:r>
      <w:hyperlink w:anchor="SENTENCIA_2008_6" w:history="1">
        <w:r w:rsidRPr="00C12216">
          <w:rPr>
            <w:rStyle w:val="TextoNormalCaracter"/>
          </w:rPr>
          <w:t>6/2008</w:t>
        </w:r>
      </w:hyperlink>
      <w:r>
        <w:t>, f. 3.</w:t>
      </w:r>
    </w:p>
    <w:p w:rsidR="00C12216" w:rsidRDefault="00C12216" w:rsidP="00C12216">
      <w:pPr>
        <w:pStyle w:val="SangriaFrancesaArticulo"/>
      </w:pPr>
      <w:r w:rsidRPr="00C12216">
        <w:rPr>
          <w:rStyle w:val="TextoNormalNegritaCaracter"/>
        </w:rPr>
        <w:t>Artículo 689.</w:t>
      </w:r>
      <w:r w:rsidRPr="00C12216">
        <w:rPr>
          <w:rStyle w:val="TextoNormalCaracter"/>
        </w:rPr>
        <w:t>-</w:t>
      </w:r>
      <w:r>
        <w:t xml:space="preserve"> Sentencia </w:t>
      </w:r>
      <w:hyperlink w:anchor="SENTENCIA_2008_6" w:history="1">
        <w:r w:rsidRPr="00C12216">
          <w:rPr>
            <w:rStyle w:val="TextoNormalCaracter"/>
          </w:rPr>
          <w:t>6/2008</w:t>
        </w:r>
      </w:hyperlink>
      <w:r>
        <w:t>, ff. 1, 3.</w:t>
      </w:r>
    </w:p>
    <w:p w:rsidR="00C12216" w:rsidRDefault="00C12216" w:rsidP="00C12216">
      <w:pPr>
        <w:pStyle w:val="SangriaFrancesaArticulo"/>
      </w:pPr>
      <w:r w:rsidRPr="00C12216">
        <w:rPr>
          <w:rStyle w:val="TextoNormalNegritaCaracter"/>
        </w:rPr>
        <w:t>Artículo 689.2.</w:t>
      </w:r>
      <w:r w:rsidRPr="00C12216">
        <w:rPr>
          <w:rStyle w:val="TextoNormalCaracter"/>
        </w:rPr>
        <w:t>-</w:t>
      </w:r>
      <w:r>
        <w:t xml:space="preserve"> Sentencia </w:t>
      </w:r>
      <w:hyperlink w:anchor="SENTENCIA_2008_6" w:history="1">
        <w:r w:rsidRPr="00C12216">
          <w:rPr>
            <w:rStyle w:val="TextoNormalCaracter"/>
          </w:rPr>
          <w:t>6/2008</w:t>
        </w:r>
      </w:hyperlink>
      <w:r>
        <w:t>, ff. 1, 3.</w:t>
      </w:r>
    </w:p>
    <w:p w:rsidR="00C12216" w:rsidRDefault="00C12216" w:rsidP="00C12216">
      <w:pPr>
        <w:pStyle w:val="SangriaFrancesaArticulo"/>
      </w:pPr>
      <w:r w:rsidRPr="00C12216">
        <w:rPr>
          <w:rStyle w:val="TextoNormalNegritaCaracter"/>
        </w:rPr>
        <w:t>Artículo 728.</w:t>
      </w:r>
      <w:r w:rsidRPr="00C12216">
        <w:rPr>
          <w:rStyle w:val="TextoNormalCaracter"/>
        </w:rPr>
        <w:t>-</w:t>
      </w:r>
      <w:r>
        <w:t xml:space="preserve"> Sentencia </w:t>
      </w:r>
      <w:hyperlink w:anchor="SENTENCIA_2008_4" w:history="1">
        <w:r w:rsidRPr="00C12216">
          <w:rPr>
            <w:rStyle w:val="TextoNormalCaracter"/>
          </w:rPr>
          <w:t>4/2008</w:t>
        </w:r>
      </w:hyperlink>
      <w:r>
        <w:t>, f. 3.</w:t>
      </w:r>
    </w:p>
    <w:p w:rsidR="00C12216" w:rsidRDefault="00C12216" w:rsidP="00C12216">
      <w:pPr>
        <w:pStyle w:val="SangriaFrancesaArticulo"/>
      </w:pPr>
      <w:r w:rsidRPr="00C12216">
        <w:rPr>
          <w:rStyle w:val="TextoNormalNegritaCaracter"/>
        </w:rPr>
        <w:t>Artículo 732.3.</w:t>
      </w:r>
      <w:r w:rsidRPr="00C12216">
        <w:rPr>
          <w:rStyle w:val="TextoNormalCaracter"/>
        </w:rPr>
        <w:t>-</w:t>
      </w:r>
      <w:r>
        <w:t xml:space="preserve"> Sentencia </w:t>
      </w:r>
      <w:hyperlink w:anchor="SENTENCIA_2008_4" w:history="1">
        <w:r w:rsidRPr="00C12216">
          <w:rPr>
            <w:rStyle w:val="TextoNormalCaracter"/>
          </w:rPr>
          <w:t>4/2008</w:t>
        </w:r>
      </w:hyperlink>
      <w:r>
        <w:t>, f. 3.</w:t>
      </w:r>
    </w:p>
    <w:p w:rsidR="00C12216" w:rsidRDefault="00C12216" w:rsidP="00C12216">
      <w:pPr>
        <w:pStyle w:val="SangriaFrancesaArticulo"/>
      </w:pPr>
      <w:r w:rsidRPr="00C12216">
        <w:rPr>
          <w:rStyle w:val="TextoNormalNegritaCaracter"/>
        </w:rPr>
        <w:t>Artículo 737.</w:t>
      </w:r>
      <w:r w:rsidRPr="00C12216">
        <w:rPr>
          <w:rStyle w:val="TextoNormalCaracter"/>
        </w:rPr>
        <w:t>-</w:t>
      </w:r>
      <w:r>
        <w:t xml:space="preserve"> Sentencia </w:t>
      </w:r>
      <w:hyperlink w:anchor="SENTENCIA_2008_4" w:history="1">
        <w:r w:rsidRPr="00C12216">
          <w:rPr>
            <w:rStyle w:val="TextoNormalCaracter"/>
          </w:rPr>
          <w:t>4/2008</w:t>
        </w:r>
      </w:hyperlink>
      <w:r>
        <w:t>, f. 3.</w:t>
      </w:r>
    </w:p>
    <w:p w:rsidR="00C12216" w:rsidRDefault="00C12216" w:rsidP="00C12216">
      <w:pPr>
        <w:pStyle w:val="SangriaFrancesaArticulo"/>
      </w:pPr>
      <w:r w:rsidRPr="00C12216">
        <w:rPr>
          <w:rStyle w:val="TextoNormalNegritaCaracter"/>
        </w:rPr>
        <w:t>Artículo 753.</w:t>
      </w:r>
      <w:r w:rsidRPr="00C12216">
        <w:rPr>
          <w:rStyle w:val="TextoNormalCaracter"/>
        </w:rPr>
        <w:t>-</w:t>
      </w:r>
      <w:r>
        <w:t xml:space="preserve"> Sentencias </w:t>
      </w:r>
      <w:hyperlink w:anchor="SENTENCIA_2008_11" w:history="1">
        <w:r w:rsidRPr="00C12216">
          <w:rPr>
            <w:rStyle w:val="TextoNormalCaracter"/>
          </w:rPr>
          <w:t>11/2008</w:t>
        </w:r>
      </w:hyperlink>
      <w:r>
        <w:t xml:space="preserve">, f. 8; </w:t>
      </w:r>
      <w:hyperlink w:anchor="SENTENCIA_2008_58" w:history="1">
        <w:r w:rsidRPr="00C12216">
          <w:rPr>
            <w:rStyle w:val="TextoNormalCaracter"/>
          </w:rPr>
          <w:t>58/2008</w:t>
        </w:r>
      </w:hyperlink>
      <w:r>
        <w:t>, f. 3.</w:t>
      </w:r>
    </w:p>
    <w:p w:rsidR="00C12216" w:rsidRDefault="00C12216" w:rsidP="00C12216">
      <w:pPr>
        <w:pStyle w:val="SangriaFrancesaArticulo"/>
      </w:pPr>
      <w:r w:rsidRPr="00C12216">
        <w:rPr>
          <w:rStyle w:val="TextoNormalNegritaCaracter"/>
        </w:rPr>
        <w:t>Artículo 779.</w:t>
      </w:r>
      <w:r w:rsidRPr="00C12216">
        <w:rPr>
          <w:rStyle w:val="TextoNormalCaracter"/>
        </w:rPr>
        <w:t>-</w:t>
      </w:r>
      <w:r>
        <w:t xml:space="preserve"> Sentencia </w:t>
      </w:r>
      <w:hyperlink w:anchor="SENTENCIA_2008_11" w:history="1">
        <w:r w:rsidRPr="00C12216">
          <w:rPr>
            <w:rStyle w:val="TextoNormalCaracter"/>
          </w:rPr>
          <w:t>11/2008</w:t>
        </w:r>
      </w:hyperlink>
      <w:r>
        <w:t>, f. 8.</w:t>
      </w:r>
    </w:p>
    <w:p w:rsidR="00C12216" w:rsidRDefault="00C12216" w:rsidP="00C12216">
      <w:pPr>
        <w:pStyle w:val="SangriaFrancesaArticulo"/>
      </w:pPr>
      <w:r w:rsidRPr="00C12216">
        <w:rPr>
          <w:rStyle w:val="TextoNormalNegritaCaracter"/>
        </w:rPr>
        <w:t>Artículo 781.</w:t>
      </w:r>
      <w:r w:rsidRPr="00C12216">
        <w:rPr>
          <w:rStyle w:val="TextoNormalCaracter"/>
        </w:rPr>
        <w:t>-</w:t>
      </w:r>
      <w:r>
        <w:t xml:space="preserve"> Sentencia </w:t>
      </w:r>
      <w:hyperlink w:anchor="SENTENCIA_2008_58" w:history="1">
        <w:r w:rsidRPr="00C12216">
          <w:rPr>
            <w:rStyle w:val="TextoNormalCaracter"/>
          </w:rPr>
          <w:t>58/2008</w:t>
        </w:r>
      </w:hyperlink>
      <w:r>
        <w:t>, ff. 1, 3, 4.</w:t>
      </w:r>
    </w:p>
    <w:p w:rsidR="00C12216" w:rsidRDefault="00C12216" w:rsidP="00C12216">
      <w:pPr>
        <w:pStyle w:val="SangriaFrancesaArticulo"/>
      </w:pPr>
      <w:r w:rsidRPr="00C12216">
        <w:rPr>
          <w:rStyle w:val="TextoNormalNegritaCaracter"/>
        </w:rPr>
        <w:t>Artículo 781.2 in fine.</w:t>
      </w:r>
      <w:r w:rsidRPr="00C12216">
        <w:rPr>
          <w:rStyle w:val="TextoNormalCaracter"/>
        </w:rPr>
        <w:t>-</w:t>
      </w:r>
      <w:r>
        <w:t xml:space="preserve"> Sentencia </w:t>
      </w:r>
      <w:hyperlink w:anchor="SENTENCIA_2008_58" w:history="1">
        <w:r w:rsidRPr="00C12216">
          <w:rPr>
            <w:rStyle w:val="TextoNormalCaracter"/>
          </w:rPr>
          <w:t>58/2008</w:t>
        </w:r>
      </w:hyperlink>
      <w:r>
        <w:t>, f. 4.</w:t>
      </w:r>
    </w:p>
    <w:p w:rsidR="00C12216" w:rsidRDefault="00C12216" w:rsidP="00C12216">
      <w:pPr>
        <w:pStyle w:val="SangriaFrancesaArticulo"/>
      </w:pPr>
      <w:r w:rsidRPr="00C12216">
        <w:rPr>
          <w:rStyle w:val="TextoNormalNegritaCaracter"/>
        </w:rPr>
        <w:t>Artículo 871.</w:t>
      </w:r>
      <w:r w:rsidRPr="00C12216">
        <w:rPr>
          <w:rStyle w:val="TextoNormalCaracter"/>
        </w:rPr>
        <w:t>-</w:t>
      </w:r>
      <w:r>
        <w:t xml:space="preserve"> Sentencia </w:t>
      </w:r>
      <w:hyperlink w:anchor="SENTENCIA_2008_58" w:history="1">
        <w:r w:rsidRPr="00C12216">
          <w:rPr>
            <w:rStyle w:val="TextoNormalCaracter"/>
          </w:rPr>
          <w:t>58/2008</w:t>
        </w:r>
      </w:hyperlink>
      <w:r>
        <w:t>, f. 4.</w:t>
      </w:r>
    </w:p>
    <w:p w:rsidR="00C12216" w:rsidRDefault="00C12216" w:rsidP="00C12216">
      <w:pPr>
        <w:pStyle w:val="SangriaFrancesaArticulo"/>
      </w:pPr>
      <w:r w:rsidRPr="00C12216">
        <w:rPr>
          <w:rStyle w:val="TextoNormalNegritaCaracter"/>
        </w:rPr>
        <w:t>Artículo 1826.</w:t>
      </w:r>
      <w:r w:rsidRPr="00C12216">
        <w:rPr>
          <w:rStyle w:val="TextoNormalCaracter"/>
        </w:rPr>
        <w:t>-</w:t>
      </w:r>
      <w:r>
        <w:t xml:space="preserve"> Sentencia </w:t>
      </w:r>
      <w:hyperlink w:anchor="SENTENCIA_2008_58" w:history="1">
        <w:r w:rsidRPr="00C12216">
          <w:rPr>
            <w:rStyle w:val="TextoNormalCaracter"/>
          </w:rPr>
          <w:t>58/2008</w:t>
        </w:r>
      </w:hyperlink>
      <w:r>
        <w:t>, f. 2.</w:t>
      </w:r>
    </w:p>
    <w:p w:rsidR="00C12216" w:rsidRDefault="00C12216" w:rsidP="00C12216">
      <w:pPr>
        <w:pStyle w:val="SangriaFrancesaArticulo"/>
      </w:pPr>
    </w:p>
    <w:p w:rsidR="00C12216" w:rsidRDefault="00C12216" w:rsidP="00C12216">
      <w:pPr>
        <w:pStyle w:val="TextoNormalNegritaCursivandice"/>
      </w:pPr>
      <w:r>
        <w:lastRenderedPageBreak/>
        <w:t>Ley 19/2001, de 19 de diciembre.  Reforma el texto articulado de la Ley sobre tráfico, circulación de vehículos a motor y seguridad vial, aprobado por Real Decreto Legislativo 339/1990, de 2 de marzo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54" w:history="1">
        <w:r w:rsidRPr="00C12216">
          <w:rPr>
            <w:rStyle w:val="TextoNormalCaracter"/>
          </w:rPr>
          <w:t>54/2008</w:t>
        </w:r>
      </w:hyperlink>
      <w:r>
        <w:t>, f. 1.</w:t>
      </w:r>
    </w:p>
    <w:p w:rsidR="00C12216" w:rsidRDefault="00C12216" w:rsidP="00C12216">
      <w:pPr>
        <w:pStyle w:val="SangriaFrancesaArticulo"/>
      </w:pPr>
    </w:p>
    <w:p w:rsidR="00C12216" w:rsidRDefault="00C12216" w:rsidP="00C12216">
      <w:pPr>
        <w:pStyle w:val="TextoNormalNegritaCursivandice"/>
      </w:pPr>
      <w:r>
        <w:t>Ley 12/2002, de 23 de mayo. Concierto económico con la Comunidad Autónoma del País Vasco</w:t>
      </w:r>
    </w:p>
    <w:p w:rsidR="00C12216" w:rsidRDefault="00C12216" w:rsidP="00C12216">
      <w:pPr>
        <w:pStyle w:val="SangriaFrancesaArticulo"/>
      </w:pPr>
      <w:r w:rsidRPr="00C12216">
        <w:rPr>
          <w:rStyle w:val="TextoNormalNegritaCaracter"/>
        </w:rPr>
        <w:t>Artículos 65 a 67.</w:t>
      </w:r>
      <w:r w:rsidRPr="00C12216">
        <w:rPr>
          <w:rStyle w:val="TextoNormalCaracter"/>
        </w:rPr>
        <w:t>-</w:t>
      </w:r>
      <w:r>
        <w:t xml:space="preserve"> Sentencia </w:t>
      </w:r>
      <w:hyperlink w:anchor="SENTENCIA_2008_26" w:history="1">
        <w:r w:rsidRPr="00C12216">
          <w:rPr>
            <w:rStyle w:val="TextoNormalCaracter"/>
          </w:rPr>
          <w:t>26/2008</w:t>
        </w:r>
      </w:hyperlink>
      <w:r>
        <w:t>, f. 7.</w:t>
      </w:r>
    </w:p>
    <w:p w:rsidR="00C12216" w:rsidRDefault="00C12216" w:rsidP="00C12216">
      <w:pPr>
        <w:pStyle w:val="SangriaFrancesaArticulo"/>
      </w:pPr>
    </w:p>
    <w:p w:rsidR="00C12216" w:rsidRDefault="00C12216" w:rsidP="00C12216">
      <w:pPr>
        <w:pStyle w:val="TextoNormalNegritaCursivandice"/>
      </w:pPr>
      <w:r>
        <w:t>Ley 38/2002, de 24 de octubre. Reforma parcial de la Ley de enjuiciamiento criminal, sobre procedimiento para el enjuiciamiento rápido e inmediato de determinados delitos y faltas, y de modificación del procedimiento abreviado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8" w:history="1">
        <w:r w:rsidRPr="00C12216">
          <w:rPr>
            <w:rStyle w:val="TextoNormalCaracter"/>
          </w:rPr>
          <w:t>48/2008</w:t>
        </w:r>
      </w:hyperlink>
      <w:r>
        <w:t>, f. 1.</w:t>
      </w:r>
    </w:p>
    <w:p w:rsidR="00C12216" w:rsidRDefault="00C12216" w:rsidP="00C12216">
      <w:pPr>
        <w:pStyle w:val="SangriaFrancesaArticulo"/>
      </w:pPr>
    </w:p>
    <w:p w:rsidR="00C12216" w:rsidRDefault="00C12216" w:rsidP="00C12216">
      <w:pPr>
        <w:pStyle w:val="TextoNormalNegritaCursivandice"/>
      </w:pPr>
      <w:r>
        <w:t>Ley 53/2002, de 30 de diciembre. Medidas fiscales, administrativas y del orden social</w:t>
      </w:r>
    </w:p>
    <w:p w:rsidR="00C12216" w:rsidRDefault="00C12216" w:rsidP="00C12216">
      <w:pPr>
        <w:pStyle w:val="SangriaFrancesaArticulo"/>
      </w:pPr>
      <w:r w:rsidRPr="00C12216">
        <w:rPr>
          <w:rStyle w:val="TextoNormalNegritaCaracter"/>
        </w:rPr>
        <w:t>Disposición transitoria primera.</w:t>
      </w:r>
      <w:r w:rsidRPr="00C12216">
        <w:rPr>
          <w:rStyle w:val="TextoNormalCaracter"/>
        </w:rPr>
        <w:t>-</w:t>
      </w:r>
      <w:r>
        <w:t xml:space="preserve"> Auto </w:t>
      </w:r>
      <w:hyperlink w:anchor="AUTO_2008_28" w:history="1">
        <w:r w:rsidRPr="00C12216">
          <w:rPr>
            <w:rStyle w:val="TextoNormalCaracter"/>
          </w:rPr>
          <w:t>28/2008</w:t>
        </w:r>
      </w:hyperlink>
      <w:r>
        <w:t>.</w:t>
      </w:r>
    </w:p>
    <w:p w:rsidR="00C12216" w:rsidRDefault="00C12216" w:rsidP="00C12216">
      <w:pPr>
        <w:pStyle w:val="SangriaFrancesaArticulo"/>
      </w:pPr>
    </w:p>
    <w:p w:rsidR="00C12216" w:rsidRDefault="00C12216" w:rsidP="00C12216">
      <w:pPr>
        <w:pStyle w:val="TextoNormalNegritaCursivandice"/>
      </w:pPr>
      <w:r>
        <w:t>Ley 22/2003, de 9 de julio. Concursal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55" w:history="1">
        <w:r w:rsidRPr="00C12216">
          <w:rPr>
            <w:rStyle w:val="TextoNormalCaracter"/>
          </w:rPr>
          <w:t>55/2008</w:t>
        </w:r>
      </w:hyperlink>
      <w:r>
        <w:t>, f. 1.</w:t>
      </w:r>
    </w:p>
    <w:p w:rsidR="00C12216" w:rsidRDefault="00C12216" w:rsidP="00C12216">
      <w:pPr>
        <w:pStyle w:val="SangriaFrancesaArticulo"/>
      </w:pPr>
      <w:r w:rsidRPr="00C12216">
        <w:rPr>
          <w:rStyle w:val="TextoNormalNegritaCaracter"/>
        </w:rPr>
        <w:t>Disposición final tercera.</w:t>
      </w:r>
      <w:r w:rsidRPr="00C12216">
        <w:rPr>
          <w:rStyle w:val="TextoNormalCaracter"/>
        </w:rPr>
        <w:t>-</w:t>
      </w:r>
      <w:r>
        <w:t xml:space="preserve"> Auto </w:t>
      </w:r>
      <w:hyperlink w:anchor="AUTO_2008_47" w:history="1">
        <w:r w:rsidRPr="00C12216">
          <w:rPr>
            <w:rStyle w:val="TextoNormalCaracter"/>
          </w:rPr>
          <w:t>47/2008</w:t>
        </w:r>
      </w:hyperlink>
      <w:r>
        <w:t>.</w:t>
      </w:r>
    </w:p>
    <w:p w:rsidR="00C12216" w:rsidRDefault="00C12216" w:rsidP="00C12216">
      <w:pPr>
        <w:pStyle w:val="SangriaFrancesaArticulo"/>
      </w:pPr>
    </w:p>
    <w:p w:rsidR="00C12216" w:rsidRDefault="00C12216" w:rsidP="00C12216">
      <w:pPr>
        <w:pStyle w:val="TextoNormalNegritaCursivandice"/>
      </w:pPr>
      <w:r>
        <w:t>Ley 43/2003, de 21 de noviembre. Montes</w:t>
      </w:r>
    </w:p>
    <w:p w:rsidR="00C12216" w:rsidRDefault="00C12216" w:rsidP="00C12216">
      <w:pPr>
        <w:pStyle w:val="SangriaFrancesaArticulo"/>
      </w:pPr>
      <w:r w:rsidRPr="00C12216">
        <w:rPr>
          <w:rStyle w:val="TextoNormalNegritaCaracter"/>
        </w:rPr>
        <w:t>Artículo 58</w:t>
      </w:r>
      <w:r>
        <w:t xml:space="preserve"> </w:t>
      </w:r>
      <w:r w:rsidRPr="00C12216">
        <w:rPr>
          <w:rStyle w:val="TextoNormalCaracter"/>
        </w:rPr>
        <w:t>(redactado por la Ley 10/2006, de 28 de abril)</w:t>
      </w:r>
      <w:r w:rsidRPr="00C12216">
        <w:rPr>
          <w:rStyle w:val="TextoNormalNegritaCaracter"/>
        </w:rPr>
        <w:t>.</w:t>
      </w:r>
      <w:r w:rsidRPr="00C12216">
        <w:rPr>
          <w:rStyle w:val="TextoNormalCaracter"/>
        </w:rPr>
        <w:t>-</w:t>
      </w:r>
      <w:r>
        <w:t xml:space="preserve"> Auto </w:t>
      </w:r>
      <w:hyperlink w:anchor="AUTO_2008_88" w:history="1">
        <w:r w:rsidRPr="00C12216">
          <w:rPr>
            <w:rStyle w:val="TextoNormalCaracter"/>
          </w:rPr>
          <w:t>88/2008</w:t>
        </w:r>
      </w:hyperlink>
      <w:r>
        <w:t>.</w:t>
      </w:r>
    </w:p>
    <w:p w:rsidR="00C12216" w:rsidRDefault="00C12216" w:rsidP="00C12216">
      <w:pPr>
        <w:pStyle w:val="SangriaFrancesaArticulo"/>
      </w:pPr>
    </w:p>
    <w:p w:rsidR="00C12216" w:rsidRDefault="00C12216" w:rsidP="00C12216">
      <w:pPr>
        <w:pStyle w:val="TextoNormalNegritaCursivandice"/>
      </w:pPr>
      <w:r>
        <w:t>Ley 47/2003, de 26 de noviembre. General presupuestaria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3" w:history="1">
        <w:r w:rsidRPr="00C12216">
          <w:rPr>
            <w:rStyle w:val="TextoNormalCaracter"/>
          </w:rPr>
          <w:t>43/2008</w:t>
        </w:r>
      </w:hyperlink>
      <w:r>
        <w:t>, f. 4, VP.</w:t>
      </w:r>
    </w:p>
    <w:p w:rsidR="00C12216" w:rsidRDefault="00C12216" w:rsidP="00C12216">
      <w:pPr>
        <w:pStyle w:val="SangriaFrancesaArticulo"/>
      </w:pPr>
    </w:p>
    <w:p w:rsidR="00C12216" w:rsidRDefault="00C12216" w:rsidP="00C12216">
      <w:pPr>
        <w:pStyle w:val="TextoNormalNegritaCursivandice"/>
      </w:pPr>
      <w:r>
        <w:t>Ley 58/2003, de 17 de diciembre. General tributaria</w:t>
      </w:r>
    </w:p>
    <w:p w:rsidR="00C12216" w:rsidRDefault="00C12216" w:rsidP="00C12216">
      <w:pPr>
        <w:pStyle w:val="SangriaFrancesaArticulo"/>
      </w:pPr>
      <w:r w:rsidRPr="00C12216">
        <w:rPr>
          <w:rStyle w:val="TextoNormalNegritaCaracter"/>
        </w:rPr>
        <w:t>Artículo 28.</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t>Ley 13/2005, de 1 de julio. Modificación del Código civil en materia de derecho a contraer matrimonio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 </w:t>
      </w:r>
      <w:hyperlink w:anchor="AUTO_2008_12" w:history="1">
        <w:r w:rsidRPr="00C12216">
          <w:rPr>
            <w:rStyle w:val="TextoNormalCaracter"/>
          </w:rPr>
          <w:t>12/2008</w:t>
        </w:r>
      </w:hyperlink>
      <w:r>
        <w:t>.</w:t>
      </w:r>
    </w:p>
    <w:p w:rsidR="00C12216" w:rsidRDefault="00C12216" w:rsidP="00C12216">
      <w:pPr>
        <w:pStyle w:val="SangriaFrancesaArticulo"/>
      </w:pPr>
    </w:p>
    <w:p w:rsidR="00C12216" w:rsidRDefault="00C12216" w:rsidP="00C12216">
      <w:pPr>
        <w:pStyle w:val="TextoNormalNegritaCursivandice"/>
      </w:pPr>
      <w:r>
        <w:t>Ley 15/2005, de 8 de julio. Modificación del Código civil y la Ley de enjuiciamiento civil en materia de separación y divorcio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2" w:history="1">
        <w:r w:rsidRPr="00C12216">
          <w:rPr>
            <w:rStyle w:val="TextoNormalCaracter"/>
          </w:rPr>
          <w:t>22/2008</w:t>
        </w:r>
      </w:hyperlink>
      <w:r>
        <w:t>, f. 7.</w:t>
      </w:r>
    </w:p>
    <w:p w:rsidR="00C12216" w:rsidRDefault="00C12216" w:rsidP="00C12216">
      <w:pPr>
        <w:pStyle w:val="SangriaFrancesaArticulo"/>
      </w:pPr>
    </w:p>
    <w:p w:rsidR="00C12216" w:rsidRDefault="00C12216" w:rsidP="00C12216">
      <w:pPr>
        <w:pStyle w:val="TextoNormalNegritaCursivandice"/>
      </w:pPr>
      <w:r>
        <w:t>Ley 28/2005, de 26 de diciembre. Medidas sanitarias frente al tabaquismo y reguladora de la venta, el suministro, el consumo y la publicidad de los productos del tabaco</w:t>
      </w:r>
    </w:p>
    <w:p w:rsidR="00C12216" w:rsidRDefault="00C12216" w:rsidP="00C12216">
      <w:pPr>
        <w:pStyle w:val="SangriaFrancesaArticulo"/>
      </w:pPr>
      <w:r w:rsidRPr="00C12216">
        <w:rPr>
          <w:rStyle w:val="TextoNormalNegritaCaracter"/>
        </w:rPr>
        <w:t>Artículos 3 a 8.</w:t>
      </w:r>
      <w:r w:rsidRPr="00C12216">
        <w:rPr>
          <w:rStyle w:val="TextoNormalCaracter"/>
        </w:rPr>
        <w:t>-</w:t>
      </w:r>
      <w:r>
        <w:t xml:space="preserve"> Auto </w:t>
      </w:r>
      <w:hyperlink w:anchor="AUTO_2008_80" w:history="1">
        <w:r w:rsidRPr="00C12216">
          <w:rPr>
            <w:rStyle w:val="TextoNormalCaracter"/>
          </w:rPr>
          <w:t>80/2008</w:t>
        </w:r>
      </w:hyperlink>
      <w:r>
        <w:t>.</w:t>
      </w:r>
    </w:p>
    <w:p w:rsidR="00C12216" w:rsidRDefault="00C12216" w:rsidP="00C12216">
      <w:pPr>
        <w:pStyle w:val="SangriaFrancesaArticulo"/>
      </w:pPr>
    </w:p>
    <w:p w:rsidR="00C12216" w:rsidRDefault="00C12216" w:rsidP="00C12216">
      <w:pPr>
        <w:pStyle w:val="TextoNormalNegritaCursivandice"/>
      </w:pPr>
      <w:r>
        <w:t>Ley 10/2006, de 28 de abril. Modificación de la Ley 43/2003, de 21 de noviembre. Montes</w:t>
      </w:r>
    </w:p>
    <w:p w:rsidR="00C12216" w:rsidRDefault="00C12216" w:rsidP="00C12216">
      <w:pPr>
        <w:pStyle w:val="SangriaFrancesaArticulo"/>
      </w:pPr>
      <w:r w:rsidRPr="00C12216">
        <w:rPr>
          <w:rStyle w:val="TextoNormalNegritaCaracter"/>
        </w:rPr>
        <w:lastRenderedPageBreak/>
        <w:t>En general.</w:t>
      </w:r>
      <w:r w:rsidRPr="00C12216">
        <w:rPr>
          <w:rStyle w:val="TextoNormalCaracter"/>
        </w:rPr>
        <w:t>-</w:t>
      </w:r>
      <w:r>
        <w:t xml:space="preserve"> Auto </w:t>
      </w:r>
      <w:hyperlink w:anchor="AUTO_2008_88" w:history="1">
        <w:r w:rsidRPr="00C12216">
          <w:rPr>
            <w:rStyle w:val="TextoNormalCaracter"/>
          </w:rPr>
          <w:t>88/2008</w:t>
        </w:r>
      </w:hyperlink>
      <w:r>
        <w:t>.</w:t>
      </w:r>
    </w:p>
    <w:p w:rsidR="00C12216" w:rsidRDefault="00C12216" w:rsidP="00C12216">
      <w:pPr>
        <w:pStyle w:val="SangriaFrancesaArticulo"/>
      </w:pPr>
    </w:p>
    <w:p w:rsidR="00C12216" w:rsidRDefault="00C12216" w:rsidP="00C12216">
      <w:pPr>
        <w:pStyle w:val="TextoNormalNegritaCursivandice"/>
      </w:pPr>
      <w:r>
        <w:t>Ley 29/2006, de 26 de julio. Garantías y uso racional de los medicamentos y productos sanitarios</w:t>
      </w:r>
    </w:p>
    <w:p w:rsidR="00C12216" w:rsidRDefault="00C12216" w:rsidP="00C12216">
      <w:pPr>
        <w:pStyle w:val="SangriaFrancesaArticulo"/>
      </w:pPr>
      <w:r w:rsidRPr="00C12216">
        <w:rPr>
          <w:rStyle w:val="TextoNormalNegritaCaracter"/>
        </w:rPr>
        <w:t>Artículo 84.</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Artículo 84.2 b).</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TextoNormal"/>
      </w:pPr>
    </w:p>
    <w:p w:rsidR="00C12216" w:rsidRDefault="00C12216" w:rsidP="00C12216">
      <w:pPr>
        <w:pStyle w:val="SangriaFrancesaArticulo"/>
      </w:pPr>
      <w:bookmarkStart w:id="186" w:name="INDICE22847"/>
    </w:p>
    <w:bookmarkEnd w:id="186"/>
    <w:p w:rsidR="00C12216" w:rsidRDefault="00C12216" w:rsidP="00C12216">
      <w:pPr>
        <w:pStyle w:val="TextoIndiceNivel2"/>
        <w:suppressAutoHyphens/>
      </w:pPr>
      <w:r>
        <w:t>F) Reales Decretos Legislativos</w:t>
      </w:r>
    </w:p>
    <w:p w:rsidR="00C12216" w:rsidRDefault="00C12216" w:rsidP="00C12216">
      <w:pPr>
        <w:pStyle w:val="TextoIndiceNivel2"/>
      </w:pPr>
    </w:p>
    <w:p w:rsidR="00C12216" w:rsidRDefault="00C12216" w:rsidP="00C12216">
      <w:pPr>
        <w:pStyle w:val="TextoNormalNegritaCursivandice"/>
      </w:pPr>
      <w:r>
        <w:t>Real Decreto Legislativo 3050/1980, de 30 de diciembre. Texto refundido de la Ley del impuesto sobre transmisiones patrimoniales y actos jurídicos documentados</w:t>
      </w:r>
    </w:p>
    <w:p w:rsidR="00C12216" w:rsidRDefault="00C12216" w:rsidP="00C12216">
      <w:pPr>
        <w:pStyle w:val="SangriaFrancesaArticulo"/>
      </w:pPr>
      <w:r w:rsidRPr="00C12216">
        <w:rPr>
          <w:rStyle w:val="TextoNormalNegritaCaracter"/>
        </w:rPr>
        <w:t>Artículo 59.2.</w:t>
      </w:r>
      <w:r w:rsidRPr="00C12216">
        <w:rPr>
          <w:rStyle w:val="TextoNormalCaracter"/>
        </w:rPr>
        <w:t>-</w:t>
      </w:r>
      <w:r>
        <w:t xml:space="preserve"> Sentencia </w:t>
      </w:r>
      <w:hyperlink w:anchor="SENTENCIA_2008_46" w:history="1">
        <w:r w:rsidRPr="00C12216">
          <w:rPr>
            <w:rStyle w:val="TextoNormalCaracter"/>
          </w:rPr>
          <w:t>46/2008</w:t>
        </w:r>
      </w:hyperlink>
      <w:r>
        <w:t>, f. 3.</w:t>
      </w:r>
    </w:p>
    <w:p w:rsidR="00C12216" w:rsidRDefault="00C12216" w:rsidP="00C12216">
      <w:pPr>
        <w:pStyle w:val="SangriaFrancesaArticulo"/>
      </w:pPr>
    </w:p>
    <w:p w:rsidR="00C12216" w:rsidRDefault="00C12216" w:rsidP="00C12216">
      <w:pPr>
        <w:pStyle w:val="TextoNormalNegritaCursivandice"/>
      </w:pPr>
      <w:r>
        <w:t>Real Decreto Legislativo 781/1986, de 18 de abril. Texto refundido de las disposiciones legales vigentes en materia de régimen local</w:t>
      </w:r>
    </w:p>
    <w:p w:rsidR="00C12216" w:rsidRDefault="00C12216" w:rsidP="00C12216">
      <w:pPr>
        <w:pStyle w:val="SangriaFrancesaArticulo"/>
      </w:pPr>
      <w:r w:rsidRPr="00C12216">
        <w:rPr>
          <w:rStyle w:val="TextoNormalNegritaCaracter"/>
        </w:rPr>
        <w:t>Artículo 54.3.</w:t>
      </w:r>
      <w:r w:rsidRPr="00C12216">
        <w:rPr>
          <w:rStyle w:val="TextoNormalCaracter"/>
        </w:rPr>
        <w:t>-</w:t>
      </w:r>
      <w:r>
        <w:t xml:space="preserve"> Sentencia </w:t>
      </w:r>
      <w:hyperlink w:anchor="SENTENCIA_2008_14" w:history="1">
        <w:r w:rsidRPr="00C12216">
          <w:rPr>
            <w:rStyle w:val="TextoNormalCaracter"/>
          </w:rPr>
          <w:t>14/2008</w:t>
        </w:r>
      </w:hyperlink>
      <w:r>
        <w:t>, f. 1.</w:t>
      </w:r>
    </w:p>
    <w:p w:rsidR="00C12216" w:rsidRDefault="00C12216" w:rsidP="00C12216">
      <w:pPr>
        <w:pStyle w:val="SangriaFrancesaArticulo"/>
      </w:pPr>
    </w:p>
    <w:p w:rsidR="00C12216" w:rsidRDefault="00C12216" w:rsidP="00C12216">
      <w:pPr>
        <w:pStyle w:val="TextoNormalNegritaCursivandice"/>
      </w:pPr>
      <w:r>
        <w:t>Real Decreto Legislativo 1091/1988, de 23 de septiembre. Texto refundido de  la Ley general presupuestaria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3" w:history="1">
        <w:r w:rsidRPr="00C12216">
          <w:rPr>
            <w:rStyle w:val="TextoNormalCaracter"/>
          </w:rPr>
          <w:t>43/2008</w:t>
        </w:r>
      </w:hyperlink>
      <w:r>
        <w:t>, f. 4, VP.</w:t>
      </w:r>
    </w:p>
    <w:p w:rsidR="00C12216" w:rsidRDefault="00C12216" w:rsidP="00C12216">
      <w:pPr>
        <w:pStyle w:val="SangriaFrancesaArticulo"/>
      </w:pPr>
      <w:r w:rsidRPr="00C12216">
        <w:rPr>
          <w:rStyle w:val="TextoNormalNegritaCaracter"/>
        </w:rPr>
        <w:t>Disposición derogatoria.</w:t>
      </w:r>
      <w:r w:rsidRPr="00C12216">
        <w:rPr>
          <w:rStyle w:val="TextoNormalCaracter"/>
        </w:rPr>
        <w:t>-</w:t>
      </w:r>
      <w:r>
        <w:t xml:space="preserve"> Sentencia </w:t>
      </w:r>
      <w:hyperlink w:anchor="SENTENCIA_2008_43" w:history="1">
        <w:r w:rsidRPr="00C12216">
          <w:rPr>
            <w:rStyle w:val="TextoNormalCaracter"/>
          </w:rPr>
          <w:t>43/2008</w:t>
        </w:r>
      </w:hyperlink>
      <w:r>
        <w:t>, VP.</w:t>
      </w:r>
    </w:p>
    <w:p w:rsidR="00C12216" w:rsidRDefault="00C12216" w:rsidP="00C12216">
      <w:pPr>
        <w:pStyle w:val="SangriaFrancesaArticulo"/>
      </w:pPr>
    </w:p>
    <w:p w:rsidR="00C12216" w:rsidRDefault="00C12216" w:rsidP="00C12216">
      <w:pPr>
        <w:pStyle w:val="TextoNormalNegritaCursivandice"/>
      </w:pPr>
      <w:r>
        <w:t>Real Decreto Legislativo 339/1990, de 2 de marzo. Texto articulado de la Ley de bases sobre tráfico, circulación de vehículos a motor y seguridad vial</w:t>
      </w:r>
    </w:p>
    <w:p w:rsidR="00C12216" w:rsidRDefault="00C12216" w:rsidP="00C12216">
      <w:pPr>
        <w:pStyle w:val="SangriaFrancesaArticulo"/>
      </w:pPr>
      <w:r w:rsidRPr="00C12216">
        <w:rPr>
          <w:rStyle w:val="TextoNormalNegritaCaracter"/>
        </w:rPr>
        <w:t>Artículo 72.1.</w:t>
      </w:r>
      <w:r w:rsidRPr="00C12216">
        <w:rPr>
          <w:rStyle w:val="TextoNormalCaracter"/>
        </w:rPr>
        <w:t>-</w:t>
      </w:r>
      <w:r>
        <w:t xml:space="preserve"> Sentencia </w:t>
      </w:r>
      <w:hyperlink w:anchor="SENTENCIA_2008_54" w:history="1">
        <w:r w:rsidRPr="00C12216">
          <w:rPr>
            <w:rStyle w:val="TextoNormalCaracter"/>
          </w:rPr>
          <w:t>54/2008</w:t>
        </w:r>
      </w:hyperlink>
      <w:r>
        <w:t>, f. 6.</w:t>
      </w:r>
    </w:p>
    <w:p w:rsidR="00C12216" w:rsidRDefault="00C12216" w:rsidP="00C12216">
      <w:pPr>
        <w:pStyle w:val="SangriaFrancesaArticulo"/>
      </w:pPr>
      <w:r w:rsidRPr="00C12216">
        <w:rPr>
          <w:rStyle w:val="TextoNormalNegritaCaracter"/>
        </w:rPr>
        <w:t>Artículo 72.3</w:t>
      </w:r>
      <w:r>
        <w:t xml:space="preserve"> </w:t>
      </w:r>
      <w:r w:rsidRPr="00C12216">
        <w:rPr>
          <w:rStyle w:val="TextoNormalCaracter"/>
        </w:rPr>
        <w:t>(redactado por la Ley 19/2001, de 19 de diciembre)</w:t>
      </w:r>
      <w:r w:rsidRPr="00C12216">
        <w:rPr>
          <w:rStyle w:val="TextoNormalNegritaCaracter"/>
        </w:rPr>
        <w:t>.</w:t>
      </w:r>
      <w:r w:rsidRPr="00C12216">
        <w:rPr>
          <w:rStyle w:val="TextoNormalCaracter"/>
        </w:rPr>
        <w:t>-</w:t>
      </w:r>
      <w:r>
        <w:t xml:space="preserve"> Sentencia </w:t>
      </w:r>
      <w:hyperlink w:anchor="SENTENCIA_2008_54" w:history="1">
        <w:r w:rsidRPr="00C12216">
          <w:rPr>
            <w:rStyle w:val="TextoNormalCaracter"/>
          </w:rPr>
          <w:t>54/2008</w:t>
        </w:r>
      </w:hyperlink>
      <w:r>
        <w:t>, ff. 1, 3, 5, 6.</w:t>
      </w:r>
    </w:p>
    <w:p w:rsidR="00C12216" w:rsidRDefault="00C12216" w:rsidP="00C12216">
      <w:pPr>
        <w:pStyle w:val="SangriaFrancesaArticulo"/>
      </w:pPr>
    </w:p>
    <w:p w:rsidR="00C12216" w:rsidRDefault="00C12216" w:rsidP="00C12216">
      <w:pPr>
        <w:pStyle w:val="TextoNormalNegritaCursivandice"/>
      </w:pPr>
      <w:r>
        <w:t>Real Decreto Legislativo 1/1993, de 24 de septiembre. Texto refundido de la Ley del impuesto sobre transmisiones patrimoniales y actos jurídicos documentados</w:t>
      </w:r>
    </w:p>
    <w:p w:rsidR="00C12216" w:rsidRDefault="00C12216" w:rsidP="00C12216">
      <w:pPr>
        <w:pStyle w:val="SangriaFrancesaArticulo"/>
      </w:pPr>
      <w:r w:rsidRPr="00C12216">
        <w:rPr>
          <w:rStyle w:val="TextoNormalNegritaCaracter"/>
        </w:rPr>
        <w:t>Artículo 56.3.</w:t>
      </w:r>
      <w:r w:rsidRPr="00C12216">
        <w:rPr>
          <w:rStyle w:val="TextoNormalCaracter"/>
        </w:rPr>
        <w:t>-</w:t>
      </w:r>
      <w:r>
        <w:t xml:space="preserve"> Sentencia </w:t>
      </w:r>
      <w:hyperlink w:anchor="SENTENCIA_2008_46" w:history="1">
        <w:r w:rsidRPr="00C12216">
          <w:rPr>
            <w:rStyle w:val="TextoNormalCaracter"/>
          </w:rPr>
          <w:t>46/2008</w:t>
        </w:r>
      </w:hyperlink>
      <w:r>
        <w:t>, ff. 1 a 3.</w:t>
      </w:r>
    </w:p>
    <w:p w:rsidR="00C12216" w:rsidRDefault="00C12216" w:rsidP="00C12216">
      <w:pPr>
        <w:pStyle w:val="SangriaFrancesaArticulo"/>
      </w:pPr>
    </w:p>
    <w:p w:rsidR="00C12216" w:rsidRDefault="00C12216" w:rsidP="00C12216">
      <w:pPr>
        <w:pStyle w:val="TextoNormalNegritaCursivandice"/>
      </w:pPr>
      <w:r>
        <w:t>Real Decreto Legislativo 1/1994, de 20 de junio. Texto refundido de la Ley general de la Seguridad Social</w:t>
      </w:r>
    </w:p>
    <w:p w:rsidR="00C12216" w:rsidRDefault="00C12216" w:rsidP="00C12216">
      <w:pPr>
        <w:pStyle w:val="SangriaFrancesaArticulo"/>
      </w:pPr>
      <w:r w:rsidRPr="00C12216">
        <w:rPr>
          <w:rStyle w:val="TextoNormalNegritaCaracter"/>
        </w:rPr>
        <w:t>Artículo 123.</w:t>
      </w:r>
      <w:r w:rsidRPr="00C12216">
        <w:rPr>
          <w:rStyle w:val="TextoNormalCaracter"/>
        </w:rPr>
        <w:t>-</w:t>
      </w:r>
      <w:r>
        <w:t xml:space="preserve"> Sentencia </w:t>
      </w:r>
      <w:hyperlink w:anchor="SENTENCIA_2008_16" w:history="1">
        <w:r w:rsidRPr="00C12216">
          <w:rPr>
            <w:rStyle w:val="TextoNormalCaracter"/>
          </w:rPr>
          <w:t>16/2008</w:t>
        </w:r>
      </w:hyperlink>
      <w:r>
        <w:t>, f. 3.</w:t>
      </w:r>
    </w:p>
    <w:p w:rsidR="00C12216" w:rsidRDefault="00C12216" w:rsidP="00C12216">
      <w:pPr>
        <w:pStyle w:val="SangriaFrancesaArticulo"/>
      </w:pPr>
    </w:p>
    <w:p w:rsidR="00C12216" w:rsidRDefault="00C12216" w:rsidP="00C12216">
      <w:pPr>
        <w:pStyle w:val="TextoNormalNegritaCursivandice"/>
      </w:pPr>
      <w:r>
        <w:t>Real Decreto Legislativo 1/1995, de 24 de marzo. Texto refundido de la Ley del estatuto de los trabajadores</w:t>
      </w:r>
    </w:p>
    <w:p w:rsidR="00C12216" w:rsidRDefault="00C12216" w:rsidP="00C12216">
      <w:pPr>
        <w:pStyle w:val="SangriaFrancesaArticulo"/>
      </w:pPr>
      <w:r w:rsidRPr="00C12216">
        <w:rPr>
          <w:rStyle w:val="TextoNormalNegritaCaracter"/>
        </w:rPr>
        <w:t>Artículo 36.5.</w:t>
      </w:r>
      <w:r w:rsidRPr="00C12216">
        <w:rPr>
          <w:rStyle w:val="TextoNormalCaracter"/>
        </w:rPr>
        <w:t>-</w:t>
      </w:r>
      <w:r>
        <w:t xml:space="preserve"> Sentencia </w:t>
      </w:r>
      <w:hyperlink w:anchor="SENTENCIA_2008_16" w:history="1">
        <w:r w:rsidRPr="00C12216">
          <w:rPr>
            <w:rStyle w:val="TextoNormalCaracter"/>
          </w:rPr>
          <w:t>16/2008</w:t>
        </w:r>
      </w:hyperlink>
      <w:r>
        <w:t>, f. 3.</w:t>
      </w:r>
    </w:p>
    <w:p w:rsidR="00C12216" w:rsidRDefault="00C12216" w:rsidP="00C12216">
      <w:pPr>
        <w:pStyle w:val="SangriaFrancesaArticulo"/>
      </w:pPr>
    </w:p>
    <w:p w:rsidR="00C12216" w:rsidRDefault="00C12216" w:rsidP="00C12216">
      <w:pPr>
        <w:pStyle w:val="TextoNormalNegritaCursivandice"/>
      </w:pPr>
      <w:r>
        <w:t>Real Decreto Legislativo 2/1995, de 7 de abril. Texto refundido de la Ley de  procedimiento laboral</w:t>
      </w:r>
    </w:p>
    <w:p w:rsidR="00C12216" w:rsidRDefault="00C12216" w:rsidP="00C12216">
      <w:pPr>
        <w:pStyle w:val="SangriaFrancesaArticulo"/>
      </w:pPr>
      <w:r w:rsidRPr="00C12216">
        <w:rPr>
          <w:rStyle w:val="TextoNormalNegritaCaracter"/>
        </w:rPr>
        <w:t>Artículo 91.2.</w:t>
      </w:r>
      <w:r w:rsidRPr="00C12216">
        <w:rPr>
          <w:rStyle w:val="TextoNormalCaracter"/>
        </w:rPr>
        <w:t>-</w:t>
      </w:r>
      <w:r>
        <w:t xml:space="preserve"> Sentencia </w:t>
      </w:r>
      <w:hyperlink w:anchor="SENTENCIA_2008_2" w:history="1">
        <w:r w:rsidRPr="00C12216">
          <w:rPr>
            <w:rStyle w:val="TextoNormalCaracter"/>
          </w:rPr>
          <w:t>2/2008</w:t>
        </w:r>
      </w:hyperlink>
      <w:r>
        <w:t>, f. 3.</w:t>
      </w:r>
    </w:p>
    <w:p w:rsidR="00C12216" w:rsidRDefault="00C12216" w:rsidP="00C12216">
      <w:pPr>
        <w:pStyle w:val="SangriaFrancesaArticulo"/>
      </w:pPr>
      <w:r w:rsidRPr="00C12216">
        <w:rPr>
          <w:rStyle w:val="TextoNormalNegritaCaracter"/>
        </w:rPr>
        <w:t>Artículo 155.</w:t>
      </w:r>
      <w:r w:rsidRPr="00C12216">
        <w:rPr>
          <w:rStyle w:val="TextoNormalCaracter"/>
        </w:rPr>
        <w:t>-</w:t>
      </w:r>
      <w:r>
        <w:t xml:space="preserve"> Sentencia </w:t>
      </w:r>
      <w:hyperlink w:anchor="SENTENCIA_2008_7" w:history="1">
        <w:r w:rsidRPr="00C12216">
          <w:rPr>
            <w:rStyle w:val="TextoNormalCaracter"/>
          </w:rPr>
          <w:t>7/2008</w:t>
        </w:r>
      </w:hyperlink>
      <w:r>
        <w:t>, f. 3.</w:t>
      </w:r>
    </w:p>
    <w:p w:rsidR="00C12216" w:rsidRDefault="00C12216" w:rsidP="00C12216">
      <w:pPr>
        <w:pStyle w:val="SangriaFrancesaArticulo"/>
      </w:pPr>
      <w:r w:rsidRPr="00C12216">
        <w:rPr>
          <w:rStyle w:val="TextoNormalNegritaCaracter"/>
        </w:rPr>
        <w:lastRenderedPageBreak/>
        <w:t>Artículo 179.2.</w:t>
      </w:r>
      <w:r w:rsidRPr="00C12216">
        <w:rPr>
          <w:rStyle w:val="TextoNormalCaracter"/>
        </w:rPr>
        <w:t>-</w:t>
      </w:r>
      <w:r>
        <w:t xml:space="preserve"> Auto </w:t>
      </w:r>
      <w:hyperlink w:anchor="AUTO_2008_30" w:history="1">
        <w:r w:rsidRPr="00C12216">
          <w:rPr>
            <w:rStyle w:val="TextoNormalCaracter"/>
          </w:rPr>
          <w:t>30/2008</w:t>
        </w:r>
      </w:hyperlink>
      <w:r>
        <w:t>.</w:t>
      </w:r>
    </w:p>
    <w:p w:rsidR="00C12216" w:rsidRDefault="00C12216" w:rsidP="00C12216">
      <w:pPr>
        <w:pStyle w:val="SangriaFrancesaArticulo"/>
      </w:pPr>
      <w:r w:rsidRPr="00C12216">
        <w:rPr>
          <w:rStyle w:val="TextoNormalNegritaCaracter"/>
        </w:rPr>
        <w:t>Artículo 192.1.</w:t>
      </w:r>
      <w:r w:rsidRPr="00C12216">
        <w:rPr>
          <w:rStyle w:val="TextoNormalCaracter"/>
        </w:rPr>
        <w:t>-</w:t>
      </w:r>
      <w:r>
        <w:t xml:space="preserve"> Auto </w:t>
      </w:r>
      <w:hyperlink w:anchor="AUTO_2008_83" w:history="1">
        <w:r w:rsidRPr="00C12216">
          <w:rPr>
            <w:rStyle w:val="TextoNormalCaracter"/>
          </w:rPr>
          <w:t>83/2008</w:t>
        </w:r>
      </w:hyperlink>
      <w:r>
        <w:t>.</w:t>
      </w:r>
    </w:p>
    <w:p w:rsidR="00C12216" w:rsidRDefault="00C12216" w:rsidP="00C12216">
      <w:pPr>
        <w:pStyle w:val="SangriaFrancesaArticulo"/>
      </w:pPr>
      <w:r w:rsidRPr="00C12216">
        <w:rPr>
          <w:rStyle w:val="TextoNormalNegritaCaracter"/>
        </w:rPr>
        <w:t>Artículo 193.1.</w:t>
      </w:r>
      <w:r w:rsidRPr="00C12216">
        <w:rPr>
          <w:rStyle w:val="TextoNormalCaracter"/>
        </w:rPr>
        <w:t>-</w:t>
      </w:r>
      <w:r>
        <w:t xml:space="preserve"> Auto </w:t>
      </w:r>
      <w:hyperlink w:anchor="AUTO_2008_83" w:history="1">
        <w:r w:rsidRPr="00C12216">
          <w:rPr>
            <w:rStyle w:val="TextoNormalCaracter"/>
          </w:rPr>
          <w:t>83/2008</w:t>
        </w:r>
      </w:hyperlink>
      <w:r>
        <w:t>.</w:t>
      </w:r>
    </w:p>
    <w:p w:rsidR="00C12216" w:rsidRDefault="00C12216" w:rsidP="00C12216">
      <w:pPr>
        <w:pStyle w:val="SangriaFrancesaArticulo"/>
      </w:pPr>
      <w:r w:rsidRPr="00C12216">
        <w:rPr>
          <w:rStyle w:val="TextoNormalNegritaCaracter"/>
        </w:rPr>
        <w:t>Artículo 217.</w:t>
      </w:r>
      <w:r w:rsidRPr="00C12216">
        <w:rPr>
          <w:rStyle w:val="TextoNormalCaracter"/>
        </w:rPr>
        <w:t>-</w:t>
      </w:r>
      <w:r>
        <w:t xml:space="preserve"> Sentencia </w:t>
      </w:r>
      <w:hyperlink w:anchor="SENTENCIA_2008_56" w:history="1">
        <w:r w:rsidRPr="00C12216">
          <w:rPr>
            <w:rStyle w:val="TextoNormalCaracter"/>
          </w:rPr>
          <w:t>56/2008</w:t>
        </w:r>
      </w:hyperlink>
      <w:r>
        <w:t>, f. 2.</w:t>
      </w:r>
    </w:p>
    <w:p w:rsidR="00C12216" w:rsidRDefault="00C12216" w:rsidP="00C12216">
      <w:pPr>
        <w:pStyle w:val="SangriaIzquierdaArticulo"/>
      </w:pPr>
      <w:r>
        <w:t xml:space="preserve">Auto </w:t>
      </w:r>
      <w:hyperlink w:anchor="AUTO_2008_30" w:history="1">
        <w:r w:rsidRPr="00C12216">
          <w:rPr>
            <w:rStyle w:val="TextoNormalCaracter"/>
          </w:rPr>
          <w:t>30/2008</w:t>
        </w:r>
      </w:hyperlink>
      <w:r>
        <w:t>.</w:t>
      </w:r>
    </w:p>
    <w:p w:rsidR="00C12216" w:rsidRDefault="00C12216" w:rsidP="00C12216">
      <w:pPr>
        <w:pStyle w:val="TextoNormal"/>
      </w:pPr>
    </w:p>
    <w:p w:rsidR="00C12216" w:rsidRDefault="00C12216" w:rsidP="00C12216">
      <w:pPr>
        <w:pStyle w:val="SangriaIzquierdaArticulo"/>
      </w:pPr>
      <w:bookmarkStart w:id="187" w:name="INDICE22848"/>
    </w:p>
    <w:bookmarkEnd w:id="187"/>
    <w:p w:rsidR="00C12216" w:rsidRDefault="00C12216" w:rsidP="00C12216">
      <w:pPr>
        <w:pStyle w:val="TextoIndiceNivel2"/>
        <w:suppressAutoHyphens/>
      </w:pPr>
      <w:r>
        <w:t>G) Reales Decretos-leyes</w:t>
      </w:r>
    </w:p>
    <w:p w:rsidR="00C12216" w:rsidRDefault="00C12216" w:rsidP="00C12216">
      <w:pPr>
        <w:pStyle w:val="TextoIndiceNivel2"/>
      </w:pPr>
    </w:p>
    <w:p w:rsidR="00C12216" w:rsidRDefault="00C12216" w:rsidP="00C12216">
      <w:pPr>
        <w:pStyle w:val="TextoNormalNegritaCursivandice"/>
      </w:pPr>
      <w:r>
        <w:t>Real Decreto-ley 8/1982, de 30 de abril. Modificación del Real Decreto-ley 16/1977, de 25 de febrero, por el que se regulan los aspectos penales, administrativos y fiscales de los juegos de suerte, envite o azar y apuestas</w:t>
      </w:r>
    </w:p>
    <w:p w:rsidR="00C12216" w:rsidRDefault="00C12216" w:rsidP="00C12216">
      <w:pPr>
        <w:pStyle w:val="SangriaFrancesaArticulo"/>
      </w:pPr>
      <w:r w:rsidRPr="00C12216">
        <w:rPr>
          <w:rStyle w:val="TextoNormalNegritaCaracter"/>
        </w:rPr>
        <w:t>Exposición de motivos.</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t>Real Decreto-Ley 2/2006, de 10 de febrero. Modificación de los tipos impositivos del impuesto sobre las labores del tabaco y de la Ley 28/2005, de 26 de diciembre, de medidas sanitarias frente al tabaquismo</w:t>
      </w:r>
    </w:p>
    <w:p w:rsidR="00C12216" w:rsidRDefault="00C12216" w:rsidP="00C12216">
      <w:pPr>
        <w:pStyle w:val="SangriaFrancesaArticulo"/>
      </w:pPr>
      <w:r w:rsidRPr="00C12216">
        <w:rPr>
          <w:rStyle w:val="TextoNormalNegritaCaracter"/>
        </w:rPr>
        <w:t>Exposición de motivos.</w:t>
      </w:r>
      <w:r w:rsidRPr="00C12216">
        <w:rPr>
          <w:rStyle w:val="TextoNormalCaracter"/>
        </w:rPr>
        <w:t>-</w:t>
      </w:r>
      <w:r>
        <w:t xml:space="preserve"> Auto </w:t>
      </w:r>
      <w:hyperlink w:anchor="AUTO_2008_80" w:history="1">
        <w:r w:rsidRPr="00C12216">
          <w:rPr>
            <w:rStyle w:val="TextoNormalCaracter"/>
          </w:rPr>
          <w:t>80/2008</w:t>
        </w:r>
      </w:hyperlink>
      <w:r>
        <w:t>.</w:t>
      </w:r>
    </w:p>
    <w:p w:rsidR="00C12216" w:rsidRDefault="00C12216" w:rsidP="00C12216">
      <w:pPr>
        <w:pStyle w:val="TextoNormal"/>
      </w:pPr>
    </w:p>
    <w:p w:rsidR="00C12216" w:rsidRDefault="00C12216" w:rsidP="00C12216">
      <w:pPr>
        <w:pStyle w:val="SangriaFrancesaArticulo"/>
      </w:pPr>
      <w:bookmarkStart w:id="188" w:name="INDICE22849"/>
    </w:p>
    <w:bookmarkEnd w:id="188"/>
    <w:p w:rsidR="00C12216" w:rsidRDefault="00C12216" w:rsidP="00C12216">
      <w:pPr>
        <w:pStyle w:val="TextoIndiceNivel2"/>
        <w:suppressAutoHyphens/>
      </w:pPr>
      <w:r>
        <w:t>H) Reales Decretos y otras disposiciones generales del Estado</w:t>
      </w:r>
    </w:p>
    <w:p w:rsidR="00C12216" w:rsidRDefault="00C12216" w:rsidP="00C12216">
      <w:pPr>
        <w:pStyle w:val="TextoIndiceNivel2"/>
      </w:pPr>
    </w:p>
    <w:p w:rsidR="00C12216" w:rsidRDefault="00C12216" w:rsidP="00C12216">
      <w:pPr>
        <w:pStyle w:val="TextoNormalNegritaCursivandice"/>
      </w:pPr>
      <w:r>
        <w:t>Real Decreto 1201/1981, de 8 de mayo. Reglamento penitenciario</w:t>
      </w:r>
    </w:p>
    <w:p w:rsidR="00C12216" w:rsidRDefault="00C12216" w:rsidP="00C12216">
      <w:pPr>
        <w:pStyle w:val="SangriaFrancesaArticulo"/>
      </w:pPr>
      <w:r w:rsidRPr="00C12216">
        <w:rPr>
          <w:rStyle w:val="TextoNormalNegritaCaracter"/>
        </w:rPr>
        <w:t>Artículo 108 a).</w:t>
      </w:r>
      <w:r w:rsidRPr="00C12216">
        <w:rPr>
          <w:rStyle w:val="TextoNormalCaracter"/>
        </w:rPr>
        <w:t>-</w:t>
      </w:r>
      <w:r>
        <w:t xml:space="preserve"> Sentencia </w:t>
      </w:r>
      <w:hyperlink w:anchor="SENTENCIA_2008_5" w:history="1">
        <w:r w:rsidRPr="00C12216">
          <w:rPr>
            <w:rStyle w:val="TextoNormalCaracter"/>
          </w:rPr>
          <w:t>5/2008</w:t>
        </w:r>
      </w:hyperlink>
      <w:r>
        <w:t>, ff. 1, 5, 6.</w:t>
      </w:r>
    </w:p>
    <w:p w:rsidR="00C12216" w:rsidRDefault="00C12216" w:rsidP="00C12216">
      <w:pPr>
        <w:pStyle w:val="SangriaFrancesaArticulo"/>
      </w:pPr>
      <w:r w:rsidRPr="00C12216">
        <w:rPr>
          <w:rStyle w:val="TextoNormalNegritaCaracter"/>
        </w:rPr>
        <w:t>Artículo 109 b).</w:t>
      </w:r>
      <w:r w:rsidRPr="00C12216">
        <w:rPr>
          <w:rStyle w:val="TextoNormalCaracter"/>
        </w:rPr>
        <w:t>-</w:t>
      </w:r>
      <w:r>
        <w:t xml:space="preserve"> Sentencia </w:t>
      </w:r>
      <w:hyperlink w:anchor="SENTENCIA_2008_5" w:history="1">
        <w:r w:rsidRPr="00C12216">
          <w:rPr>
            <w:rStyle w:val="TextoNormalCaracter"/>
          </w:rPr>
          <w:t>5/2008</w:t>
        </w:r>
      </w:hyperlink>
      <w:r>
        <w:t>, ff. 1, 5, 6.</w:t>
      </w:r>
    </w:p>
    <w:p w:rsidR="00C12216" w:rsidRDefault="00C12216" w:rsidP="00C12216">
      <w:pPr>
        <w:pStyle w:val="SangriaFrancesaArticulo"/>
      </w:pPr>
      <w:r w:rsidRPr="00C12216">
        <w:rPr>
          <w:rStyle w:val="TextoNormalNegritaCaracter"/>
        </w:rPr>
        <w:t>Artículo 109 e).</w:t>
      </w:r>
      <w:r w:rsidRPr="00C12216">
        <w:rPr>
          <w:rStyle w:val="TextoNormalCaracter"/>
        </w:rPr>
        <w:t>-</w:t>
      </w:r>
      <w:r>
        <w:t xml:space="preserve"> Sentencia </w:t>
      </w:r>
      <w:hyperlink w:anchor="SENTENCIA_2008_5" w:history="1">
        <w:r w:rsidRPr="00C12216">
          <w:rPr>
            <w:rStyle w:val="TextoNormalCaracter"/>
          </w:rPr>
          <w:t>5/2008</w:t>
        </w:r>
      </w:hyperlink>
      <w:r>
        <w:t>, ff. 5, 6.</w:t>
      </w:r>
    </w:p>
    <w:p w:rsidR="00C12216" w:rsidRDefault="00C12216" w:rsidP="00C12216">
      <w:pPr>
        <w:pStyle w:val="SangriaFrancesaArticulo"/>
      </w:pPr>
      <w:r w:rsidRPr="00C12216">
        <w:rPr>
          <w:rStyle w:val="TextoNormalNegritaCaracter"/>
        </w:rPr>
        <w:t>Artículo 110 c).</w:t>
      </w:r>
      <w:r w:rsidRPr="00C12216">
        <w:rPr>
          <w:rStyle w:val="TextoNormalCaracter"/>
        </w:rPr>
        <w:t>-</w:t>
      </w:r>
      <w:r>
        <w:t xml:space="preserve"> Sentencia </w:t>
      </w:r>
      <w:hyperlink w:anchor="SENTENCIA_2008_5" w:history="1">
        <w:r w:rsidRPr="00C12216">
          <w:rPr>
            <w:rStyle w:val="TextoNormalCaracter"/>
          </w:rPr>
          <w:t>5/2008</w:t>
        </w:r>
      </w:hyperlink>
      <w:r>
        <w:t>, ff. 5, 6.</w:t>
      </w:r>
    </w:p>
    <w:p w:rsidR="00C12216" w:rsidRDefault="00C12216" w:rsidP="00C12216">
      <w:pPr>
        <w:pStyle w:val="SangriaFrancesaArticulo"/>
      </w:pPr>
      <w:r w:rsidRPr="00C12216">
        <w:rPr>
          <w:rStyle w:val="TextoNormalNegritaCaracter"/>
        </w:rPr>
        <w:t>Artículo 130.1.</w:t>
      </w:r>
      <w:r w:rsidRPr="00C12216">
        <w:rPr>
          <w:rStyle w:val="TextoNormalCaracter"/>
        </w:rPr>
        <w:t>-</w:t>
      </w:r>
      <w:r>
        <w:t xml:space="preserve"> Sentencia </w:t>
      </w:r>
      <w:hyperlink w:anchor="SENTENCIA_2008_5" w:history="1">
        <w:r w:rsidRPr="00C12216">
          <w:rPr>
            <w:rStyle w:val="TextoNormalCaracter"/>
          </w:rPr>
          <w:t>5/2008</w:t>
        </w:r>
      </w:hyperlink>
      <w:r>
        <w:t>, f. 4.</w:t>
      </w:r>
    </w:p>
    <w:p w:rsidR="00C12216" w:rsidRDefault="00C12216" w:rsidP="00C12216">
      <w:pPr>
        <w:pStyle w:val="SangriaFrancesaArticulo"/>
      </w:pPr>
      <w:r w:rsidRPr="00C12216">
        <w:rPr>
          <w:rStyle w:val="TextoNormalNegritaCaracter"/>
        </w:rPr>
        <w:t>Artículo 242.2.</w:t>
      </w:r>
      <w:r w:rsidRPr="00C12216">
        <w:rPr>
          <w:rStyle w:val="TextoNormalCaracter"/>
        </w:rPr>
        <w:t>-</w:t>
      </w:r>
      <w:r>
        <w:t xml:space="preserve"> Sentencia </w:t>
      </w:r>
      <w:hyperlink w:anchor="SENTENCIA_2008_5" w:history="1">
        <w:r w:rsidRPr="00C12216">
          <w:rPr>
            <w:rStyle w:val="TextoNormalCaracter"/>
          </w:rPr>
          <w:t>5/2008</w:t>
        </w:r>
      </w:hyperlink>
      <w:r>
        <w:t>, f. 4.</w:t>
      </w:r>
    </w:p>
    <w:p w:rsidR="00C12216" w:rsidRDefault="00C12216" w:rsidP="00C12216">
      <w:pPr>
        <w:pStyle w:val="SangriaFrancesaArticulo"/>
      </w:pPr>
      <w:r w:rsidRPr="00C12216">
        <w:rPr>
          <w:rStyle w:val="TextoNormalNegritaCaracter"/>
        </w:rPr>
        <w:t>Artículo 242.2 i).</w:t>
      </w:r>
      <w:r w:rsidRPr="00C12216">
        <w:rPr>
          <w:rStyle w:val="TextoNormalCaracter"/>
        </w:rPr>
        <w:t>-</w:t>
      </w:r>
      <w:r>
        <w:t xml:space="preserve"> Sentencia </w:t>
      </w:r>
      <w:hyperlink w:anchor="SENTENCIA_2008_5" w:history="1">
        <w:r w:rsidRPr="00C12216">
          <w:rPr>
            <w:rStyle w:val="TextoNormalCaracter"/>
          </w:rPr>
          <w:t>5/2008</w:t>
        </w:r>
      </w:hyperlink>
      <w:r>
        <w:t>, f. 1.</w:t>
      </w:r>
    </w:p>
    <w:p w:rsidR="00C12216" w:rsidRDefault="00C12216" w:rsidP="00C12216">
      <w:pPr>
        <w:pStyle w:val="SangriaFrancesaArticulo"/>
      </w:pPr>
      <w:r w:rsidRPr="00C12216">
        <w:rPr>
          <w:rStyle w:val="TextoNormalNegritaCaracter"/>
        </w:rPr>
        <w:t>Artículo 281.5.</w:t>
      </w:r>
      <w:r w:rsidRPr="00C12216">
        <w:rPr>
          <w:rStyle w:val="TextoNormalCaracter"/>
        </w:rPr>
        <w:t>-</w:t>
      </w:r>
      <w:r>
        <w:t xml:space="preserve"> Sentencia </w:t>
      </w:r>
      <w:hyperlink w:anchor="SENTENCIA_2008_5" w:history="1">
        <w:r w:rsidRPr="00C12216">
          <w:rPr>
            <w:rStyle w:val="TextoNormalCaracter"/>
          </w:rPr>
          <w:t>5/2008</w:t>
        </w:r>
      </w:hyperlink>
      <w:r>
        <w:t>, f. 4.</w:t>
      </w:r>
    </w:p>
    <w:p w:rsidR="00C12216" w:rsidRDefault="00C12216" w:rsidP="00C12216">
      <w:pPr>
        <w:pStyle w:val="SangriaFrancesaArticulo"/>
      </w:pPr>
    </w:p>
    <w:p w:rsidR="00C12216" w:rsidRDefault="00C12216" w:rsidP="00C12216">
      <w:pPr>
        <w:pStyle w:val="TextoNormalNegritaCursivandice"/>
      </w:pPr>
      <w:r>
        <w:t>Real Decreto 1616/1985, de 11 de septiembre. Establecimiento del control metrológico que realiza la Administración del Estado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40" w:history="1">
        <w:r w:rsidRPr="00C12216">
          <w:rPr>
            <w:rStyle w:val="TextoNormalCaracter"/>
          </w:rPr>
          <w:t>40/2008</w:t>
        </w:r>
      </w:hyperlink>
      <w:r>
        <w:t>, f. 2.</w:t>
      </w:r>
    </w:p>
    <w:p w:rsidR="00C12216" w:rsidRDefault="00C12216" w:rsidP="00C12216">
      <w:pPr>
        <w:pStyle w:val="SangriaFrancesaArticulo"/>
      </w:pPr>
    </w:p>
    <w:p w:rsidR="00C12216" w:rsidRDefault="00C12216" w:rsidP="00C12216">
      <w:pPr>
        <w:pStyle w:val="TextoNormalNegritaCursivandice"/>
      </w:pPr>
      <w:r>
        <w:t>Real Decreto 2546/1985, de 27 de diciembre. Política económico-financiera del sistema portuario dependiente de la Administración del Estado</w:t>
      </w:r>
    </w:p>
    <w:p w:rsidR="00C12216" w:rsidRDefault="00C12216" w:rsidP="00C12216">
      <w:pPr>
        <w:pStyle w:val="SangriaFrancesaArticulo"/>
      </w:pPr>
      <w:r w:rsidRPr="00C12216">
        <w:rPr>
          <w:rStyle w:val="TextoNormalNegritaCaracter"/>
        </w:rPr>
        <w:t>Artículo 8.</w:t>
      </w:r>
      <w:r w:rsidRPr="00C12216">
        <w:rPr>
          <w:rStyle w:val="TextoNormalCaracter"/>
        </w:rPr>
        <w:t>-</w:t>
      </w:r>
      <w:r>
        <w:t xml:space="preserve"> Sentencia </w:t>
      </w:r>
      <w:hyperlink w:anchor="SENTENCIA_2008_31" w:history="1">
        <w:r w:rsidRPr="00C12216">
          <w:rPr>
            <w:rStyle w:val="TextoNormalCaracter"/>
          </w:rPr>
          <w:t>31/2008</w:t>
        </w:r>
      </w:hyperlink>
      <w:r>
        <w:t>, f. 3.</w:t>
      </w:r>
    </w:p>
    <w:p w:rsidR="00C12216" w:rsidRDefault="00C12216" w:rsidP="00C12216">
      <w:pPr>
        <w:pStyle w:val="SangriaFrancesaArticulo"/>
      </w:pPr>
    </w:p>
    <w:p w:rsidR="00C12216" w:rsidRDefault="00C12216" w:rsidP="00C12216">
      <w:pPr>
        <w:pStyle w:val="TextoNormalNegritaCursivandice"/>
      </w:pPr>
      <w:r>
        <w:t>Real Decreto 1495/1986, de 26 de mayo. Reglamento de seguridad en las máquinas</w:t>
      </w:r>
    </w:p>
    <w:p w:rsidR="00C12216" w:rsidRDefault="00C12216" w:rsidP="00C12216">
      <w:pPr>
        <w:pStyle w:val="SangriaFrancesaArticulo"/>
      </w:pPr>
      <w:r w:rsidRPr="00C12216">
        <w:rPr>
          <w:rStyle w:val="TextoNormalNegritaCaracter"/>
        </w:rPr>
        <w:t>Artículo 3.2.</w:t>
      </w:r>
      <w:r w:rsidRPr="00C12216">
        <w:rPr>
          <w:rStyle w:val="TextoNormalCaracter"/>
        </w:rPr>
        <w:t>-</w:t>
      </w:r>
      <w:r>
        <w:t xml:space="preserve"> Sentencia </w:t>
      </w:r>
      <w:hyperlink w:anchor="SENTENCIA_2008_16" w:history="1">
        <w:r w:rsidRPr="00C12216">
          <w:rPr>
            <w:rStyle w:val="TextoNormalCaracter"/>
          </w:rPr>
          <w:t>16/2008</w:t>
        </w:r>
      </w:hyperlink>
      <w:r>
        <w:t>, f. 3.</w:t>
      </w:r>
    </w:p>
    <w:p w:rsidR="00C12216" w:rsidRDefault="00C12216" w:rsidP="00C12216">
      <w:pPr>
        <w:pStyle w:val="SangriaFrancesaArticulo"/>
      </w:pPr>
    </w:p>
    <w:p w:rsidR="00C12216" w:rsidRDefault="00C12216" w:rsidP="00C12216">
      <w:pPr>
        <w:pStyle w:val="TextoNormalNegritaCursivandice"/>
      </w:pPr>
      <w:r>
        <w:lastRenderedPageBreak/>
        <w:t>Real Decreto 358/1991, de 15 de marzo. Reordena la Organización Nacional de Ciegos Españoles</w:t>
      </w:r>
    </w:p>
    <w:p w:rsidR="00C12216" w:rsidRDefault="00C12216" w:rsidP="00C12216">
      <w:pPr>
        <w:pStyle w:val="SangriaFrancesaArticulo"/>
      </w:pPr>
      <w:r w:rsidRPr="00C12216">
        <w:rPr>
          <w:rStyle w:val="TextoNormalNegritaCaracter"/>
        </w:rPr>
        <w:t>Artículo 1.</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t>Real Decreto 13/1992, de 17 de enero. Reglamento general de circulación para  la aplicación y desarrollo del texto articulado de la Ley de tráfico, circulación de vehículos a motor y seguridad vial</w:t>
      </w:r>
    </w:p>
    <w:p w:rsidR="00C12216" w:rsidRDefault="00C12216" w:rsidP="00C12216">
      <w:pPr>
        <w:pStyle w:val="SangriaFrancesaArticulo"/>
      </w:pPr>
      <w:r w:rsidRPr="00C12216">
        <w:rPr>
          <w:rStyle w:val="TextoNormalNegritaCaracter"/>
        </w:rPr>
        <w:t>Artículo 65.4.</w:t>
      </w:r>
      <w:r w:rsidRPr="00C12216">
        <w:rPr>
          <w:rStyle w:val="TextoNormalCaracter"/>
        </w:rPr>
        <w:t>-</w:t>
      </w:r>
      <w:r>
        <w:t xml:space="preserve"> Sentencia </w:t>
      </w:r>
      <w:hyperlink w:anchor="SENTENCIA_2008_40" w:history="1">
        <w:r w:rsidRPr="00C12216">
          <w:rPr>
            <w:rStyle w:val="TextoNormalCaracter"/>
          </w:rPr>
          <w:t>40/2008</w:t>
        </w:r>
      </w:hyperlink>
      <w:r>
        <w:t>, f. 1.</w:t>
      </w:r>
    </w:p>
    <w:p w:rsidR="00C12216" w:rsidRDefault="00C12216" w:rsidP="00C12216">
      <w:pPr>
        <w:pStyle w:val="SangriaFrancesaArticulo"/>
      </w:pPr>
    </w:p>
    <w:p w:rsidR="00C12216" w:rsidRDefault="00C12216" w:rsidP="00C12216">
      <w:pPr>
        <w:pStyle w:val="TextoNormalNegritaCursivandice"/>
      </w:pPr>
      <w:r>
        <w:t>Orden del Ministerio de Obras Públicas, Transportes y Medio Ambiente, de 11 de febrero de 1994. Establecimiento del control metrológico del Estado para los instrumentos destinados a medir la velocidad de circulación de vehículos a motor</w:t>
      </w:r>
    </w:p>
    <w:p w:rsidR="00C12216" w:rsidRDefault="00C12216" w:rsidP="00C12216">
      <w:pPr>
        <w:pStyle w:val="SangriaFrancesaArticulo"/>
      </w:pPr>
      <w:r w:rsidRPr="00C12216">
        <w:rPr>
          <w:rStyle w:val="TextoNormalNegritaCaracter"/>
        </w:rPr>
        <w:t>Artículo 2.</w:t>
      </w:r>
      <w:r w:rsidRPr="00C12216">
        <w:rPr>
          <w:rStyle w:val="TextoNormalCaracter"/>
        </w:rPr>
        <w:t>-</w:t>
      </w:r>
      <w:r>
        <w:t xml:space="preserve"> Sentencia </w:t>
      </w:r>
      <w:hyperlink w:anchor="SENTENCIA_2008_40" w:history="1">
        <w:r w:rsidRPr="00C12216">
          <w:rPr>
            <w:rStyle w:val="TextoNormalCaracter"/>
          </w:rPr>
          <w:t>40/2008</w:t>
        </w:r>
      </w:hyperlink>
      <w:r>
        <w:t>, f. 2.</w:t>
      </w:r>
    </w:p>
    <w:p w:rsidR="00C12216" w:rsidRDefault="00C12216" w:rsidP="00C12216">
      <w:pPr>
        <w:pStyle w:val="SangriaFrancesaArticulo"/>
      </w:pPr>
    </w:p>
    <w:p w:rsidR="00C12216" w:rsidRDefault="00C12216" w:rsidP="00C12216">
      <w:pPr>
        <w:pStyle w:val="TextoNormalNegritaCursivandice"/>
      </w:pPr>
      <w:r>
        <w:t>Real Decreto 1732/1994, de 29 de julio. Provisión de puestos de trabajo reservados a funcionarios de Administración local con habilitación de carácter nacional</w:t>
      </w:r>
    </w:p>
    <w:p w:rsidR="00C12216" w:rsidRDefault="00C12216" w:rsidP="00C12216">
      <w:pPr>
        <w:pStyle w:val="SangriaFrancesaArticulo"/>
      </w:pPr>
      <w:r w:rsidRPr="00C12216">
        <w:rPr>
          <w:rStyle w:val="TextoNormalNegritaCaracter"/>
        </w:rPr>
        <w:t>Artículo 15.1.</w:t>
      </w:r>
      <w:r w:rsidRPr="00C12216">
        <w:rPr>
          <w:rStyle w:val="TextoNormalCaracter"/>
        </w:rPr>
        <w:t>-</w:t>
      </w:r>
      <w:r>
        <w:t xml:space="preserve"> Sentencia </w:t>
      </w:r>
      <w:hyperlink w:anchor="SENTENCIA_2008_30" w:history="1">
        <w:r w:rsidRPr="00C12216">
          <w:rPr>
            <w:rStyle w:val="TextoNormalCaracter"/>
          </w:rPr>
          <w:t>30/2008</w:t>
        </w:r>
      </w:hyperlink>
      <w:r>
        <w:t>, f. 7.</w:t>
      </w:r>
    </w:p>
    <w:p w:rsidR="00C12216" w:rsidRDefault="00C12216" w:rsidP="00C12216">
      <w:pPr>
        <w:pStyle w:val="SangriaFrancesaArticulo"/>
      </w:pPr>
    </w:p>
    <w:p w:rsidR="00C12216" w:rsidRDefault="00C12216" w:rsidP="00C12216">
      <w:pPr>
        <w:pStyle w:val="TextoNormalNegritaCursivandice"/>
      </w:pPr>
      <w:r>
        <w:t>Orden del Ministerio para las Administraciones Públicas, de 10 de agosto de 1994. Normas sobre concursos de provisión de puestos reservados a funcionarios de Administración local con habilitación de carácter nacional</w:t>
      </w:r>
    </w:p>
    <w:p w:rsidR="00C12216" w:rsidRDefault="00C12216" w:rsidP="00C12216">
      <w:pPr>
        <w:pStyle w:val="SangriaFrancesaArticulo"/>
      </w:pPr>
      <w:r w:rsidRPr="00C12216">
        <w:rPr>
          <w:rStyle w:val="TextoNormalNegritaCaracter"/>
        </w:rPr>
        <w:t>Artículo 1 a).</w:t>
      </w:r>
      <w:r w:rsidRPr="00C12216">
        <w:rPr>
          <w:rStyle w:val="TextoNormalCaracter"/>
        </w:rPr>
        <w:t>-</w:t>
      </w:r>
      <w:r>
        <w:t xml:space="preserve"> Sentencia </w:t>
      </w:r>
      <w:hyperlink w:anchor="SENTENCIA_2008_30" w:history="1">
        <w:r w:rsidRPr="00C12216">
          <w:rPr>
            <w:rStyle w:val="TextoNormalCaracter"/>
          </w:rPr>
          <w:t>30/2008</w:t>
        </w:r>
      </w:hyperlink>
      <w:r>
        <w:t>, f. 7.</w:t>
      </w:r>
    </w:p>
    <w:p w:rsidR="00C12216" w:rsidRDefault="00C12216" w:rsidP="00C12216">
      <w:pPr>
        <w:pStyle w:val="SangriaFrancesaArticulo"/>
      </w:pPr>
    </w:p>
    <w:p w:rsidR="00C12216" w:rsidRDefault="00C12216" w:rsidP="00C12216">
      <w:pPr>
        <w:pStyle w:val="TextoNormalNegritaCursivandice"/>
      </w:pPr>
      <w:r>
        <w:t>Real Decreto 190/1996, de 9 de febrero. Reglamento penitenciario</w:t>
      </w:r>
    </w:p>
    <w:p w:rsidR="00C12216" w:rsidRDefault="00C12216" w:rsidP="00C12216">
      <w:pPr>
        <w:pStyle w:val="SangriaFrancesaArticulo"/>
      </w:pPr>
      <w:r w:rsidRPr="00C12216">
        <w:rPr>
          <w:rStyle w:val="TextoNormalNegritaCaracter"/>
        </w:rPr>
        <w:t>Artículo 23.3.</w:t>
      </w:r>
      <w:r w:rsidRPr="00C12216">
        <w:rPr>
          <w:rStyle w:val="TextoNormalCaracter"/>
        </w:rPr>
        <w:t>-</w:t>
      </w:r>
      <w:r>
        <w:t xml:space="preserve"> Sentencia </w:t>
      </w:r>
      <w:hyperlink w:anchor="SENTENCIA_2008_57" w:history="1">
        <w:r w:rsidRPr="00C12216">
          <w:rPr>
            <w:rStyle w:val="TextoNormalCaracter"/>
          </w:rPr>
          <w:t>57/2008</w:t>
        </w:r>
      </w:hyperlink>
      <w:r>
        <w:t>, f. 7.</w:t>
      </w:r>
    </w:p>
    <w:p w:rsidR="00C12216" w:rsidRDefault="00C12216" w:rsidP="00C12216">
      <w:pPr>
        <w:pStyle w:val="SangriaFrancesaArticulo"/>
      </w:pPr>
      <w:r w:rsidRPr="00C12216">
        <w:rPr>
          <w:rStyle w:val="TextoNormalNegritaCaracter"/>
        </w:rPr>
        <w:t>Artículo 29.2.</w:t>
      </w:r>
      <w:r w:rsidRPr="00C12216">
        <w:rPr>
          <w:rStyle w:val="TextoNormalCaracter"/>
        </w:rPr>
        <w:t>-</w:t>
      </w:r>
      <w:r>
        <w:t xml:space="preserve"> Sentencia </w:t>
      </w:r>
      <w:hyperlink w:anchor="SENTENCIA_2008_57" w:history="1">
        <w:r w:rsidRPr="00C12216">
          <w:rPr>
            <w:rStyle w:val="TextoNormalCaracter"/>
          </w:rPr>
          <w:t>57/2008</w:t>
        </w:r>
      </w:hyperlink>
      <w:r>
        <w:t>, f. 7.</w:t>
      </w:r>
    </w:p>
    <w:p w:rsidR="00C12216" w:rsidRDefault="00C12216" w:rsidP="00C12216">
      <w:pPr>
        <w:pStyle w:val="SangriaFrancesaArticulo"/>
      </w:pPr>
      <w:r w:rsidRPr="00C12216">
        <w:rPr>
          <w:rStyle w:val="TextoNormalNegritaCaracter"/>
        </w:rPr>
        <w:t>Artículo 47.1 b).</w:t>
      </w:r>
      <w:r w:rsidRPr="00C12216">
        <w:rPr>
          <w:rStyle w:val="TextoNormalCaracter"/>
        </w:rPr>
        <w:t>-</w:t>
      </w:r>
      <w:r>
        <w:t xml:space="preserve"> Auto </w:t>
      </w:r>
      <w:hyperlink w:anchor="AUTO_2008_83" w:history="1">
        <w:r w:rsidRPr="00C12216">
          <w:rPr>
            <w:rStyle w:val="TextoNormalCaracter"/>
          </w:rPr>
          <w:t>83/2008</w:t>
        </w:r>
      </w:hyperlink>
      <w:r>
        <w:t>.</w:t>
      </w:r>
    </w:p>
    <w:p w:rsidR="00C12216" w:rsidRDefault="00C12216" w:rsidP="00C12216">
      <w:pPr>
        <w:pStyle w:val="SangriaFrancesaArticulo"/>
      </w:pPr>
      <w:r w:rsidRPr="00C12216">
        <w:rPr>
          <w:rStyle w:val="TextoNormalNegritaCaracter"/>
        </w:rPr>
        <w:t>Artículo 104.</w:t>
      </w:r>
      <w:r w:rsidRPr="00C12216">
        <w:rPr>
          <w:rStyle w:val="TextoNormalCaracter"/>
        </w:rPr>
        <w:t>-</w:t>
      </w:r>
      <w:r>
        <w:t xml:space="preserve"> Sentencia </w:t>
      </w:r>
      <w:hyperlink w:anchor="SENTENCIA_2008_57" w:history="1">
        <w:r w:rsidRPr="00C12216">
          <w:rPr>
            <w:rStyle w:val="TextoNormalCaracter"/>
          </w:rPr>
          <w:t>57/2008</w:t>
        </w:r>
      </w:hyperlink>
      <w:r>
        <w:t>, f. 7.</w:t>
      </w:r>
    </w:p>
    <w:p w:rsidR="00C12216" w:rsidRDefault="00C12216" w:rsidP="00C12216">
      <w:pPr>
        <w:pStyle w:val="SangriaFrancesaArticulo"/>
      </w:pPr>
      <w:r w:rsidRPr="00C12216">
        <w:rPr>
          <w:rStyle w:val="TextoNormalNegritaCaracter"/>
        </w:rPr>
        <w:t>Artículo 154.</w:t>
      </w:r>
      <w:r w:rsidRPr="00C12216">
        <w:rPr>
          <w:rStyle w:val="TextoNormalCaracter"/>
        </w:rPr>
        <w:t>-</w:t>
      </w:r>
      <w:r>
        <w:t xml:space="preserve"> Sentencia </w:t>
      </w:r>
      <w:hyperlink w:anchor="SENTENCIA_2008_57" w:history="1">
        <w:r w:rsidRPr="00C12216">
          <w:rPr>
            <w:rStyle w:val="TextoNormalCaracter"/>
          </w:rPr>
          <w:t>57/2008</w:t>
        </w:r>
      </w:hyperlink>
      <w:r>
        <w:t>, f. 7.</w:t>
      </w:r>
    </w:p>
    <w:p w:rsidR="00C12216" w:rsidRDefault="00C12216" w:rsidP="00C12216">
      <w:pPr>
        <w:pStyle w:val="SangriaFrancesaArticulo"/>
      </w:pPr>
      <w:r w:rsidRPr="00C12216">
        <w:rPr>
          <w:rStyle w:val="TextoNormalNegritaCaracter"/>
        </w:rPr>
        <w:t>Artículo 159.</w:t>
      </w:r>
      <w:r w:rsidRPr="00C12216">
        <w:rPr>
          <w:rStyle w:val="TextoNormalCaracter"/>
        </w:rPr>
        <w:t>-</w:t>
      </w:r>
      <w:r>
        <w:t xml:space="preserve"> Sentencia </w:t>
      </w:r>
      <w:hyperlink w:anchor="SENTENCIA_2008_57" w:history="1">
        <w:r w:rsidRPr="00C12216">
          <w:rPr>
            <w:rStyle w:val="TextoNormalCaracter"/>
          </w:rPr>
          <w:t>57/2008</w:t>
        </w:r>
      </w:hyperlink>
      <w:r>
        <w:t>, f. 7.</w:t>
      </w:r>
    </w:p>
    <w:p w:rsidR="00C12216" w:rsidRDefault="00C12216" w:rsidP="00C12216">
      <w:pPr>
        <w:pStyle w:val="SangriaFrancesaArticulo"/>
      </w:pPr>
      <w:r w:rsidRPr="00C12216">
        <w:rPr>
          <w:rStyle w:val="TextoNormalNegritaCaracter"/>
        </w:rPr>
        <w:t>Artículo 161.</w:t>
      </w:r>
      <w:r w:rsidRPr="00C12216">
        <w:rPr>
          <w:rStyle w:val="TextoNormalCaracter"/>
        </w:rPr>
        <w:t>-</w:t>
      </w:r>
      <w:r>
        <w:t xml:space="preserve"> Sentencia </w:t>
      </w:r>
      <w:hyperlink w:anchor="SENTENCIA_2008_57" w:history="1">
        <w:r w:rsidRPr="00C12216">
          <w:rPr>
            <w:rStyle w:val="TextoNormalCaracter"/>
          </w:rPr>
          <w:t>57/2008</w:t>
        </w:r>
      </w:hyperlink>
      <w:r>
        <w:t>, f. 7.</w:t>
      </w:r>
    </w:p>
    <w:p w:rsidR="00C12216" w:rsidRDefault="00C12216" w:rsidP="00C12216">
      <w:pPr>
        <w:pStyle w:val="SangriaFrancesaArticulo"/>
      </w:pPr>
      <w:r w:rsidRPr="00C12216">
        <w:rPr>
          <w:rStyle w:val="TextoNormalNegritaCaracter"/>
        </w:rPr>
        <w:t>Artículo 192.</w:t>
      </w:r>
      <w:r w:rsidRPr="00C12216">
        <w:rPr>
          <w:rStyle w:val="TextoNormalCaracter"/>
        </w:rPr>
        <w:t>-</w:t>
      </w:r>
      <w:r>
        <w:t xml:space="preserve"> Sentencia </w:t>
      </w:r>
      <w:hyperlink w:anchor="SENTENCIA_2008_57" w:history="1">
        <w:r w:rsidRPr="00C12216">
          <w:rPr>
            <w:rStyle w:val="TextoNormalCaracter"/>
          </w:rPr>
          <w:t>57/2008</w:t>
        </w:r>
      </w:hyperlink>
      <w:r>
        <w:t>, f. 7.</w:t>
      </w:r>
    </w:p>
    <w:p w:rsidR="00C12216" w:rsidRDefault="00C12216" w:rsidP="00C12216">
      <w:pPr>
        <w:pStyle w:val="SangriaFrancesaArticulo"/>
      </w:pPr>
      <w:r w:rsidRPr="00C12216">
        <w:rPr>
          <w:rStyle w:val="TextoNormalNegritaCaracter"/>
        </w:rPr>
        <w:t>Artículo 242.2.</w:t>
      </w:r>
      <w:r w:rsidRPr="00C12216">
        <w:rPr>
          <w:rStyle w:val="TextoNormalCaracter"/>
        </w:rPr>
        <w:t>-</w:t>
      </w:r>
      <w:r>
        <w:t xml:space="preserve"> Sentencia </w:t>
      </w:r>
      <w:hyperlink w:anchor="SENTENCIA_2008_5" w:history="1">
        <w:r w:rsidRPr="00C12216">
          <w:rPr>
            <w:rStyle w:val="TextoNormalCaracter"/>
          </w:rPr>
          <w:t>5/2008</w:t>
        </w:r>
      </w:hyperlink>
      <w:r>
        <w:t>, f. 4.</w:t>
      </w:r>
    </w:p>
    <w:p w:rsidR="00C12216" w:rsidRDefault="00C12216" w:rsidP="00C12216">
      <w:pPr>
        <w:pStyle w:val="SangriaFrancesaArticulo"/>
      </w:pPr>
      <w:r w:rsidRPr="00C12216">
        <w:rPr>
          <w:rStyle w:val="TextoNormalNegritaCaracter"/>
        </w:rPr>
        <w:t>Artículo 242.2 i).</w:t>
      </w:r>
      <w:r w:rsidRPr="00C12216">
        <w:rPr>
          <w:rStyle w:val="TextoNormalCaracter"/>
        </w:rPr>
        <w:t>-</w:t>
      </w:r>
      <w:r>
        <w:t xml:space="preserve"> Sentencia </w:t>
      </w:r>
      <w:hyperlink w:anchor="SENTENCIA_2008_42" w:history="1">
        <w:r w:rsidRPr="00C12216">
          <w:rPr>
            <w:rStyle w:val="TextoNormalCaracter"/>
          </w:rPr>
          <w:t>42/2008</w:t>
        </w:r>
      </w:hyperlink>
      <w:r>
        <w:t>, ff. 3, 4.</w:t>
      </w:r>
    </w:p>
    <w:p w:rsidR="00C12216" w:rsidRDefault="00C12216" w:rsidP="00C12216">
      <w:pPr>
        <w:pStyle w:val="SangriaFrancesaArticulo"/>
      </w:pPr>
    </w:p>
    <w:p w:rsidR="00C12216" w:rsidRDefault="00C12216" w:rsidP="00C12216">
      <w:pPr>
        <w:pStyle w:val="TextoNormalNegritaCursivandice"/>
      </w:pPr>
      <w:r>
        <w:t>Real Decreto 2668/1998, de 11 de diciembre. Estatuto del organismo autónomo comisionado para el mercado de tabacos</w:t>
      </w:r>
    </w:p>
    <w:p w:rsidR="00C12216" w:rsidRDefault="00C12216" w:rsidP="00C12216">
      <w:pPr>
        <w:pStyle w:val="SangriaFrancesaArticulo"/>
      </w:pPr>
      <w:r w:rsidRPr="00C12216">
        <w:rPr>
          <w:rStyle w:val="TextoNormalNegritaCaracter"/>
        </w:rPr>
        <w:t>Artículo 4 e).</w:t>
      </w:r>
      <w:r w:rsidRPr="00C12216">
        <w:rPr>
          <w:rStyle w:val="TextoNormalCaracter"/>
        </w:rPr>
        <w:t>-</w:t>
      </w:r>
      <w:r>
        <w:t xml:space="preserve"> Auto </w:t>
      </w:r>
      <w:hyperlink w:anchor="AUTO_2008_80" w:history="1">
        <w:r w:rsidRPr="00C12216">
          <w:rPr>
            <w:rStyle w:val="TextoNormalCaracter"/>
          </w:rPr>
          <w:t>80/2008</w:t>
        </w:r>
      </w:hyperlink>
      <w:r>
        <w:t>.</w:t>
      </w:r>
    </w:p>
    <w:p w:rsidR="00C12216" w:rsidRDefault="00C12216" w:rsidP="00C12216">
      <w:pPr>
        <w:pStyle w:val="SangriaFrancesaArticulo"/>
      </w:pPr>
    </w:p>
    <w:p w:rsidR="00C12216" w:rsidRDefault="00C12216" w:rsidP="00C12216">
      <w:pPr>
        <w:pStyle w:val="TextoNormalNegritaCursivandice"/>
      </w:pPr>
      <w:r>
        <w:t>Real Decreto 1199/1999, de 9 de julio. Desarrolla la Ley 13/1998, de 4 de mayo, de ordenación del mercado de tabacos y normativa tributaria</w:t>
      </w:r>
    </w:p>
    <w:p w:rsidR="00C12216" w:rsidRDefault="00C12216" w:rsidP="00C12216">
      <w:pPr>
        <w:pStyle w:val="SangriaFrancesaArticulo"/>
      </w:pPr>
      <w:r w:rsidRPr="00C12216">
        <w:rPr>
          <w:rStyle w:val="TextoNormalNegritaCaracter"/>
        </w:rPr>
        <w:t>Artículo 25.</w:t>
      </w:r>
      <w:r w:rsidRPr="00C12216">
        <w:rPr>
          <w:rStyle w:val="TextoNormalCaracter"/>
        </w:rPr>
        <w:t>-</w:t>
      </w:r>
      <w:r>
        <w:t xml:space="preserve"> Auto </w:t>
      </w:r>
      <w:hyperlink w:anchor="AUTO_2008_80" w:history="1">
        <w:r w:rsidRPr="00C12216">
          <w:rPr>
            <w:rStyle w:val="TextoNormalCaracter"/>
          </w:rPr>
          <w:t>80/2008</w:t>
        </w:r>
      </w:hyperlink>
      <w:r>
        <w:t>.</w:t>
      </w:r>
    </w:p>
    <w:p w:rsidR="00C12216" w:rsidRDefault="00C12216" w:rsidP="00C12216">
      <w:pPr>
        <w:pStyle w:val="SangriaFrancesaArticulo"/>
      </w:pPr>
    </w:p>
    <w:p w:rsidR="00C12216" w:rsidRDefault="00C12216" w:rsidP="00C12216">
      <w:pPr>
        <w:pStyle w:val="TextoNormalNegritaCursivandice"/>
      </w:pPr>
      <w:r>
        <w:t>Real Decreto 1281/2002, de 5 de diciembre. Estatuto general de los Procuradores de los Tribunales de España</w:t>
      </w:r>
    </w:p>
    <w:p w:rsidR="00C12216" w:rsidRDefault="00C12216" w:rsidP="00C12216">
      <w:pPr>
        <w:pStyle w:val="SangriaFrancesaArticulo"/>
      </w:pPr>
      <w:r w:rsidRPr="00C12216">
        <w:rPr>
          <w:rStyle w:val="TextoNormalNegritaCaracter"/>
        </w:rPr>
        <w:t>Artículo 13.1.</w:t>
      </w:r>
      <w:r w:rsidRPr="00C12216">
        <w:rPr>
          <w:rStyle w:val="TextoNormalCaracter"/>
        </w:rPr>
        <w:t>-</w:t>
      </w:r>
      <w:r>
        <w:t xml:space="preserve"> Sentencia </w:t>
      </w:r>
      <w:hyperlink w:anchor="SENTENCIA_2008_55" w:history="1">
        <w:r w:rsidRPr="00C12216">
          <w:rPr>
            <w:rStyle w:val="TextoNormalCaracter"/>
          </w:rPr>
          <w:t>55/2008</w:t>
        </w:r>
      </w:hyperlink>
      <w:r>
        <w:t>, f. 3.</w:t>
      </w:r>
    </w:p>
    <w:p w:rsidR="00C12216" w:rsidRDefault="00C12216" w:rsidP="00C12216">
      <w:pPr>
        <w:pStyle w:val="SangriaFrancesaArticulo"/>
      </w:pPr>
    </w:p>
    <w:p w:rsidR="00C12216" w:rsidRDefault="00C12216" w:rsidP="00C12216">
      <w:pPr>
        <w:pStyle w:val="TextoNormalNegritaCursivandice"/>
      </w:pPr>
      <w:r>
        <w:lastRenderedPageBreak/>
        <w:t>Real Decreto 1/2007, de 12 de enero. Modifica el Real Decreto 1199/1999, de 9 de julio, por el que se desarrolla la Ley 13/1998, de 4 de mayo, de ordenación del mercado de tabacos y normativa tributaria</w:t>
      </w:r>
    </w:p>
    <w:p w:rsidR="00C12216" w:rsidRDefault="00C12216" w:rsidP="00C12216">
      <w:pPr>
        <w:pStyle w:val="SangriaFrancesaArticulo"/>
      </w:pPr>
      <w:r w:rsidRPr="00C12216">
        <w:rPr>
          <w:rStyle w:val="TextoNormalNegritaCaracter"/>
        </w:rPr>
        <w:t>Artículo único.16.</w:t>
      </w:r>
      <w:r w:rsidRPr="00C12216">
        <w:rPr>
          <w:rStyle w:val="TextoNormalCaracter"/>
        </w:rPr>
        <w:t>-</w:t>
      </w:r>
      <w:r>
        <w:t xml:space="preserve"> Auto </w:t>
      </w:r>
      <w:hyperlink w:anchor="AUTO_2008_80" w:history="1">
        <w:r w:rsidRPr="00C12216">
          <w:rPr>
            <w:rStyle w:val="TextoNormalCaracter"/>
          </w:rPr>
          <w:t>80/2008</w:t>
        </w:r>
      </w:hyperlink>
      <w:r>
        <w:t>.</w:t>
      </w:r>
    </w:p>
    <w:p w:rsidR="00C12216" w:rsidRDefault="00C12216" w:rsidP="00C12216">
      <w:pPr>
        <w:pStyle w:val="TextoNormal"/>
      </w:pPr>
    </w:p>
    <w:p w:rsidR="00C12216" w:rsidRDefault="00C12216" w:rsidP="00C12216">
      <w:pPr>
        <w:pStyle w:val="SangriaFrancesaArticulo"/>
      </w:pPr>
      <w:bookmarkStart w:id="189" w:name="INDICE22850"/>
    </w:p>
    <w:bookmarkEnd w:id="189"/>
    <w:p w:rsidR="00C12216" w:rsidRDefault="00C12216" w:rsidP="00C12216">
      <w:pPr>
        <w:pStyle w:val="TextoIndiceNivel2"/>
        <w:suppressAutoHyphens/>
      </w:pPr>
      <w:r>
        <w:t>I) Legislación preconstitucional</w:t>
      </w:r>
    </w:p>
    <w:p w:rsidR="00C12216" w:rsidRDefault="00C12216" w:rsidP="00C12216">
      <w:pPr>
        <w:pStyle w:val="TextoIndiceNivel2"/>
      </w:pPr>
    </w:p>
    <w:p w:rsidR="00C12216" w:rsidRDefault="00C12216" w:rsidP="00C12216">
      <w:pPr>
        <w:pStyle w:val="TextoNormalNegritaCursivandice"/>
      </w:pPr>
      <w:r>
        <w:t>Código de las Siete Partidas, 1265</w:t>
      </w:r>
    </w:p>
    <w:p w:rsidR="00C12216" w:rsidRDefault="00C12216" w:rsidP="00C12216">
      <w:pPr>
        <w:pStyle w:val="SangriaFrancesaArticulo"/>
      </w:pPr>
      <w:r w:rsidRPr="00C12216">
        <w:rPr>
          <w:rStyle w:val="TextoNormalNegritaCaracter"/>
        </w:rPr>
        <w:t>Partida 2.15.2.</w:t>
      </w:r>
      <w:r w:rsidRPr="00C12216">
        <w:rPr>
          <w:rStyle w:val="TextoNormalCaracter"/>
        </w:rPr>
        <w:t>-</w:t>
      </w:r>
      <w:r>
        <w:t xml:space="preserve"> Sentencia </w:t>
      </w:r>
      <w:hyperlink w:anchor="SENTENCIA_2008_47" w:history="1">
        <w:r w:rsidRPr="00C12216">
          <w:rPr>
            <w:rStyle w:val="TextoNormalCaracter"/>
          </w:rPr>
          <w:t>47/2008</w:t>
        </w:r>
      </w:hyperlink>
      <w:r>
        <w:t>, VP.</w:t>
      </w:r>
    </w:p>
    <w:p w:rsidR="00C12216" w:rsidRDefault="00C12216" w:rsidP="00C12216">
      <w:pPr>
        <w:pStyle w:val="SangriaFrancesaArticulo"/>
      </w:pPr>
    </w:p>
    <w:p w:rsidR="00C12216" w:rsidRDefault="00C12216" w:rsidP="00C12216">
      <w:pPr>
        <w:pStyle w:val="TextoNormalNegritaCursivandice"/>
      </w:pPr>
      <w:r>
        <w:t>Ley 2/1870, de 17 de junio. Provisional de Registro Civil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 </w:t>
      </w:r>
      <w:hyperlink w:anchor="AUTO_2008_12" w:history="1">
        <w:r w:rsidRPr="00C12216">
          <w:rPr>
            <w:rStyle w:val="TextoNormalCaracter"/>
          </w:rPr>
          <w:t>12/2008</w:t>
        </w:r>
      </w:hyperlink>
      <w:r>
        <w:t>.</w:t>
      </w:r>
    </w:p>
    <w:p w:rsidR="00C12216" w:rsidRDefault="00C12216" w:rsidP="00C12216">
      <w:pPr>
        <w:pStyle w:val="SangriaFrancesaArticulo"/>
      </w:pPr>
    </w:p>
    <w:p w:rsidR="00C12216" w:rsidRDefault="00C12216" w:rsidP="00C12216">
      <w:pPr>
        <w:pStyle w:val="TextoNormalNegritaCursivandice"/>
      </w:pPr>
      <w:r>
        <w:t>Real Decreto de 3 de febrero de 1881. Ley de enjuiciamiento civil</w:t>
      </w:r>
    </w:p>
    <w:p w:rsidR="00C12216" w:rsidRDefault="00C12216" w:rsidP="00C12216">
      <w:pPr>
        <w:pStyle w:val="SangriaFrancesaArticulo"/>
      </w:pPr>
      <w:r w:rsidRPr="00C12216">
        <w:rPr>
          <w:rStyle w:val="TextoNormalNegritaCaracter"/>
        </w:rPr>
        <w:t>Artículo 840.</w:t>
      </w:r>
      <w:r w:rsidRPr="00C12216">
        <w:rPr>
          <w:rStyle w:val="TextoNormalCaracter"/>
        </w:rPr>
        <w:t>-</w:t>
      </w:r>
      <w:r>
        <w:t xml:space="preserve"> Auto </w:t>
      </w:r>
      <w:hyperlink w:anchor="AUTO_2008_47" w:history="1">
        <w:r w:rsidRPr="00C12216">
          <w:rPr>
            <w:rStyle w:val="TextoNormalCaracter"/>
          </w:rPr>
          <w:t>47/2008</w:t>
        </w:r>
      </w:hyperlink>
      <w:r>
        <w:t>.</w:t>
      </w:r>
    </w:p>
    <w:p w:rsidR="00C12216" w:rsidRDefault="00C12216" w:rsidP="00C12216">
      <w:pPr>
        <w:pStyle w:val="SangriaFrancesaArticulo"/>
      </w:pPr>
      <w:r w:rsidRPr="00C12216">
        <w:rPr>
          <w:rStyle w:val="TextoNormalNegritaCaracter"/>
        </w:rPr>
        <w:t>Artículo 1827.</w:t>
      </w:r>
      <w:r w:rsidRPr="00C12216">
        <w:rPr>
          <w:rStyle w:val="TextoNormalCaracter"/>
        </w:rPr>
        <w:t>-</w:t>
      </w:r>
      <w:r>
        <w:t xml:space="preserve"> Sentencia </w:t>
      </w:r>
      <w:hyperlink w:anchor="SENTENCIA_2008_58" w:history="1">
        <w:r w:rsidRPr="00C12216">
          <w:rPr>
            <w:rStyle w:val="TextoNormalCaracter"/>
          </w:rPr>
          <w:t>58/2008</w:t>
        </w:r>
      </w:hyperlink>
      <w:r>
        <w:t>, f. 3.</w:t>
      </w:r>
    </w:p>
    <w:p w:rsidR="00C12216" w:rsidRDefault="00C12216" w:rsidP="00C12216">
      <w:pPr>
        <w:pStyle w:val="SangriaFrancesaArticulo"/>
      </w:pPr>
      <w:r w:rsidRPr="00C12216">
        <w:rPr>
          <w:rStyle w:val="TextoNormalNegritaCaracter"/>
        </w:rPr>
        <w:t>Artículo 1831.2.</w:t>
      </w:r>
      <w:r w:rsidRPr="00C12216">
        <w:rPr>
          <w:rStyle w:val="TextoNormalCaracter"/>
        </w:rPr>
        <w:t>-</w:t>
      </w:r>
      <w:r>
        <w:t xml:space="preserve"> Sentencia </w:t>
      </w:r>
      <w:hyperlink w:anchor="SENTENCIA_2008_58" w:history="1">
        <w:r w:rsidRPr="00C12216">
          <w:rPr>
            <w:rStyle w:val="TextoNormalCaracter"/>
          </w:rPr>
          <w:t>58/2008</w:t>
        </w:r>
      </w:hyperlink>
      <w:r>
        <w:t>, f. 4.</w:t>
      </w:r>
    </w:p>
    <w:p w:rsidR="00C12216" w:rsidRDefault="00C12216" w:rsidP="00C12216">
      <w:pPr>
        <w:pStyle w:val="SangriaFrancesaArticulo"/>
      </w:pPr>
    </w:p>
    <w:p w:rsidR="00C12216" w:rsidRDefault="00C12216" w:rsidP="00C12216">
      <w:pPr>
        <w:pStyle w:val="TextoNormalNegritaCursivandice"/>
      </w:pPr>
      <w:r>
        <w:t>Real Decreto de 14 de septiembre de 1882. Ley de enjuiciamiento criminal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57" w:history="1">
        <w:r w:rsidRPr="00C12216">
          <w:rPr>
            <w:rStyle w:val="TextoNormalCaracter"/>
          </w:rPr>
          <w:t>57/2008</w:t>
        </w:r>
      </w:hyperlink>
      <w:r>
        <w:t>, f. 2.</w:t>
      </w:r>
    </w:p>
    <w:p w:rsidR="00C12216" w:rsidRDefault="00C12216" w:rsidP="00C12216">
      <w:pPr>
        <w:pStyle w:val="SangriaFrancesaArticulo"/>
      </w:pPr>
      <w:r w:rsidRPr="00C12216">
        <w:rPr>
          <w:rStyle w:val="TextoNormalNegritaCaracter"/>
        </w:rPr>
        <w:t>Artículo 101.</w:t>
      </w:r>
      <w:r w:rsidRPr="00C12216">
        <w:rPr>
          <w:rStyle w:val="TextoNormalCaracter"/>
        </w:rPr>
        <w:t>-</w:t>
      </w:r>
      <w:r>
        <w:t xml:space="preserve"> Sentencia </w:t>
      </w:r>
      <w:hyperlink w:anchor="SENTENCIA_2008_8" w:history="1">
        <w:r w:rsidRPr="00C12216">
          <w:rPr>
            <w:rStyle w:val="TextoNormalCaracter"/>
          </w:rPr>
          <w:t>8/2008</w:t>
        </w:r>
      </w:hyperlink>
      <w:r>
        <w:t>, VP.</w:t>
      </w:r>
    </w:p>
    <w:p w:rsidR="00C12216" w:rsidRDefault="00C12216" w:rsidP="00C12216">
      <w:pPr>
        <w:pStyle w:val="SangriaFrancesaArticulo"/>
      </w:pPr>
      <w:r w:rsidRPr="00C12216">
        <w:rPr>
          <w:rStyle w:val="TextoNormalNegritaCaracter"/>
        </w:rPr>
        <w:t>Artículo 108.</w:t>
      </w:r>
      <w:r w:rsidRPr="00C12216">
        <w:rPr>
          <w:rStyle w:val="TextoNormalCaracter"/>
        </w:rPr>
        <w:t>-</w:t>
      </w:r>
      <w:r>
        <w:t xml:space="preserve"> Sentencia </w:t>
      </w:r>
      <w:hyperlink w:anchor="SENTENCIA_2008_17" w:history="1">
        <w:r w:rsidRPr="00C12216">
          <w:rPr>
            <w:rStyle w:val="TextoNormalCaracter"/>
          </w:rPr>
          <w:t>17/2008</w:t>
        </w:r>
      </w:hyperlink>
      <w:r>
        <w:t>, f. 4.</w:t>
      </w:r>
    </w:p>
    <w:p w:rsidR="00C12216" w:rsidRDefault="00C12216" w:rsidP="00C12216">
      <w:pPr>
        <w:pStyle w:val="SangriaFrancesaArticulo"/>
      </w:pPr>
      <w:r w:rsidRPr="00C12216">
        <w:rPr>
          <w:rStyle w:val="TextoNormalNegritaCaracter"/>
        </w:rPr>
        <w:t>Artículo 110.</w:t>
      </w:r>
      <w:r w:rsidRPr="00C12216">
        <w:rPr>
          <w:rStyle w:val="TextoNormalCaracter"/>
        </w:rPr>
        <w:t>-</w:t>
      </w:r>
      <w:r>
        <w:t xml:space="preserve"> Sentencia </w:t>
      </w:r>
      <w:hyperlink w:anchor="SENTENCIA_2008_9" w:history="1">
        <w:r w:rsidRPr="00C12216">
          <w:rPr>
            <w:rStyle w:val="TextoNormalCaracter"/>
          </w:rPr>
          <w:t>9/2008</w:t>
        </w:r>
      </w:hyperlink>
      <w:r>
        <w:t>, ff. 3, 4.</w:t>
      </w:r>
    </w:p>
    <w:p w:rsidR="00C12216" w:rsidRDefault="00C12216" w:rsidP="00C12216">
      <w:pPr>
        <w:pStyle w:val="SangriaFrancesaArticulo"/>
      </w:pPr>
      <w:r w:rsidRPr="00C12216">
        <w:rPr>
          <w:rStyle w:val="TextoNormalNegritaCaracter"/>
        </w:rPr>
        <w:t>Artículo 112.</w:t>
      </w:r>
      <w:r w:rsidRPr="00C12216">
        <w:rPr>
          <w:rStyle w:val="TextoNormalCaracter"/>
        </w:rPr>
        <w:t>-</w:t>
      </w:r>
      <w:r>
        <w:t xml:space="preserve"> Sentencia </w:t>
      </w:r>
      <w:hyperlink w:anchor="SENTENCIA_2008_17" w:history="1">
        <w:r w:rsidRPr="00C12216">
          <w:rPr>
            <w:rStyle w:val="TextoNormalCaracter"/>
          </w:rPr>
          <w:t>17/2008</w:t>
        </w:r>
      </w:hyperlink>
      <w:r>
        <w:t>, f. 4.</w:t>
      </w:r>
    </w:p>
    <w:p w:rsidR="00C12216" w:rsidRDefault="00C12216" w:rsidP="00C12216">
      <w:pPr>
        <w:pStyle w:val="SangriaFrancesaArticulo"/>
      </w:pPr>
      <w:r w:rsidRPr="00C12216">
        <w:rPr>
          <w:rStyle w:val="TextoNormalNegritaCaracter"/>
        </w:rPr>
        <w:t>Artículo 116.</w:t>
      </w:r>
      <w:r w:rsidRPr="00C12216">
        <w:rPr>
          <w:rStyle w:val="TextoNormalCaracter"/>
        </w:rPr>
        <w:t>-</w:t>
      </w:r>
      <w:r>
        <w:t xml:space="preserve"> Sentencia </w:t>
      </w:r>
      <w:hyperlink w:anchor="SENTENCIA_2008_17" w:history="1">
        <w:r w:rsidRPr="00C12216">
          <w:rPr>
            <w:rStyle w:val="TextoNormalCaracter"/>
          </w:rPr>
          <w:t>17/2008</w:t>
        </w:r>
      </w:hyperlink>
      <w:r>
        <w:t>, ff. 4, 5.</w:t>
      </w:r>
    </w:p>
    <w:p w:rsidR="00C12216" w:rsidRDefault="00C12216" w:rsidP="00C12216">
      <w:pPr>
        <w:pStyle w:val="SangriaFrancesaArticulo"/>
      </w:pPr>
      <w:r w:rsidRPr="00C12216">
        <w:rPr>
          <w:rStyle w:val="TextoNormalNegritaCaracter"/>
        </w:rPr>
        <w:t>Artículo 299.</w:t>
      </w:r>
      <w:r w:rsidRPr="00C12216">
        <w:rPr>
          <w:rStyle w:val="TextoNormalCaracter"/>
        </w:rPr>
        <w:t>-</w:t>
      </w:r>
      <w:r>
        <w:t xml:space="preserve"> Sentencia </w:t>
      </w:r>
      <w:hyperlink w:anchor="SENTENCIA_2008_29" w:history="1">
        <w:r w:rsidRPr="00C12216">
          <w:rPr>
            <w:rStyle w:val="TextoNormalCaracter"/>
          </w:rPr>
          <w:t>29/2008</w:t>
        </w:r>
      </w:hyperlink>
      <w:r>
        <w:t>, f. 5.</w:t>
      </w:r>
    </w:p>
    <w:p w:rsidR="00C12216" w:rsidRDefault="00C12216" w:rsidP="00C12216">
      <w:pPr>
        <w:pStyle w:val="SangriaFrancesaArticulo"/>
      </w:pPr>
      <w:r w:rsidRPr="00C12216">
        <w:rPr>
          <w:rStyle w:val="TextoNormalNegritaCaracter"/>
        </w:rPr>
        <w:t>Artículo 365.</w:t>
      </w:r>
      <w:r w:rsidRPr="00C12216">
        <w:rPr>
          <w:rStyle w:val="TextoNormalCaracter"/>
        </w:rPr>
        <w:t>-</w:t>
      </w:r>
      <w:r>
        <w:t xml:space="preserve"> Auto </w:t>
      </w:r>
      <w:hyperlink w:anchor="AUTO_2008_72" w:history="1">
        <w:r w:rsidRPr="00C12216">
          <w:rPr>
            <w:rStyle w:val="TextoNormalCaracter"/>
          </w:rPr>
          <w:t>72/2008</w:t>
        </w:r>
      </w:hyperlink>
      <w:r>
        <w:t>.</w:t>
      </w:r>
    </w:p>
    <w:p w:rsidR="00C12216" w:rsidRDefault="00C12216" w:rsidP="00C12216">
      <w:pPr>
        <w:pStyle w:val="SangriaFrancesaArticulo"/>
      </w:pPr>
      <w:r w:rsidRPr="00C12216">
        <w:rPr>
          <w:rStyle w:val="TextoNormalNegritaCaracter"/>
        </w:rPr>
        <w:t>Artículo 504.2.</w:t>
      </w:r>
      <w:r w:rsidRPr="00C12216">
        <w:rPr>
          <w:rStyle w:val="TextoNormalCaracter"/>
        </w:rPr>
        <w:t>-</w:t>
      </w:r>
      <w:r>
        <w:t xml:space="preserve"> Sentencia </w:t>
      </w:r>
      <w:hyperlink w:anchor="SENTENCIA_2008_27" w:history="1">
        <w:r w:rsidRPr="00C12216">
          <w:rPr>
            <w:rStyle w:val="TextoNormalCaracter"/>
          </w:rPr>
          <w:t>27/2008</w:t>
        </w:r>
      </w:hyperlink>
      <w:r>
        <w:t>, ff. 4, 6.</w:t>
      </w:r>
    </w:p>
    <w:p w:rsidR="00C12216" w:rsidRDefault="00C12216" w:rsidP="00C12216">
      <w:pPr>
        <w:pStyle w:val="SangriaFrancesaArticulo"/>
      </w:pPr>
      <w:r w:rsidRPr="00C12216">
        <w:rPr>
          <w:rStyle w:val="TextoNormalNegritaCaracter"/>
        </w:rPr>
        <w:t>Artículo 637.</w:t>
      </w:r>
      <w:r w:rsidRPr="00C12216">
        <w:rPr>
          <w:rStyle w:val="TextoNormalCaracter"/>
        </w:rPr>
        <w:t>-</w:t>
      </w:r>
      <w:r>
        <w:t xml:space="preserve"> Sentencia </w:t>
      </w:r>
      <w:hyperlink w:anchor="SENTENCIA_2008_34" w:history="1">
        <w:r w:rsidRPr="00C12216">
          <w:rPr>
            <w:rStyle w:val="TextoNormalCaracter"/>
          </w:rPr>
          <w:t>34/2008</w:t>
        </w:r>
      </w:hyperlink>
      <w:r>
        <w:t>, f. 2.</w:t>
      </w:r>
    </w:p>
    <w:p w:rsidR="00C12216" w:rsidRDefault="00C12216" w:rsidP="00C12216">
      <w:pPr>
        <w:pStyle w:val="SangriaFrancesaArticulo"/>
      </w:pPr>
      <w:r w:rsidRPr="00C12216">
        <w:rPr>
          <w:rStyle w:val="TextoNormalNegritaCaracter"/>
        </w:rPr>
        <w:t>Artículo 641.</w:t>
      </w:r>
      <w:r w:rsidRPr="00C12216">
        <w:rPr>
          <w:rStyle w:val="TextoNormalCaracter"/>
        </w:rPr>
        <w:t>-</w:t>
      </w:r>
      <w:r>
        <w:t xml:space="preserve"> Sentencia </w:t>
      </w:r>
      <w:hyperlink w:anchor="SENTENCIA_2008_34" w:history="1">
        <w:r w:rsidRPr="00C12216">
          <w:rPr>
            <w:rStyle w:val="TextoNormalCaracter"/>
          </w:rPr>
          <w:t>34/2008</w:t>
        </w:r>
      </w:hyperlink>
      <w:r>
        <w:t>, f. 2.</w:t>
      </w:r>
    </w:p>
    <w:p w:rsidR="00C12216" w:rsidRDefault="00C12216" w:rsidP="00C12216">
      <w:pPr>
        <w:pStyle w:val="SangriaFrancesaArticulo"/>
      </w:pPr>
      <w:r w:rsidRPr="00C12216">
        <w:rPr>
          <w:rStyle w:val="TextoNormalNegritaCaracter"/>
        </w:rPr>
        <w:t>Artículo 730.</w:t>
      </w:r>
      <w:r w:rsidRPr="00C12216">
        <w:rPr>
          <w:rStyle w:val="TextoNormalCaracter"/>
        </w:rPr>
        <w:t>-</w:t>
      </w:r>
      <w:r>
        <w:t xml:space="preserve"> Sentencia </w:t>
      </w:r>
      <w:hyperlink w:anchor="SENTENCIA_2008_29" w:history="1">
        <w:r w:rsidRPr="00C12216">
          <w:rPr>
            <w:rStyle w:val="TextoNormalCaracter"/>
          </w:rPr>
          <w:t>29/2008</w:t>
        </w:r>
      </w:hyperlink>
      <w:r>
        <w:t>, f. 5.</w:t>
      </w:r>
    </w:p>
    <w:p w:rsidR="00C12216" w:rsidRDefault="00C12216" w:rsidP="00C12216">
      <w:pPr>
        <w:pStyle w:val="SangriaFrancesaArticulo"/>
      </w:pPr>
      <w:r w:rsidRPr="00C12216">
        <w:rPr>
          <w:rStyle w:val="TextoNormalNegritaCaracter"/>
        </w:rPr>
        <w:t>Artículo 741.</w:t>
      </w:r>
      <w:r w:rsidRPr="00C12216">
        <w:rPr>
          <w:rStyle w:val="TextoNormalCaracter"/>
        </w:rPr>
        <w:t>-</w:t>
      </w:r>
      <w:r>
        <w:t xml:space="preserve"> Sentencia </w:t>
      </w:r>
      <w:hyperlink w:anchor="SENTENCIA_2008_29" w:history="1">
        <w:r w:rsidRPr="00C12216">
          <w:rPr>
            <w:rStyle w:val="TextoNormalCaracter"/>
          </w:rPr>
          <w:t>29/2008</w:t>
        </w:r>
      </w:hyperlink>
      <w:r>
        <w:t>, f. 5.</w:t>
      </w:r>
    </w:p>
    <w:p w:rsidR="00C12216" w:rsidRDefault="00C12216" w:rsidP="00C12216">
      <w:pPr>
        <w:pStyle w:val="SangriaFrancesaArticulo"/>
      </w:pPr>
      <w:r w:rsidRPr="00C12216">
        <w:rPr>
          <w:rStyle w:val="TextoNormalNegritaCaracter"/>
        </w:rPr>
        <w:t>Artículo 789.5.1.</w:t>
      </w:r>
      <w:r w:rsidRPr="00C12216">
        <w:rPr>
          <w:rStyle w:val="TextoNormalCaracter"/>
        </w:rPr>
        <w:t>-</w:t>
      </w:r>
      <w:r>
        <w:t xml:space="preserve"> Sentencia </w:t>
      </w:r>
      <w:hyperlink w:anchor="SENTENCIA_2008_34" w:history="1">
        <w:r w:rsidRPr="00C12216">
          <w:rPr>
            <w:rStyle w:val="TextoNormalCaracter"/>
          </w:rPr>
          <w:t>34/2008</w:t>
        </w:r>
      </w:hyperlink>
      <w:r>
        <w:t>, f. 2.</w:t>
      </w:r>
    </w:p>
    <w:p w:rsidR="00C12216" w:rsidRDefault="00C12216" w:rsidP="00C12216">
      <w:pPr>
        <w:pStyle w:val="SangriaFrancesaArticulo"/>
      </w:pPr>
      <w:r w:rsidRPr="00C12216">
        <w:rPr>
          <w:rStyle w:val="TextoNormalNegritaCaracter"/>
        </w:rPr>
        <w:t>Artículo 790</w:t>
      </w:r>
      <w:r>
        <w:t xml:space="preserve"> </w:t>
      </w:r>
      <w:r w:rsidRPr="00C12216">
        <w:rPr>
          <w:rStyle w:val="TextoNormalCaracter"/>
        </w:rPr>
        <w:t>(redactado por la Ley 38/2002, de 24 de octubre)</w:t>
      </w:r>
      <w:r w:rsidRPr="00C12216">
        <w:rPr>
          <w:rStyle w:val="TextoNormalNegritaCaracter"/>
        </w:rPr>
        <w:t>.</w:t>
      </w:r>
      <w:r w:rsidRPr="00C12216">
        <w:rPr>
          <w:rStyle w:val="TextoNormalCaracter"/>
        </w:rPr>
        <w:t>-</w:t>
      </w:r>
      <w:r>
        <w:t xml:space="preserve"> Sentencia </w:t>
      </w:r>
      <w:hyperlink w:anchor="SENTENCIA_2008_48" w:history="1">
        <w:r w:rsidRPr="00C12216">
          <w:rPr>
            <w:rStyle w:val="TextoNormalCaracter"/>
          </w:rPr>
          <w:t>48/2008</w:t>
        </w:r>
      </w:hyperlink>
      <w:r>
        <w:t>, ff. 2, 5.</w:t>
      </w:r>
    </w:p>
    <w:p w:rsidR="00C12216" w:rsidRDefault="00C12216" w:rsidP="00C12216">
      <w:pPr>
        <w:pStyle w:val="SangriaFrancesaArticulo"/>
      </w:pPr>
      <w:r w:rsidRPr="00C12216">
        <w:rPr>
          <w:rStyle w:val="TextoNormalNegritaCaracter"/>
        </w:rPr>
        <w:t>Artículo 790.2.</w:t>
      </w:r>
      <w:r w:rsidRPr="00C12216">
        <w:rPr>
          <w:rStyle w:val="TextoNormalCaracter"/>
        </w:rPr>
        <w:t>-</w:t>
      </w:r>
      <w:r>
        <w:t xml:space="preserve"> Sentencia </w:t>
      </w:r>
      <w:hyperlink w:anchor="SENTENCIA_2008_48" w:history="1">
        <w:r w:rsidRPr="00C12216">
          <w:rPr>
            <w:rStyle w:val="TextoNormalCaracter"/>
          </w:rPr>
          <w:t>48/2008</w:t>
        </w:r>
      </w:hyperlink>
      <w:r>
        <w:t>, ff. 2, 3.</w:t>
      </w:r>
    </w:p>
    <w:p w:rsidR="00C12216" w:rsidRDefault="00C12216" w:rsidP="00C12216">
      <w:pPr>
        <w:pStyle w:val="SangriaFrancesaArticulo"/>
      </w:pPr>
      <w:r w:rsidRPr="00C12216">
        <w:rPr>
          <w:rStyle w:val="TextoNormalNegritaCaracter"/>
        </w:rPr>
        <w:t>Artículo 790.3.</w:t>
      </w:r>
      <w:r w:rsidRPr="00C12216">
        <w:rPr>
          <w:rStyle w:val="TextoNormalCaracter"/>
        </w:rPr>
        <w:t>-</w:t>
      </w:r>
      <w:r>
        <w:t xml:space="preserve"> Sentencia </w:t>
      </w:r>
      <w:hyperlink w:anchor="SENTENCIA_2008_48" w:history="1">
        <w:r w:rsidRPr="00C12216">
          <w:rPr>
            <w:rStyle w:val="TextoNormalCaracter"/>
          </w:rPr>
          <w:t>48/2008</w:t>
        </w:r>
      </w:hyperlink>
      <w:r>
        <w:t>, ff. 1 a 3.</w:t>
      </w:r>
    </w:p>
    <w:p w:rsidR="00C12216" w:rsidRDefault="00C12216" w:rsidP="00C12216">
      <w:pPr>
        <w:pStyle w:val="SangriaFrancesaArticulo"/>
      </w:pPr>
      <w:r w:rsidRPr="00C12216">
        <w:rPr>
          <w:rStyle w:val="TextoNormalNegritaCaracter"/>
        </w:rPr>
        <w:t>Artículo 790.3</w:t>
      </w:r>
      <w:r>
        <w:t xml:space="preserve"> </w:t>
      </w:r>
      <w:r w:rsidRPr="00C12216">
        <w:rPr>
          <w:rStyle w:val="TextoNormalCaracter"/>
        </w:rPr>
        <w:t>(redactado por la Ley 38/2002, de 24 de octubre)</w:t>
      </w:r>
      <w:r w:rsidRPr="00C12216">
        <w:rPr>
          <w:rStyle w:val="TextoNormalNegritaCaracter"/>
        </w:rPr>
        <w:t>.</w:t>
      </w:r>
      <w:r w:rsidRPr="00C12216">
        <w:rPr>
          <w:rStyle w:val="TextoNormalCaracter"/>
        </w:rPr>
        <w:t>-</w:t>
      </w:r>
      <w:r>
        <w:t xml:space="preserve"> Sentencia </w:t>
      </w:r>
      <w:hyperlink w:anchor="SENTENCIA_2008_48" w:history="1">
        <w:r w:rsidRPr="00C12216">
          <w:rPr>
            <w:rStyle w:val="TextoNormalCaracter"/>
          </w:rPr>
          <w:t>48/2008</w:t>
        </w:r>
      </w:hyperlink>
      <w:r>
        <w:t>, ff. 1, 3.</w:t>
      </w:r>
    </w:p>
    <w:p w:rsidR="00C12216" w:rsidRDefault="00C12216" w:rsidP="00C12216">
      <w:pPr>
        <w:pStyle w:val="SangriaFrancesaArticulo"/>
      </w:pPr>
      <w:r w:rsidRPr="00C12216">
        <w:rPr>
          <w:rStyle w:val="TextoNormalNegritaCaracter"/>
        </w:rPr>
        <w:t>Artículo 795.</w:t>
      </w:r>
      <w:r w:rsidRPr="00C12216">
        <w:rPr>
          <w:rStyle w:val="TextoNormalCaracter"/>
        </w:rPr>
        <w:t>-</w:t>
      </w:r>
      <w:r>
        <w:t xml:space="preserve"> Sentencia </w:t>
      </w:r>
      <w:hyperlink w:anchor="SENTENCIA_2008_48" w:history="1">
        <w:r w:rsidRPr="00C12216">
          <w:rPr>
            <w:rStyle w:val="TextoNormalCaracter"/>
          </w:rPr>
          <w:t>48/2008</w:t>
        </w:r>
      </w:hyperlink>
      <w:r>
        <w:t>, ff. 2, 5.</w:t>
      </w:r>
    </w:p>
    <w:p w:rsidR="00C12216" w:rsidRDefault="00C12216" w:rsidP="00C12216">
      <w:pPr>
        <w:pStyle w:val="SangriaFrancesaArticulo"/>
      </w:pPr>
      <w:r w:rsidRPr="00C12216">
        <w:rPr>
          <w:rStyle w:val="TextoNormalNegritaCaracter"/>
        </w:rPr>
        <w:t>Artículo 795.3.</w:t>
      </w:r>
      <w:r w:rsidRPr="00C12216">
        <w:rPr>
          <w:rStyle w:val="TextoNormalCaracter"/>
        </w:rPr>
        <w:t>-</w:t>
      </w:r>
      <w:r>
        <w:t xml:space="preserve"> Sentencia </w:t>
      </w:r>
      <w:hyperlink w:anchor="SENTENCIA_2008_48" w:history="1">
        <w:r w:rsidRPr="00C12216">
          <w:rPr>
            <w:rStyle w:val="TextoNormalCaracter"/>
          </w:rPr>
          <w:t>48/2008</w:t>
        </w:r>
      </w:hyperlink>
      <w:r>
        <w:t>, ff. 1, 3.</w:t>
      </w:r>
    </w:p>
    <w:p w:rsidR="00C12216" w:rsidRDefault="00C12216" w:rsidP="00C12216">
      <w:pPr>
        <w:pStyle w:val="SangriaFrancesaArticulo"/>
      </w:pPr>
      <w:r w:rsidRPr="00C12216">
        <w:rPr>
          <w:rStyle w:val="TextoNormalNegritaCaracter"/>
        </w:rPr>
        <w:t>Artículo 852.</w:t>
      </w:r>
      <w:r w:rsidRPr="00C12216">
        <w:rPr>
          <w:rStyle w:val="TextoNormalCaracter"/>
        </w:rPr>
        <w:t>-</w:t>
      </w:r>
      <w:r>
        <w:t xml:space="preserve"> Auto </w:t>
      </w:r>
      <w:hyperlink w:anchor="AUTO_2008_115" w:history="1">
        <w:r w:rsidRPr="00C12216">
          <w:rPr>
            <w:rStyle w:val="TextoNormalCaracter"/>
          </w:rPr>
          <w:t>115/2008</w:t>
        </w:r>
      </w:hyperlink>
      <w:r>
        <w:t>.</w:t>
      </w:r>
    </w:p>
    <w:p w:rsidR="00C12216" w:rsidRDefault="00C12216" w:rsidP="00C12216">
      <w:pPr>
        <w:pStyle w:val="SangriaFrancesaArticulo"/>
      </w:pPr>
      <w:r w:rsidRPr="00C12216">
        <w:rPr>
          <w:rStyle w:val="TextoNormalNegritaCaracter"/>
        </w:rPr>
        <w:t>Artículo 876</w:t>
      </w:r>
      <w:r>
        <w:t xml:space="preserve"> </w:t>
      </w:r>
      <w:r w:rsidRPr="00C12216">
        <w:rPr>
          <w:rStyle w:val="TextoNormalCaracter"/>
        </w:rPr>
        <w:t>(redactado por la Ley de 16 de julio de 1949)</w:t>
      </w:r>
      <w:r w:rsidRPr="00C12216">
        <w:rPr>
          <w:rStyle w:val="TextoNormalNegritaCaracter"/>
        </w:rPr>
        <w:t>.</w:t>
      </w:r>
      <w:r w:rsidRPr="00C12216">
        <w:rPr>
          <w:rStyle w:val="TextoNormalCaracter"/>
        </w:rPr>
        <w:t>-</w:t>
      </w:r>
      <w:r>
        <w:t xml:space="preserve"> Sentencia </w:t>
      </w:r>
      <w:hyperlink w:anchor="SENTENCIA_2008_7" w:history="1">
        <w:r w:rsidRPr="00C12216">
          <w:rPr>
            <w:rStyle w:val="TextoNormalCaracter"/>
          </w:rPr>
          <w:t>7/2008</w:t>
        </w:r>
      </w:hyperlink>
      <w:r>
        <w:t>, f. 3.</w:t>
      </w:r>
    </w:p>
    <w:p w:rsidR="00C12216" w:rsidRDefault="00C12216" w:rsidP="00C12216">
      <w:pPr>
        <w:pStyle w:val="SangriaFrancesaArticulo"/>
      </w:pPr>
    </w:p>
    <w:p w:rsidR="00C12216" w:rsidRDefault="00C12216" w:rsidP="00C12216">
      <w:pPr>
        <w:pStyle w:val="TextoNormalNegritaCursivandice"/>
      </w:pPr>
      <w:r>
        <w:t>Real Decreto de 22 de agosto de 1885. Código de comercio</w:t>
      </w:r>
    </w:p>
    <w:p w:rsidR="00C12216" w:rsidRDefault="00C12216" w:rsidP="00C12216">
      <w:pPr>
        <w:pStyle w:val="SangriaFrancesaArticulo"/>
      </w:pPr>
      <w:r w:rsidRPr="00C12216">
        <w:rPr>
          <w:rStyle w:val="TextoNormalNegritaCaracter"/>
        </w:rPr>
        <w:lastRenderedPageBreak/>
        <w:t>Artículo 32.</w:t>
      </w:r>
      <w:r w:rsidRPr="00C12216">
        <w:rPr>
          <w:rStyle w:val="TextoNormalCaracter"/>
        </w:rPr>
        <w:t>-</w:t>
      </w:r>
      <w:r>
        <w:t xml:space="preserve"> Auto </w:t>
      </w:r>
      <w:hyperlink w:anchor="AUTO_2008_30" w:history="1">
        <w:r w:rsidRPr="00C12216">
          <w:rPr>
            <w:rStyle w:val="TextoNormalCaracter"/>
          </w:rPr>
          <w:t>30/2008</w:t>
        </w:r>
      </w:hyperlink>
      <w:r>
        <w:t>.</w:t>
      </w:r>
    </w:p>
    <w:p w:rsidR="00C12216" w:rsidRDefault="00C12216" w:rsidP="00C12216">
      <w:pPr>
        <w:pStyle w:val="SangriaFrancesaArticulo"/>
      </w:pPr>
      <w:r w:rsidRPr="00C12216">
        <w:rPr>
          <w:rStyle w:val="TextoNormalNegritaCaracter"/>
        </w:rPr>
        <w:t>Artículo 33.</w:t>
      </w:r>
      <w:r w:rsidRPr="00C12216">
        <w:rPr>
          <w:rStyle w:val="TextoNormalCaracter"/>
        </w:rPr>
        <w:t>-</w:t>
      </w:r>
      <w:r>
        <w:t xml:space="preserve"> Auto </w:t>
      </w:r>
      <w:hyperlink w:anchor="AUTO_2008_30" w:history="1">
        <w:r w:rsidRPr="00C12216">
          <w:rPr>
            <w:rStyle w:val="TextoNormalCaracter"/>
          </w:rPr>
          <w:t>30/2008</w:t>
        </w:r>
      </w:hyperlink>
      <w:r>
        <w:t>.</w:t>
      </w:r>
    </w:p>
    <w:p w:rsidR="00C12216" w:rsidRDefault="00C12216" w:rsidP="00C12216">
      <w:pPr>
        <w:pStyle w:val="SangriaFrancesaArticulo"/>
      </w:pPr>
      <w:r w:rsidRPr="00C12216">
        <w:rPr>
          <w:rStyle w:val="TextoNormalNegritaCaracter"/>
        </w:rPr>
        <w:t>Artículo 890.</w:t>
      </w:r>
      <w:r w:rsidRPr="00C12216">
        <w:rPr>
          <w:rStyle w:val="TextoNormalCaracter"/>
        </w:rPr>
        <w:t>-</w:t>
      </w:r>
      <w:r>
        <w:t xml:space="preserve"> Auto </w:t>
      </w:r>
      <w:hyperlink w:anchor="AUTO_2008_41" w:history="1">
        <w:r w:rsidRPr="00C12216">
          <w:rPr>
            <w:rStyle w:val="TextoNormalCaracter"/>
          </w:rPr>
          <w:t>41/2008</w:t>
        </w:r>
      </w:hyperlink>
      <w:r>
        <w:t>.</w:t>
      </w:r>
    </w:p>
    <w:p w:rsidR="00C12216" w:rsidRDefault="00C12216" w:rsidP="00C12216">
      <w:pPr>
        <w:pStyle w:val="SangriaFrancesaArticulo"/>
      </w:pPr>
    </w:p>
    <w:p w:rsidR="00C12216" w:rsidRDefault="00C12216" w:rsidP="00C12216">
      <w:pPr>
        <w:pStyle w:val="TextoNormalNegritaCursivandice"/>
      </w:pPr>
      <w:r>
        <w:t>Real Decreto de 24 de julio de 1889. Código civil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2" w:history="1">
        <w:r w:rsidRPr="00C12216">
          <w:rPr>
            <w:rStyle w:val="TextoNormalCaracter"/>
          </w:rPr>
          <w:t>22/2008</w:t>
        </w:r>
      </w:hyperlink>
      <w:r>
        <w:t>, f. 8.</w:t>
      </w:r>
    </w:p>
    <w:p w:rsidR="00C12216" w:rsidRDefault="00C12216" w:rsidP="00C12216">
      <w:pPr>
        <w:pStyle w:val="SangriaFrancesaArticulo"/>
      </w:pPr>
      <w:r w:rsidRPr="00C12216">
        <w:rPr>
          <w:rStyle w:val="TextoNormalNegritaCaracter"/>
        </w:rPr>
        <w:t>Artículo 44 párrafo 2</w:t>
      </w:r>
      <w:r>
        <w:t xml:space="preserve"> </w:t>
      </w:r>
      <w:r w:rsidRPr="00C12216">
        <w:rPr>
          <w:rStyle w:val="TextoNormalCaracter"/>
        </w:rPr>
        <w:t>(redactado por la Ley 13/2005, de 1 de julio)</w:t>
      </w:r>
      <w:r w:rsidRPr="00C12216">
        <w:rPr>
          <w:rStyle w:val="TextoNormalNegritaCaracter"/>
        </w:rPr>
        <w:t>.</w:t>
      </w:r>
      <w:r w:rsidRPr="00C12216">
        <w:rPr>
          <w:rStyle w:val="TextoNormalCaracter"/>
        </w:rPr>
        <w:t>-</w:t>
      </w:r>
      <w:r>
        <w:t xml:space="preserve"> Auto </w:t>
      </w:r>
      <w:hyperlink w:anchor="AUTO_2008_12" w:history="1">
        <w:r w:rsidRPr="00C12216">
          <w:rPr>
            <w:rStyle w:val="TextoNormalCaracter"/>
          </w:rPr>
          <w:t>12/2008</w:t>
        </w:r>
      </w:hyperlink>
      <w:r>
        <w:t>.</w:t>
      </w:r>
    </w:p>
    <w:p w:rsidR="00C12216" w:rsidRDefault="00C12216" w:rsidP="00C12216">
      <w:pPr>
        <w:pStyle w:val="SangriaFrancesaArticulo"/>
      </w:pPr>
      <w:r w:rsidRPr="00C12216">
        <w:rPr>
          <w:rStyle w:val="TextoNormalNegritaCaracter"/>
        </w:rPr>
        <w:t>Artículo 90.2</w:t>
      </w:r>
      <w:r>
        <w:t xml:space="preserve"> </w:t>
      </w:r>
      <w:r w:rsidRPr="00C12216">
        <w:rPr>
          <w:rStyle w:val="TextoNormalCaracter"/>
        </w:rPr>
        <w:t>(redactado por la Ley 15/2005, de 8 de julio)</w:t>
      </w:r>
      <w:r w:rsidRPr="00C12216">
        <w:rPr>
          <w:rStyle w:val="TextoNormalNegritaCaracter"/>
        </w:rPr>
        <w:t>.</w:t>
      </w:r>
      <w:r w:rsidRPr="00C12216">
        <w:rPr>
          <w:rStyle w:val="TextoNormalCaracter"/>
        </w:rPr>
        <w:t>-</w:t>
      </w:r>
      <w:r>
        <w:t xml:space="preserve"> Sentencia </w:t>
      </w:r>
      <w:hyperlink w:anchor="SENTENCIA_2008_22" w:history="1">
        <w:r w:rsidRPr="00C12216">
          <w:rPr>
            <w:rStyle w:val="TextoNormalCaracter"/>
          </w:rPr>
          <w:t>22/2008</w:t>
        </w:r>
      </w:hyperlink>
      <w:r>
        <w:t>, f. 7.</w:t>
      </w:r>
    </w:p>
    <w:p w:rsidR="00C12216" w:rsidRDefault="00C12216" w:rsidP="00C12216">
      <w:pPr>
        <w:pStyle w:val="SangriaFrancesaArticulo"/>
      </w:pPr>
      <w:r w:rsidRPr="00C12216">
        <w:rPr>
          <w:rStyle w:val="TextoNormalNegritaCaracter"/>
        </w:rPr>
        <w:t>Artículo 92.2.</w:t>
      </w:r>
      <w:r w:rsidRPr="00C12216">
        <w:rPr>
          <w:rStyle w:val="TextoNormalCaracter"/>
        </w:rPr>
        <w:t>-</w:t>
      </w:r>
      <w:r>
        <w:t xml:space="preserve"> Sentencia </w:t>
      </w:r>
      <w:hyperlink w:anchor="SENTENCIA_2008_22" w:history="1">
        <w:r w:rsidRPr="00C12216">
          <w:rPr>
            <w:rStyle w:val="TextoNormalCaracter"/>
          </w:rPr>
          <w:t>22/2008</w:t>
        </w:r>
      </w:hyperlink>
      <w:r>
        <w:t>, f. 6.</w:t>
      </w:r>
    </w:p>
    <w:p w:rsidR="00C12216" w:rsidRDefault="00C12216" w:rsidP="00C12216">
      <w:pPr>
        <w:pStyle w:val="SangriaFrancesaArticulo"/>
      </w:pPr>
      <w:r w:rsidRPr="00C12216">
        <w:rPr>
          <w:rStyle w:val="TextoNormalNegritaCaracter"/>
        </w:rPr>
        <w:t>Artículo 172.1 in fine.</w:t>
      </w:r>
      <w:r w:rsidRPr="00C12216">
        <w:rPr>
          <w:rStyle w:val="TextoNormalCaracter"/>
        </w:rPr>
        <w:t>-</w:t>
      </w:r>
      <w:r>
        <w:t xml:space="preserve"> Sentencia </w:t>
      </w:r>
      <w:hyperlink w:anchor="SENTENCIA_2008_58" w:history="1">
        <w:r w:rsidRPr="00C12216">
          <w:rPr>
            <w:rStyle w:val="TextoNormalCaracter"/>
          </w:rPr>
          <w:t>58/2008</w:t>
        </w:r>
      </w:hyperlink>
      <w:r>
        <w:t>, f. 3.</w:t>
      </w:r>
    </w:p>
    <w:p w:rsidR="00C12216" w:rsidRDefault="00C12216" w:rsidP="00C12216">
      <w:pPr>
        <w:pStyle w:val="SangriaFrancesaArticulo"/>
      </w:pPr>
      <w:r w:rsidRPr="00C12216">
        <w:rPr>
          <w:rStyle w:val="TextoNormalNegritaCaracter"/>
        </w:rPr>
        <w:t>Artículo 172.4.</w:t>
      </w:r>
      <w:r w:rsidRPr="00C12216">
        <w:rPr>
          <w:rStyle w:val="TextoNormalCaracter"/>
        </w:rPr>
        <w:t>-</w:t>
      </w:r>
      <w:r>
        <w:t xml:space="preserve"> Sentencia </w:t>
      </w:r>
      <w:hyperlink w:anchor="SENTENCIA_2008_11" w:history="1">
        <w:r w:rsidRPr="00C12216">
          <w:rPr>
            <w:rStyle w:val="TextoNormalCaracter"/>
          </w:rPr>
          <w:t>11/2008</w:t>
        </w:r>
      </w:hyperlink>
      <w:r>
        <w:t>, f. 7.</w:t>
      </w:r>
    </w:p>
    <w:p w:rsidR="00C12216" w:rsidRDefault="00C12216" w:rsidP="00C12216">
      <w:pPr>
        <w:pStyle w:val="SangriaFrancesaArticulo"/>
      </w:pPr>
      <w:r w:rsidRPr="00C12216">
        <w:rPr>
          <w:rStyle w:val="TextoNormalNegritaCaracter"/>
        </w:rPr>
        <w:t>Artículo 172.6.</w:t>
      </w:r>
      <w:r w:rsidRPr="00C12216">
        <w:rPr>
          <w:rStyle w:val="TextoNormalCaracter"/>
        </w:rPr>
        <w:t>-</w:t>
      </w:r>
      <w:r>
        <w:t xml:space="preserve"> Sentencia </w:t>
      </w:r>
      <w:hyperlink w:anchor="SENTENCIA_2008_11" w:history="1">
        <w:r w:rsidRPr="00C12216">
          <w:rPr>
            <w:rStyle w:val="TextoNormalCaracter"/>
          </w:rPr>
          <w:t>11/2008</w:t>
        </w:r>
      </w:hyperlink>
      <w:r>
        <w:t>, f. 8.</w:t>
      </w:r>
    </w:p>
    <w:p w:rsidR="00C12216" w:rsidRDefault="00C12216" w:rsidP="00C12216">
      <w:pPr>
        <w:pStyle w:val="SangriaFrancesaArticulo"/>
      </w:pPr>
      <w:r w:rsidRPr="00C12216">
        <w:rPr>
          <w:rStyle w:val="TextoNormalNegritaCaracter"/>
        </w:rPr>
        <w:t>Artículo 173 bis.</w:t>
      </w:r>
      <w:r w:rsidRPr="00C12216">
        <w:rPr>
          <w:rStyle w:val="TextoNormalCaracter"/>
        </w:rPr>
        <w:t>-</w:t>
      </w:r>
      <w:r>
        <w:t xml:space="preserve"> Sentencia </w:t>
      </w:r>
      <w:hyperlink w:anchor="SENTENCIA_2008_11" w:history="1">
        <w:r w:rsidRPr="00C12216">
          <w:rPr>
            <w:rStyle w:val="TextoNormalCaracter"/>
          </w:rPr>
          <w:t>11/2008</w:t>
        </w:r>
      </w:hyperlink>
      <w:r>
        <w:t>, f. 7.</w:t>
      </w:r>
    </w:p>
    <w:p w:rsidR="00C12216" w:rsidRDefault="00C12216" w:rsidP="00C12216">
      <w:pPr>
        <w:pStyle w:val="SangriaFrancesaArticulo"/>
      </w:pPr>
      <w:r w:rsidRPr="00C12216">
        <w:rPr>
          <w:rStyle w:val="TextoNormalNegritaCaracter"/>
        </w:rPr>
        <w:t>Artículo 173.3.</w:t>
      </w:r>
      <w:r w:rsidRPr="00C12216">
        <w:rPr>
          <w:rStyle w:val="TextoNormalCaracter"/>
        </w:rPr>
        <w:t>-</w:t>
      </w:r>
      <w:r>
        <w:t xml:space="preserve"> Sentencia </w:t>
      </w:r>
      <w:hyperlink w:anchor="SENTENCIA_2008_11" w:history="1">
        <w:r w:rsidRPr="00C12216">
          <w:rPr>
            <w:rStyle w:val="TextoNormalCaracter"/>
          </w:rPr>
          <w:t>11/2008</w:t>
        </w:r>
      </w:hyperlink>
      <w:r>
        <w:t>, f. 7.</w:t>
      </w:r>
    </w:p>
    <w:p w:rsidR="00C12216" w:rsidRDefault="00C12216" w:rsidP="00C12216">
      <w:pPr>
        <w:pStyle w:val="SangriaFrancesaArticulo"/>
      </w:pPr>
      <w:r w:rsidRPr="00C12216">
        <w:rPr>
          <w:rStyle w:val="TextoNormalNegritaCaracter"/>
        </w:rPr>
        <w:t>Artículo 173.4.</w:t>
      </w:r>
      <w:r w:rsidRPr="00C12216">
        <w:rPr>
          <w:rStyle w:val="TextoNormalCaracter"/>
        </w:rPr>
        <w:t>-</w:t>
      </w:r>
      <w:r>
        <w:t xml:space="preserve"> Sentencia </w:t>
      </w:r>
      <w:hyperlink w:anchor="SENTENCIA_2008_11" w:history="1">
        <w:r w:rsidRPr="00C12216">
          <w:rPr>
            <w:rStyle w:val="TextoNormalCaracter"/>
          </w:rPr>
          <w:t>11/2008</w:t>
        </w:r>
      </w:hyperlink>
      <w:r>
        <w:t>, f. 7.</w:t>
      </w:r>
    </w:p>
    <w:p w:rsidR="00C12216" w:rsidRDefault="00C12216" w:rsidP="00C12216">
      <w:pPr>
        <w:pStyle w:val="SangriaFrancesaArticulo"/>
      </w:pPr>
      <w:r w:rsidRPr="00C12216">
        <w:rPr>
          <w:rStyle w:val="TextoNormalNegritaCaracter"/>
        </w:rPr>
        <w:t>Artículo 177.</w:t>
      </w:r>
      <w:r w:rsidRPr="00C12216">
        <w:rPr>
          <w:rStyle w:val="TextoNormalCaracter"/>
        </w:rPr>
        <w:t>-</w:t>
      </w:r>
      <w:r>
        <w:t xml:space="preserve"> Sentencia </w:t>
      </w:r>
      <w:hyperlink w:anchor="SENTENCIA_2008_58" w:history="1">
        <w:r w:rsidRPr="00C12216">
          <w:rPr>
            <w:rStyle w:val="TextoNormalCaracter"/>
          </w:rPr>
          <w:t>58/2008</w:t>
        </w:r>
      </w:hyperlink>
      <w:r>
        <w:t>, f. 3.</w:t>
      </w:r>
    </w:p>
    <w:p w:rsidR="00C12216" w:rsidRDefault="00C12216" w:rsidP="00C12216">
      <w:pPr>
        <w:pStyle w:val="SangriaFrancesaArticulo"/>
      </w:pPr>
      <w:r w:rsidRPr="00C12216">
        <w:rPr>
          <w:rStyle w:val="TextoNormalNegritaCaracter"/>
        </w:rPr>
        <w:t>Artículo 177.1.2.</w:t>
      </w:r>
      <w:r w:rsidRPr="00C12216">
        <w:rPr>
          <w:rStyle w:val="TextoNormalCaracter"/>
        </w:rPr>
        <w:t>-</w:t>
      </w:r>
      <w:r>
        <w:t xml:space="preserve"> Sentencia </w:t>
      </w:r>
      <w:hyperlink w:anchor="SENTENCIA_2008_58" w:history="1">
        <w:r w:rsidRPr="00C12216">
          <w:rPr>
            <w:rStyle w:val="TextoNormalCaracter"/>
          </w:rPr>
          <w:t>58/2008</w:t>
        </w:r>
      </w:hyperlink>
      <w:r>
        <w:t>, ff. 3, 4.</w:t>
      </w:r>
    </w:p>
    <w:p w:rsidR="00C12216" w:rsidRDefault="00C12216" w:rsidP="00C12216">
      <w:pPr>
        <w:pStyle w:val="SangriaFrancesaArticulo"/>
      </w:pPr>
      <w:r w:rsidRPr="00C12216">
        <w:rPr>
          <w:rStyle w:val="TextoNormalNegritaCaracter"/>
        </w:rPr>
        <w:t>Artículo 1274.</w:t>
      </w:r>
      <w:r w:rsidRPr="00C12216">
        <w:rPr>
          <w:rStyle w:val="TextoNormalCaracter"/>
        </w:rPr>
        <w:t>-</w:t>
      </w:r>
      <w:r>
        <w:t xml:space="preserve"> Sentencia </w:t>
      </w:r>
      <w:hyperlink w:anchor="SENTENCIA_2008_17" w:history="1">
        <w:r w:rsidRPr="00C12216">
          <w:rPr>
            <w:rStyle w:val="TextoNormalCaracter"/>
          </w:rPr>
          <w:t>17/2008</w:t>
        </w:r>
      </w:hyperlink>
      <w:r>
        <w:t>, f. 5.</w:t>
      </w:r>
    </w:p>
    <w:p w:rsidR="00C12216" w:rsidRDefault="00C12216" w:rsidP="00C12216">
      <w:pPr>
        <w:pStyle w:val="SangriaFrancesaArticulo"/>
      </w:pPr>
    </w:p>
    <w:p w:rsidR="00C12216" w:rsidRDefault="00C12216" w:rsidP="00C12216">
      <w:pPr>
        <w:pStyle w:val="TextoNormalNegritaCursivandice"/>
      </w:pPr>
      <w:r>
        <w:t>Ley 29 de junio de 1911. Bases para la reorganización de las Cámaras oficiales de comercio, industria y navegación</w:t>
      </w:r>
    </w:p>
    <w:p w:rsidR="00C12216" w:rsidRDefault="00C12216" w:rsidP="00C12216">
      <w:pPr>
        <w:pStyle w:val="SangriaFrancesaArticulo"/>
      </w:pPr>
      <w:r w:rsidRPr="00C12216">
        <w:rPr>
          <w:rStyle w:val="TextoNormalNegritaCaracter"/>
        </w:rPr>
        <w:t>Base 4.4.</w:t>
      </w:r>
      <w:r w:rsidRPr="00C12216">
        <w:rPr>
          <w:rStyle w:val="TextoNormalCaracter"/>
        </w:rPr>
        <w:t>-</w:t>
      </w:r>
      <w:r>
        <w:t xml:space="preserve"> Sentencia </w:t>
      </w:r>
      <w:hyperlink w:anchor="SENTENCIA_2008_46" w:history="1">
        <w:r w:rsidRPr="00C12216">
          <w:rPr>
            <w:rStyle w:val="TextoNormalCaracter"/>
          </w:rPr>
          <w:t>46/2008</w:t>
        </w:r>
      </w:hyperlink>
      <w:r>
        <w:t>, f. 2.</w:t>
      </w:r>
    </w:p>
    <w:p w:rsidR="00C12216" w:rsidRDefault="00C12216" w:rsidP="00C12216">
      <w:pPr>
        <w:pStyle w:val="SangriaFrancesaArticulo"/>
      </w:pPr>
    </w:p>
    <w:p w:rsidR="00C12216" w:rsidRDefault="00C12216" w:rsidP="00C12216">
      <w:pPr>
        <w:pStyle w:val="TextoNormalNegritaCursivandice"/>
      </w:pPr>
      <w:r>
        <w:t>Decreto de 8 de febrero de 1946. Texto refundido de la Ley hipotecaria</w:t>
      </w:r>
    </w:p>
    <w:p w:rsidR="00C12216" w:rsidRDefault="00C12216" w:rsidP="00C12216">
      <w:pPr>
        <w:pStyle w:val="SangriaFrancesaArticulo"/>
      </w:pPr>
      <w:r w:rsidRPr="00C12216">
        <w:rPr>
          <w:rStyle w:val="TextoNormalNegritaCaracter"/>
        </w:rPr>
        <w:t>Artículo 24.</w:t>
      </w:r>
      <w:r w:rsidRPr="00C12216">
        <w:rPr>
          <w:rStyle w:val="TextoNormalCaracter"/>
        </w:rPr>
        <w:t>-</w:t>
      </w:r>
      <w:r>
        <w:t xml:space="preserve"> Sentencia </w:t>
      </w:r>
      <w:hyperlink w:anchor="SENTENCIA_2008_6" w:history="1">
        <w:r w:rsidRPr="00C12216">
          <w:rPr>
            <w:rStyle w:val="TextoNormalCaracter"/>
          </w:rPr>
          <w:t>6/2008</w:t>
        </w:r>
      </w:hyperlink>
      <w:r>
        <w:t>, ff. 1, 3.</w:t>
      </w:r>
    </w:p>
    <w:p w:rsidR="00C12216" w:rsidRDefault="00C12216" w:rsidP="00C12216">
      <w:pPr>
        <w:pStyle w:val="SangriaFrancesaArticulo"/>
      </w:pPr>
      <w:r w:rsidRPr="00C12216">
        <w:rPr>
          <w:rStyle w:val="TextoNormalNegritaCaracter"/>
        </w:rPr>
        <w:t>Artículo 25.</w:t>
      </w:r>
      <w:r w:rsidRPr="00C12216">
        <w:rPr>
          <w:rStyle w:val="TextoNormalCaracter"/>
        </w:rPr>
        <w:t>-</w:t>
      </w:r>
      <w:r>
        <w:t xml:space="preserve"> Sentencia </w:t>
      </w:r>
      <w:hyperlink w:anchor="SENTENCIA_2008_6" w:history="1">
        <w:r w:rsidRPr="00C12216">
          <w:rPr>
            <w:rStyle w:val="TextoNormalCaracter"/>
          </w:rPr>
          <w:t>6/2008</w:t>
        </w:r>
      </w:hyperlink>
      <w:r>
        <w:t>, f. 1.</w:t>
      </w:r>
    </w:p>
    <w:p w:rsidR="00C12216" w:rsidRDefault="00C12216" w:rsidP="00C12216">
      <w:pPr>
        <w:pStyle w:val="SangriaFrancesaArticulo"/>
      </w:pPr>
      <w:r w:rsidRPr="00C12216">
        <w:rPr>
          <w:rStyle w:val="TextoNormalNegritaCaracter"/>
        </w:rPr>
        <w:t>Artículo 131.</w:t>
      </w:r>
      <w:r w:rsidRPr="00C12216">
        <w:rPr>
          <w:rStyle w:val="TextoNormalCaracter"/>
        </w:rPr>
        <w:t>-</w:t>
      </w:r>
      <w:r>
        <w:t xml:space="preserve"> Sentencia </w:t>
      </w:r>
      <w:hyperlink w:anchor="SENTENCIA_2008_6" w:history="1">
        <w:r w:rsidRPr="00C12216">
          <w:rPr>
            <w:rStyle w:val="TextoNormalCaracter"/>
          </w:rPr>
          <w:t>6/2008</w:t>
        </w:r>
      </w:hyperlink>
      <w:r>
        <w:t>, f. 3.</w:t>
      </w:r>
    </w:p>
    <w:p w:rsidR="00C12216" w:rsidRDefault="00C12216" w:rsidP="00C12216">
      <w:pPr>
        <w:pStyle w:val="SangriaFrancesaArticulo"/>
      </w:pPr>
      <w:r w:rsidRPr="00C12216">
        <w:rPr>
          <w:rStyle w:val="TextoNormalNegritaCaracter"/>
        </w:rPr>
        <w:t>Artículo 131.5.</w:t>
      </w:r>
      <w:r w:rsidRPr="00C12216">
        <w:rPr>
          <w:rStyle w:val="TextoNormalCaracter"/>
        </w:rPr>
        <w:t>-</w:t>
      </w:r>
      <w:r>
        <w:t xml:space="preserve"> Sentencia </w:t>
      </w:r>
      <w:hyperlink w:anchor="SENTENCIA_2008_6" w:history="1">
        <w:r w:rsidRPr="00C12216">
          <w:rPr>
            <w:rStyle w:val="TextoNormalCaracter"/>
          </w:rPr>
          <w:t>6/2008</w:t>
        </w:r>
      </w:hyperlink>
      <w:r>
        <w:t>, f. 3.</w:t>
      </w:r>
    </w:p>
    <w:p w:rsidR="00C12216" w:rsidRDefault="00C12216" w:rsidP="00C12216">
      <w:pPr>
        <w:pStyle w:val="SangriaFrancesaArticulo"/>
      </w:pPr>
    </w:p>
    <w:p w:rsidR="00C12216" w:rsidRDefault="00C12216" w:rsidP="00C12216">
      <w:pPr>
        <w:pStyle w:val="TextoNormalNegritaCursivandice"/>
      </w:pPr>
      <w:r>
        <w:t>Decreto de 14 de febrero de 1947. Reglamento hipotecario</w:t>
      </w:r>
    </w:p>
    <w:p w:rsidR="00C12216" w:rsidRDefault="00C12216" w:rsidP="00C12216">
      <w:pPr>
        <w:pStyle w:val="SangriaFrancesaArticulo"/>
      </w:pPr>
      <w:r w:rsidRPr="00C12216">
        <w:rPr>
          <w:rStyle w:val="TextoNormalNegritaCaracter"/>
        </w:rPr>
        <w:t>Artículo 225.</w:t>
      </w:r>
      <w:r w:rsidRPr="00C12216">
        <w:rPr>
          <w:rStyle w:val="TextoNormalCaracter"/>
        </w:rPr>
        <w:t>-</w:t>
      </w:r>
      <w:r>
        <w:t xml:space="preserve"> Sentencia </w:t>
      </w:r>
      <w:hyperlink w:anchor="SENTENCIA_2008_6" w:history="1">
        <w:r w:rsidRPr="00C12216">
          <w:rPr>
            <w:rStyle w:val="TextoNormalCaracter"/>
          </w:rPr>
          <w:t>6/2008</w:t>
        </w:r>
      </w:hyperlink>
      <w:r>
        <w:t>, f. 3.</w:t>
      </w:r>
    </w:p>
    <w:p w:rsidR="00C12216" w:rsidRDefault="00C12216" w:rsidP="00C12216">
      <w:pPr>
        <w:pStyle w:val="SangriaFrancesaArticulo"/>
      </w:pPr>
      <w:r w:rsidRPr="00C12216">
        <w:rPr>
          <w:rStyle w:val="TextoNormalNegritaCaracter"/>
        </w:rPr>
        <w:t>Artículo 226.2.</w:t>
      </w:r>
      <w:r w:rsidRPr="00C12216">
        <w:rPr>
          <w:rStyle w:val="TextoNormalCaracter"/>
        </w:rPr>
        <w:t>-</w:t>
      </w:r>
      <w:r>
        <w:t xml:space="preserve"> Sentencia </w:t>
      </w:r>
      <w:hyperlink w:anchor="SENTENCIA_2008_6" w:history="1">
        <w:r w:rsidRPr="00C12216">
          <w:rPr>
            <w:rStyle w:val="TextoNormalCaracter"/>
          </w:rPr>
          <w:t>6/2008</w:t>
        </w:r>
      </w:hyperlink>
      <w:r>
        <w:t>, f. 3.</w:t>
      </w:r>
    </w:p>
    <w:p w:rsidR="00C12216" w:rsidRDefault="00C12216" w:rsidP="00C12216">
      <w:pPr>
        <w:pStyle w:val="SangriaFrancesaArticulo"/>
      </w:pPr>
      <w:r w:rsidRPr="00C12216">
        <w:rPr>
          <w:rStyle w:val="TextoNormalNegritaCaracter"/>
        </w:rPr>
        <w:t>Artículo 353.1.</w:t>
      </w:r>
      <w:r w:rsidRPr="00C12216">
        <w:rPr>
          <w:rStyle w:val="TextoNormalCaracter"/>
        </w:rPr>
        <w:t>-</w:t>
      </w:r>
      <w:r>
        <w:t xml:space="preserve"> Sentencia </w:t>
      </w:r>
      <w:hyperlink w:anchor="SENTENCIA_2008_6" w:history="1">
        <w:r w:rsidRPr="00C12216">
          <w:rPr>
            <w:rStyle w:val="TextoNormalCaracter"/>
          </w:rPr>
          <w:t>6/2008</w:t>
        </w:r>
      </w:hyperlink>
      <w:r>
        <w:t>, ff. 1 a 3.</w:t>
      </w:r>
    </w:p>
    <w:p w:rsidR="00C12216" w:rsidRDefault="00C12216" w:rsidP="00C12216">
      <w:pPr>
        <w:pStyle w:val="SangriaFrancesaArticulo"/>
      </w:pPr>
    </w:p>
    <w:p w:rsidR="00C12216" w:rsidRDefault="00C12216" w:rsidP="00C12216">
      <w:pPr>
        <w:pStyle w:val="TextoNormalNegritaCursivandice"/>
      </w:pPr>
      <w:r>
        <w:t>Ley de 16 de Julio de 1949. Modifica y deroga artículos de la Ley de enjuiciamiento criminal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7" w:history="1">
        <w:r w:rsidRPr="00C12216">
          <w:rPr>
            <w:rStyle w:val="TextoNormalCaracter"/>
          </w:rPr>
          <w:t>7/2008</w:t>
        </w:r>
      </w:hyperlink>
      <w:r>
        <w:t>, f. 3.</w:t>
      </w:r>
    </w:p>
    <w:p w:rsidR="00C12216" w:rsidRDefault="00C12216" w:rsidP="00C12216">
      <w:pPr>
        <w:pStyle w:val="SangriaFrancesaArticulo"/>
      </w:pPr>
    </w:p>
    <w:p w:rsidR="00C12216" w:rsidRDefault="00C12216" w:rsidP="00C12216">
      <w:pPr>
        <w:pStyle w:val="TextoNormalNegritaCursivandice"/>
      </w:pPr>
      <w:r>
        <w:t>Decreto de 17 de mayo de 1952. Reglamento de organización, funcionamiento y régimen jurídico de las Corporaciones locales</w:t>
      </w:r>
    </w:p>
    <w:p w:rsidR="00C12216" w:rsidRDefault="00C12216" w:rsidP="00C12216">
      <w:pPr>
        <w:pStyle w:val="SangriaFrancesaArticulo"/>
      </w:pPr>
      <w:r w:rsidRPr="00C12216">
        <w:rPr>
          <w:rStyle w:val="TextoNormalNegritaCaracter"/>
        </w:rPr>
        <w:t>Artículo 221.</w:t>
      </w:r>
      <w:r w:rsidRPr="00C12216">
        <w:rPr>
          <w:rStyle w:val="TextoNormalCaracter"/>
        </w:rPr>
        <w:t>-</w:t>
      </w:r>
      <w:r>
        <w:t xml:space="preserve"> Sentencia </w:t>
      </w:r>
      <w:hyperlink w:anchor="SENTENCIA_2008_14" w:history="1">
        <w:r w:rsidRPr="00C12216">
          <w:rPr>
            <w:rStyle w:val="TextoNormalCaracter"/>
          </w:rPr>
          <w:t>14/2008</w:t>
        </w:r>
      </w:hyperlink>
      <w:r>
        <w:t>, f. 1.</w:t>
      </w:r>
    </w:p>
    <w:p w:rsidR="00C12216" w:rsidRDefault="00C12216" w:rsidP="00C12216">
      <w:pPr>
        <w:pStyle w:val="SangriaFrancesaArticulo"/>
      </w:pPr>
    </w:p>
    <w:p w:rsidR="00C12216" w:rsidRDefault="00C12216" w:rsidP="00C12216">
      <w:pPr>
        <w:pStyle w:val="TextoNormalNegritaCursivandice"/>
      </w:pPr>
      <w:r>
        <w:t>Decreto de 2 de febrero de 1956. Reglamento de servicios de prisiones</w:t>
      </w:r>
    </w:p>
    <w:p w:rsidR="00C12216" w:rsidRDefault="00C12216" w:rsidP="00C12216">
      <w:pPr>
        <w:pStyle w:val="SangriaFrancesaArticulo"/>
      </w:pPr>
      <w:r w:rsidRPr="00C12216">
        <w:rPr>
          <w:rStyle w:val="TextoNormalNegritaCaracter"/>
        </w:rPr>
        <w:t>Artículos 65 a 73.</w:t>
      </w:r>
      <w:r w:rsidRPr="00C12216">
        <w:rPr>
          <w:rStyle w:val="TextoNormalCaracter"/>
        </w:rPr>
        <w:t>-</w:t>
      </w:r>
      <w:r>
        <w:t xml:space="preserve"> Sentencia </w:t>
      </w:r>
      <w:hyperlink w:anchor="SENTENCIA_2008_43" w:history="1">
        <w:r w:rsidRPr="00C12216">
          <w:rPr>
            <w:rStyle w:val="TextoNormalCaracter"/>
          </w:rPr>
          <w:t>43/2008</w:t>
        </w:r>
      </w:hyperlink>
      <w:r>
        <w:t>, f. 4.</w:t>
      </w:r>
    </w:p>
    <w:p w:rsidR="00C12216" w:rsidRDefault="00C12216" w:rsidP="00C12216">
      <w:pPr>
        <w:pStyle w:val="SangriaFrancesaArticulo"/>
      </w:pPr>
    </w:p>
    <w:p w:rsidR="00C12216" w:rsidRDefault="00C12216" w:rsidP="00C12216">
      <w:pPr>
        <w:pStyle w:val="TextoNormalNegritaCursivandice"/>
      </w:pPr>
      <w:r>
        <w:t>Ley de 27 de diciembre de 1956. Jurisdicción contencioso-administrativa</w:t>
      </w:r>
    </w:p>
    <w:p w:rsidR="00C12216" w:rsidRDefault="00C12216" w:rsidP="00C12216">
      <w:pPr>
        <w:pStyle w:val="SangriaFrancesaArticulo"/>
      </w:pPr>
      <w:r w:rsidRPr="00C12216">
        <w:rPr>
          <w:rStyle w:val="TextoNormalNegritaCaracter"/>
        </w:rPr>
        <w:t>Artículo 43.</w:t>
      </w:r>
      <w:r w:rsidRPr="00C12216">
        <w:rPr>
          <w:rStyle w:val="TextoNormalCaracter"/>
        </w:rPr>
        <w:t>-</w:t>
      </w:r>
      <w:r>
        <w:t xml:space="preserve"> Sentencia </w:t>
      </w:r>
      <w:hyperlink w:anchor="SENTENCIA_2008_44" w:history="1">
        <w:r w:rsidRPr="00C12216">
          <w:rPr>
            <w:rStyle w:val="TextoNormalCaracter"/>
          </w:rPr>
          <w:t>44/2008</w:t>
        </w:r>
      </w:hyperlink>
      <w:r>
        <w:t>, f. 2.</w:t>
      </w:r>
    </w:p>
    <w:p w:rsidR="00C12216" w:rsidRDefault="00C12216" w:rsidP="00C12216">
      <w:pPr>
        <w:pStyle w:val="SangriaFrancesaArticulo"/>
      </w:pPr>
    </w:p>
    <w:p w:rsidR="00C12216" w:rsidRDefault="00C12216" w:rsidP="00C12216">
      <w:pPr>
        <w:pStyle w:val="TextoNormalNegritaCursivandice"/>
      </w:pPr>
      <w:r>
        <w:t>Ley de 8 de junio de 1957. Registro Civil</w:t>
      </w:r>
    </w:p>
    <w:p w:rsidR="00C12216" w:rsidRDefault="00C12216" w:rsidP="00C12216">
      <w:pPr>
        <w:pStyle w:val="SangriaFrancesaArticulo"/>
      </w:pPr>
      <w:r w:rsidRPr="00C12216">
        <w:rPr>
          <w:rStyle w:val="TextoNormalNegritaCaracter"/>
        </w:rPr>
        <w:t>Artículo 9.</w:t>
      </w:r>
      <w:r w:rsidRPr="00C12216">
        <w:rPr>
          <w:rStyle w:val="TextoNormalCaracter"/>
        </w:rPr>
        <w:t>-</w:t>
      </w:r>
      <w:r>
        <w:t xml:space="preserve"> Auto </w:t>
      </w:r>
      <w:hyperlink w:anchor="AUTO_2008_12" w:history="1">
        <w:r w:rsidRPr="00C12216">
          <w:rPr>
            <w:rStyle w:val="TextoNormalCaracter"/>
          </w:rPr>
          <w:t>12/2008</w:t>
        </w:r>
      </w:hyperlink>
      <w:r>
        <w:t>.</w:t>
      </w:r>
    </w:p>
    <w:p w:rsidR="00C12216" w:rsidRDefault="00C12216" w:rsidP="00C12216">
      <w:pPr>
        <w:pStyle w:val="SangriaFrancesaArticulo"/>
      </w:pPr>
    </w:p>
    <w:p w:rsidR="00C12216" w:rsidRDefault="00C12216" w:rsidP="00C12216">
      <w:pPr>
        <w:pStyle w:val="TextoNormalNegritaCursivandice"/>
      </w:pPr>
      <w:r>
        <w:t>Decreto de 14 de noviembre de 1958. Reglamento del Registro Civil</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 </w:t>
      </w:r>
      <w:hyperlink w:anchor="AUTO_2008_12" w:history="1">
        <w:r w:rsidRPr="00C12216">
          <w:rPr>
            <w:rStyle w:val="TextoNormalCaracter"/>
          </w:rPr>
          <w:t>12/2008</w:t>
        </w:r>
      </w:hyperlink>
      <w:r>
        <w:t>.</w:t>
      </w:r>
    </w:p>
    <w:p w:rsidR="00C12216" w:rsidRDefault="00C12216" w:rsidP="00C12216">
      <w:pPr>
        <w:pStyle w:val="SangriaFrancesaArticulo"/>
      </w:pPr>
    </w:p>
    <w:p w:rsidR="00C12216" w:rsidRDefault="00C12216" w:rsidP="00C12216">
      <w:pPr>
        <w:pStyle w:val="TextoNormalNegritaCursivandice"/>
      </w:pPr>
      <w:r>
        <w:t>Ley 1/1966, de 28 de enero. Régimen financiero de los puertos españoles</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31" w:history="1">
        <w:r w:rsidRPr="00C12216">
          <w:rPr>
            <w:rStyle w:val="TextoNormalCaracter"/>
          </w:rPr>
          <w:t>31/2008</w:t>
        </w:r>
      </w:hyperlink>
      <w:r>
        <w:t>, f. 3.</w:t>
      </w:r>
    </w:p>
    <w:p w:rsidR="00C12216" w:rsidRDefault="00C12216" w:rsidP="00C12216">
      <w:pPr>
        <w:pStyle w:val="SangriaFrancesaArticulo"/>
      </w:pPr>
    </w:p>
    <w:p w:rsidR="00C12216" w:rsidRDefault="00C12216" w:rsidP="00C12216">
      <w:pPr>
        <w:pStyle w:val="TextoNormalNegritaCursivandice"/>
      </w:pPr>
      <w:r>
        <w:t>Decreto 632/1968, de 21 de marzo. Texto refundido de la Ley sobre uso y circulación de vehículos de motor</w:t>
      </w:r>
    </w:p>
    <w:p w:rsidR="00C12216" w:rsidRDefault="00C12216" w:rsidP="00C12216">
      <w:pPr>
        <w:pStyle w:val="SangriaFrancesaArticulo"/>
      </w:pPr>
      <w:r w:rsidRPr="00C12216">
        <w:rPr>
          <w:rStyle w:val="TextoNormalNegritaCaracter"/>
        </w:rPr>
        <w:t>Anexo</w:t>
      </w:r>
      <w:r>
        <w:t xml:space="preserve"> </w:t>
      </w:r>
      <w:r w:rsidRPr="00C12216">
        <w:rPr>
          <w:rStyle w:val="TextoNormalCaracter"/>
        </w:rPr>
        <w:t>(redactado por la Ley 30/1995, de 8 de noviembre)</w:t>
      </w:r>
      <w:r w:rsidRPr="00C12216">
        <w:rPr>
          <w:rStyle w:val="TextoNormalNegritaCaracter"/>
        </w:rPr>
        <w:t>.</w:t>
      </w:r>
      <w:r w:rsidRPr="00C12216">
        <w:rPr>
          <w:rStyle w:val="TextoNormalCaracter"/>
        </w:rPr>
        <w:t>-</w:t>
      </w:r>
      <w:r>
        <w:t xml:space="preserve"> Auto </w:t>
      </w:r>
      <w:hyperlink w:anchor="AUTO_2008_85" w:history="1">
        <w:r w:rsidRPr="00C12216">
          <w:rPr>
            <w:rStyle w:val="TextoNormalCaracter"/>
          </w:rPr>
          <w:t>85/2008</w:t>
        </w:r>
      </w:hyperlink>
      <w:r>
        <w:t>.</w:t>
      </w:r>
    </w:p>
    <w:p w:rsidR="00C12216" w:rsidRDefault="00C12216" w:rsidP="00C12216">
      <w:pPr>
        <w:pStyle w:val="SangriaFrancesaArticulo"/>
      </w:pPr>
    </w:p>
    <w:p w:rsidR="00C12216" w:rsidRDefault="00C12216" w:rsidP="00C12216">
      <w:pPr>
        <w:pStyle w:val="TextoNormalNegritaCursivandice"/>
      </w:pPr>
      <w:r>
        <w:t>Ley 3/1973, de 17 de marzo. Bases para la modificación del título preliminar del Código civil</w:t>
      </w:r>
    </w:p>
    <w:p w:rsidR="00C12216" w:rsidRDefault="00C12216" w:rsidP="00C12216">
      <w:pPr>
        <w:pStyle w:val="SangriaFrancesaArticulo"/>
      </w:pPr>
      <w:r w:rsidRPr="00C12216">
        <w:rPr>
          <w:rStyle w:val="TextoNormalNegritaCaracter"/>
        </w:rPr>
        <w:t>Artículo 564.</w:t>
      </w:r>
      <w:r w:rsidRPr="00C12216">
        <w:rPr>
          <w:rStyle w:val="TextoNormalCaracter"/>
        </w:rPr>
        <w:t>-</w:t>
      </w:r>
      <w:r>
        <w:t xml:space="preserve"> Sentencia </w:t>
      </w:r>
      <w:hyperlink w:anchor="SENTENCIA_2008_17" w:history="1">
        <w:r w:rsidRPr="00C12216">
          <w:rPr>
            <w:rStyle w:val="TextoNormalCaracter"/>
          </w:rPr>
          <w:t>17/2008</w:t>
        </w:r>
      </w:hyperlink>
      <w:r>
        <w:t>, f. 5.</w:t>
      </w:r>
    </w:p>
    <w:p w:rsidR="00C12216" w:rsidRDefault="00C12216" w:rsidP="00C12216">
      <w:pPr>
        <w:pStyle w:val="SangriaFrancesaArticulo"/>
      </w:pPr>
    </w:p>
    <w:p w:rsidR="00C12216" w:rsidRDefault="00C12216" w:rsidP="00C12216">
      <w:pPr>
        <w:pStyle w:val="TextoNormalNegritaCursivandice"/>
      </w:pPr>
      <w:r>
        <w:t>Decreto 3096/1973, de 14 de septiembre. Texto refundido del Código penal conforme a la Ley 44/1971, de 15 de noviembre</w:t>
      </w:r>
    </w:p>
    <w:p w:rsidR="00C12216" w:rsidRDefault="00C12216" w:rsidP="00C12216">
      <w:pPr>
        <w:pStyle w:val="SangriaFrancesaArticulo"/>
      </w:pPr>
      <w:r w:rsidRPr="00C12216">
        <w:rPr>
          <w:rStyle w:val="TextoNormalNegritaCaracter"/>
        </w:rPr>
        <w:t>Artículo 100.</w:t>
      </w:r>
      <w:r w:rsidRPr="00C12216">
        <w:rPr>
          <w:rStyle w:val="TextoNormalCaracter"/>
        </w:rPr>
        <w:t>-</w:t>
      </w:r>
      <w:r>
        <w:t xml:space="preserve"> Sentencia </w:t>
      </w:r>
      <w:hyperlink w:anchor="SENTENCIA_2008_43" w:history="1">
        <w:r w:rsidRPr="00C12216">
          <w:rPr>
            <w:rStyle w:val="TextoNormalCaracter"/>
          </w:rPr>
          <w:t>43/2008</w:t>
        </w:r>
      </w:hyperlink>
      <w:r>
        <w:t>, f. 4, VP.</w:t>
      </w:r>
    </w:p>
    <w:p w:rsidR="00C12216" w:rsidRDefault="00C12216" w:rsidP="00C12216">
      <w:pPr>
        <w:pStyle w:val="SangriaFrancesaArticulo"/>
      </w:pPr>
      <w:r w:rsidRPr="00C12216">
        <w:rPr>
          <w:rStyle w:val="TextoNormalNegritaCaracter"/>
        </w:rPr>
        <w:t>Artículo 114.</w:t>
      </w:r>
      <w:r w:rsidRPr="00C12216">
        <w:rPr>
          <w:rStyle w:val="TextoNormalCaracter"/>
        </w:rPr>
        <w:t>-</w:t>
      </w:r>
      <w:r>
        <w:t xml:space="preserve"> Sentencia </w:t>
      </w:r>
      <w:hyperlink w:anchor="SENTENCIA_2008_29" w:history="1">
        <w:r w:rsidRPr="00C12216">
          <w:rPr>
            <w:rStyle w:val="TextoNormalCaracter"/>
          </w:rPr>
          <w:t>29/2008</w:t>
        </w:r>
      </w:hyperlink>
      <w:r>
        <w:t>, ff. 1, 7, 11 a 13, VP.</w:t>
      </w:r>
    </w:p>
    <w:p w:rsidR="00C12216" w:rsidRDefault="00C12216" w:rsidP="00C12216">
      <w:pPr>
        <w:pStyle w:val="SangriaFrancesaArticulo"/>
      </w:pPr>
    </w:p>
    <w:p w:rsidR="00C12216" w:rsidRDefault="00C12216" w:rsidP="00C12216">
      <w:pPr>
        <w:pStyle w:val="TextoNormalNegritaCursivandice"/>
      </w:pPr>
      <w:r>
        <w:t>Ley 11/1977, de 4 de enero. General presupuestaria</w:t>
      </w:r>
    </w:p>
    <w:p w:rsidR="00C12216" w:rsidRDefault="00C12216" w:rsidP="00C12216">
      <w:pPr>
        <w:pStyle w:val="SangriaFrancesaArticulo"/>
      </w:pPr>
      <w:r w:rsidRPr="00C12216">
        <w:rPr>
          <w:rStyle w:val="TextoNormalNegritaCaracter"/>
        </w:rPr>
        <w:t>Artículo 46.</w:t>
      </w:r>
      <w:r w:rsidRPr="00C12216">
        <w:rPr>
          <w:rStyle w:val="TextoNormalCaracter"/>
        </w:rPr>
        <w:t>-</w:t>
      </w:r>
      <w:r>
        <w:t xml:space="preserve"> Sentencia </w:t>
      </w:r>
      <w:hyperlink w:anchor="SENTENCIA_2008_43" w:history="1">
        <w:r w:rsidRPr="00C12216">
          <w:rPr>
            <w:rStyle w:val="TextoNormalCaracter"/>
          </w:rPr>
          <w:t>43/2008</w:t>
        </w:r>
      </w:hyperlink>
      <w:r>
        <w:t>, f. 4, VP.</w:t>
      </w:r>
    </w:p>
    <w:p w:rsidR="00C12216" w:rsidRDefault="00C12216" w:rsidP="00C12216">
      <w:pPr>
        <w:pStyle w:val="SangriaFrancesaArticulo"/>
      </w:pPr>
    </w:p>
    <w:p w:rsidR="00C12216" w:rsidRDefault="00C12216" w:rsidP="00C12216">
      <w:pPr>
        <w:pStyle w:val="TextoNormalNegritaCursivandice"/>
      </w:pPr>
      <w:r>
        <w:t>Real Decreto-ley 16/1977, de 25 de febrero. Aspectos penales, administrativos y fiscales de los juegos de suerte, envite o azar y apuestas</w:t>
      </w:r>
    </w:p>
    <w:p w:rsidR="00C12216" w:rsidRDefault="00C12216" w:rsidP="00C12216">
      <w:pPr>
        <w:pStyle w:val="SangriaFrancesaArticulo"/>
      </w:pPr>
      <w:r w:rsidRPr="00C12216">
        <w:rPr>
          <w:rStyle w:val="TextoNormalNegritaCaracter"/>
        </w:rPr>
        <w:t>Artículo 3.4.2 a)</w:t>
      </w:r>
      <w:r>
        <w:t xml:space="preserve"> </w:t>
      </w:r>
      <w:r w:rsidRPr="00C12216">
        <w:rPr>
          <w:rStyle w:val="TextoNormalCaracter"/>
        </w:rPr>
        <w:t>(redactado por la Ley 65/1997, de 30 de diciembre)</w:t>
      </w:r>
      <w:r w:rsidRPr="00C12216">
        <w:rPr>
          <w:rStyle w:val="TextoNormalNegritaCaracter"/>
        </w:rPr>
        <w:t>.</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SangriaFrancesaArticulo"/>
      </w:pPr>
    </w:p>
    <w:p w:rsidR="00C12216" w:rsidRDefault="00C12216" w:rsidP="00C12216">
      <w:pPr>
        <w:pStyle w:val="TextoNormalNegritaCursivandice"/>
      </w:pPr>
      <w:r>
        <w:t>Ley 62/1978, de 26 de diciembre. Protección jurisdiccional de los derechos fundamentales de la persona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5" w:history="1">
        <w:r w:rsidRPr="00C12216">
          <w:rPr>
            <w:rStyle w:val="TextoNormalCaracter"/>
          </w:rPr>
          <w:t>25/2008</w:t>
        </w:r>
      </w:hyperlink>
      <w:r>
        <w:t>, ff. 4, 6.</w:t>
      </w:r>
    </w:p>
    <w:p w:rsidR="00C12216" w:rsidRDefault="00C12216" w:rsidP="00C12216">
      <w:pPr>
        <w:pStyle w:val="TextoNormal"/>
      </w:pPr>
    </w:p>
    <w:p w:rsidR="00C12216" w:rsidRDefault="00C12216" w:rsidP="00C12216">
      <w:pPr>
        <w:pStyle w:val="SangriaFrancesaArticulo"/>
      </w:pPr>
      <w:bookmarkStart w:id="190" w:name="INDICE22851"/>
    </w:p>
    <w:bookmarkEnd w:id="190"/>
    <w:p w:rsidR="00C12216" w:rsidRDefault="00C12216" w:rsidP="00C12216">
      <w:pPr>
        <w:pStyle w:val="TextoIndiceNivel2"/>
        <w:suppressAutoHyphens/>
      </w:pPr>
      <w:r>
        <w:t>J) Comunidades y Ciudades Autónomas</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J.1) Andalucía</w:t>
      </w:r>
    </w:p>
    <w:p w:rsidR="00C12216" w:rsidRDefault="00C12216" w:rsidP="00C12216">
      <w:pPr>
        <w:pStyle w:val="TextoNormal"/>
      </w:pPr>
    </w:p>
    <w:p w:rsidR="00C12216" w:rsidRDefault="00C12216" w:rsidP="00C12216">
      <w:pPr>
        <w:pStyle w:val="TextoNormalNegritaCentradoSubrayado"/>
        <w:suppressAutoHyphens/>
      </w:pPr>
      <w:r>
        <w:t>J.1.b) Leyes y disposiciones con fuerza de Ley</w:t>
      </w:r>
    </w:p>
    <w:p w:rsidR="00C12216" w:rsidRDefault="00C12216" w:rsidP="00C12216">
      <w:pPr>
        <w:pStyle w:val="TextoNormalNegritaCentradoSubrayado"/>
      </w:pPr>
    </w:p>
    <w:p w:rsidR="00C12216" w:rsidRDefault="00C12216" w:rsidP="00C12216">
      <w:pPr>
        <w:pStyle w:val="TextoNormalNegritaCursivandice"/>
      </w:pPr>
      <w:r>
        <w:t>Ley del Parlamento de Andalucía 18/2003, de 29 de diciembre. Medidas fiscales y administrativas</w:t>
      </w:r>
    </w:p>
    <w:p w:rsidR="00C12216" w:rsidRDefault="00C12216" w:rsidP="00C12216">
      <w:pPr>
        <w:pStyle w:val="SangriaFrancesaArticulo"/>
      </w:pPr>
      <w:r w:rsidRPr="00C12216">
        <w:rPr>
          <w:rStyle w:val="TextoNormalNegritaCaracter"/>
        </w:rPr>
        <w:t>Artículos 56 a 64.</w:t>
      </w:r>
      <w:r w:rsidRPr="00C12216">
        <w:rPr>
          <w:rStyle w:val="TextoNormalCaracter"/>
        </w:rPr>
        <w:t>-</w:t>
      </w:r>
      <w:r>
        <w:t xml:space="preserve"> Autos </w:t>
      </w:r>
      <w:hyperlink w:anchor="AUTO_2008_8" w:history="1">
        <w:r w:rsidRPr="00C12216">
          <w:rPr>
            <w:rStyle w:val="TextoNormalCaracter"/>
          </w:rPr>
          <w:t>8/2008</w:t>
        </w:r>
      </w:hyperlink>
      <w:r>
        <w:t xml:space="preserve">; </w:t>
      </w:r>
      <w:hyperlink w:anchor="AUTO_2008_51" w:history="1">
        <w:r w:rsidRPr="00C12216">
          <w:rPr>
            <w:rStyle w:val="TextoNormalCaracter"/>
          </w:rPr>
          <w:t>51/2008</w:t>
        </w:r>
      </w:hyperlink>
      <w:r>
        <w:t>.</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J.2) Baleares</w:t>
      </w:r>
    </w:p>
    <w:p w:rsidR="00C12216" w:rsidRDefault="00C12216" w:rsidP="00C12216">
      <w:pPr>
        <w:pStyle w:val="TextoNormal"/>
      </w:pPr>
    </w:p>
    <w:p w:rsidR="00C12216" w:rsidRDefault="00C12216" w:rsidP="00C12216">
      <w:pPr>
        <w:pStyle w:val="TextoNormalNegritaCentradoSubrayado"/>
        <w:suppressAutoHyphens/>
      </w:pPr>
      <w:r>
        <w:t>J.2.b) Leyes y disposiciones con fuerza de Ley</w:t>
      </w:r>
    </w:p>
    <w:p w:rsidR="00C12216" w:rsidRDefault="00C12216" w:rsidP="00C12216">
      <w:pPr>
        <w:pStyle w:val="TextoNormalNegritaCentradoSubrayado"/>
      </w:pPr>
    </w:p>
    <w:p w:rsidR="00C12216" w:rsidRDefault="00C12216" w:rsidP="00C12216">
      <w:pPr>
        <w:pStyle w:val="TextoNormalNegritaCursivandice"/>
      </w:pPr>
      <w:r>
        <w:t>Ley del Parlamento de las Illes Balears 11/2001, de 15 de junio. Ordenación de la actividad comercial</w:t>
      </w:r>
    </w:p>
    <w:p w:rsidR="00C12216" w:rsidRDefault="00C12216" w:rsidP="00C12216">
      <w:pPr>
        <w:pStyle w:val="SangriaFrancesaArticulo"/>
      </w:pPr>
      <w:r w:rsidRPr="00C12216">
        <w:rPr>
          <w:rStyle w:val="TextoNormalNegritaCaracter"/>
        </w:rPr>
        <w:t>Artículo 22.</w:t>
      </w:r>
      <w:r w:rsidRPr="00C12216">
        <w:rPr>
          <w:rStyle w:val="TextoNormalCaracter"/>
        </w:rPr>
        <w:t>-</w:t>
      </w:r>
      <w:r>
        <w:t xml:space="preserve"> Auto </w:t>
      </w:r>
      <w:hyperlink w:anchor="AUTO_2008_80" w:history="1">
        <w:r w:rsidRPr="00C12216">
          <w:rPr>
            <w:rStyle w:val="TextoNormalCaracter"/>
          </w:rPr>
          <w:t>80/2008</w:t>
        </w:r>
      </w:hyperlink>
      <w:r>
        <w:t>.</w:t>
      </w:r>
    </w:p>
    <w:p w:rsidR="00C12216" w:rsidRDefault="00C12216" w:rsidP="00C12216">
      <w:pPr>
        <w:pStyle w:val="SangriaFrancesaArticulo"/>
      </w:pPr>
    </w:p>
    <w:p w:rsidR="00C12216" w:rsidRDefault="00C12216" w:rsidP="00C12216">
      <w:pPr>
        <w:pStyle w:val="TextoNormalNegritaCursivandice"/>
      </w:pPr>
      <w:r>
        <w:t>Ley del Parlamento de las Illes Balears 25/2006, de 27 de diciembre. Medidas tributarias y administrativas</w:t>
      </w:r>
    </w:p>
    <w:p w:rsidR="00C12216" w:rsidRDefault="00C12216" w:rsidP="00C12216">
      <w:pPr>
        <w:pStyle w:val="SangriaFrancesaArticulo"/>
      </w:pPr>
      <w:r w:rsidRPr="00C12216">
        <w:rPr>
          <w:rStyle w:val="TextoNormalNegritaCaracter"/>
        </w:rPr>
        <w:t>Artículo 14.1.</w:t>
      </w:r>
      <w:r w:rsidRPr="00C12216">
        <w:rPr>
          <w:rStyle w:val="TextoNormalCaracter"/>
        </w:rPr>
        <w:t>-</w:t>
      </w:r>
      <w:r>
        <w:t xml:space="preserve"> Auto </w:t>
      </w:r>
      <w:hyperlink w:anchor="AUTO_2008_80" w:history="1">
        <w:r w:rsidRPr="00C12216">
          <w:rPr>
            <w:rStyle w:val="TextoNormalCaracter"/>
          </w:rPr>
          <w:t>80/2008</w:t>
        </w:r>
      </w:hyperlink>
      <w:r>
        <w:t>.</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J.3) Cantabria</w:t>
      </w:r>
    </w:p>
    <w:p w:rsidR="00C12216" w:rsidRDefault="00C12216" w:rsidP="00C12216">
      <w:pPr>
        <w:pStyle w:val="TextoNormal"/>
      </w:pPr>
    </w:p>
    <w:p w:rsidR="00C12216" w:rsidRDefault="00C12216" w:rsidP="00C12216">
      <w:pPr>
        <w:pStyle w:val="TextoNormalNegritaCentradoSubrayado"/>
        <w:suppressAutoHyphens/>
      </w:pPr>
      <w:r>
        <w:t>J.3.b) Leyes y disposiciones con fuerza de Ley</w:t>
      </w:r>
    </w:p>
    <w:p w:rsidR="00C12216" w:rsidRDefault="00C12216" w:rsidP="00C12216">
      <w:pPr>
        <w:pStyle w:val="TextoNormalNegritaCentradoSubrayado"/>
      </w:pPr>
    </w:p>
    <w:p w:rsidR="00C12216" w:rsidRDefault="00C12216" w:rsidP="00C12216">
      <w:pPr>
        <w:pStyle w:val="TextoNormalNegritaCursivandice"/>
      </w:pPr>
      <w:r>
        <w:t>Ley del Parlamento de Cantabria 1/2004, de 1 de abril. Integral para la prevención de la violencia contra las mujeres y la protección a sus víctimas</w:t>
      </w:r>
    </w:p>
    <w:p w:rsidR="00C12216" w:rsidRDefault="00C12216" w:rsidP="00C12216">
      <w:pPr>
        <w:pStyle w:val="SangriaFrancesaArticulo"/>
      </w:pPr>
      <w:r w:rsidRPr="00C12216">
        <w:rPr>
          <w:rStyle w:val="TextoNormalNegritaCaracter"/>
        </w:rPr>
        <w:t>Artículo 18.</w:t>
      </w:r>
      <w:r w:rsidRPr="00C12216">
        <w:rPr>
          <w:rStyle w:val="TextoNormalCaracter"/>
        </w:rPr>
        <w:t>-</w:t>
      </w:r>
      <w:r>
        <w:t xml:space="preserve"> Sentencias </w:t>
      </w:r>
      <w:hyperlink w:anchor="SENTENCIA_2008_8" w:history="1">
        <w:r w:rsidRPr="00C12216">
          <w:rPr>
            <w:rStyle w:val="TextoNormalCaracter"/>
          </w:rPr>
          <w:t>8/2008</w:t>
        </w:r>
      </w:hyperlink>
      <w:r>
        <w:t xml:space="preserve">, f. 3, VP; </w:t>
      </w:r>
      <w:hyperlink w:anchor="SENTENCIA_2008_18" w:history="1">
        <w:r w:rsidRPr="00C12216">
          <w:rPr>
            <w:rStyle w:val="TextoNormalCaracter"/>
          </w:rPr>
          <w:t>18/2008</w:t>
        </w:r>
      </w:hyperlink>
      <w:r>
        <w:t>, f. único.</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J.4) Cataluña</w:t>
      </w:r>
    </w:p>
    <w:p w:rsidR="00C12216" w:rsidRDefault="00C12216" w:rsidP="00C12216">
      <w:pPr>
        <w:pStyle w:val="TextoNormal"/>
      </w:pPr>
    </w:p>
    <w:p w:rsidR="00C12216" w:rsidRDefault="00C12216" w:rsidP="00C12216">
      <w:pPr>
        <w:pStyle w:val="TextoNormalNegritaCentradoSubrayado"/>
        <w:suppressAutoHyphens/>
      </w:pPr>
      <w:r>
        <w:t>J.4.b) Leyes y disposiciones con fuerza de Ley</w:t>
      </w:r>
    </w:p>
    <w:p w:rsidR="00C12216" w:rsidRDefault="00C12216" w:rsidP="00C12216">
      <w:pPr>
        <w:pStyle w:val="TextoNormalNegritaCentradoSubrayado"/>
      </w:pPr>
    </w:p>
    <w:p w:rsidR="00C12216" w:rsidRDefault="00C12216" w:rsidP="00C12216">
      <w:pPr>
        <w:pStyle w:val="TextoNormalNegritaCursivandice"/>
      </w:pPr>
      <w:r>
        <w:t>Ley del Parlamento de Cataluña 2/1987, de 5 de enero. Recargo sobre la tasa fiscal estatal que grava las máquinas tragaperras</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 </w:t>
      </w:r>
      <w:hyperlink w:anchor="AUTO_2008_71" w:history="1">
        <w:r w:rsidRPr="00C12216">
          <w:rPr>
            <w:rStyle w:val="TextoNormalCaracter"/>
          </w:rPr>
          <w:t>71/2008</w:t>
        </w:r>
      </w:hyperlink>
      <w:r>
        <w:t>.</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J.5) Galicia</w:t>
      </w:r>
    </w:p>
    <w:p w:rsidR="00C12216" w:rsidRDefault="00C12216" w:rsidP="00C12216">
      <w:pPr>
        <w:pStyle w:val="TextoNormal"/>
      </w:pPr>
    </w:p>
    <w:p w:rsidR="00C12216" w:rsidRDefault="00C12216" w:rsidP="00C12216">
      <w:pPr>
        <w:pStyle w:val="TextoNormalNegritaCentradoSubrayado"/>
        <w:suppressAutoHyphens/>
      </w:pPr>
      <w:r>
        <w:t>J.5.a) Estatuto de Autonomía</w:t>
      </w:r>
    </w:p>
    <w:p w:rsidR="00C12216" w:rsidRDefault="00C12216" w:rsidP="00C12216">
      <w:pPr>
        <w:pStyle w:val="TextoNormalNegritaCentradoSubrayado"/>
      </w:pPr>
    </w:p>
    <w:p w:rsidR="00C12216" w:rsidRDefault="00C12216" w:rsidP="00C12216">
      <w:pPr>
        <w:pStyle w:val="TextoNormalNegritaCursivandice"/>
      </w:pPr>
      <w:r>
        <w:t>Ley Orgánica 1/1981, de 6 de abril. Estatuto de Autonomía de Galicia</w:t>
      </w:r>
    </w:p>
    <w:p w:rsidR="00C12216" w:rsidRDefault="00C12216" w:rsidP="00C12216">
      <w:pPr>
        <w:pStyle w:val="SangriaFrancesaArticulo"/>
      </w:pPr>
      <w:r w:rsidRPr="00C12216">
        <w:rPr>
          <w:rStyle w:val="TextoNormalNegritaCaracter"/>
        </w:rPr>
        <w:t>Artículo 28.8.</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TextoNormal"/>
      </w:pPr>
    </w:p>
    <w:p w:rsidR="00C12216" w:rsidRDefault="00C12216" w:rsidP="00C12216">
      <w:pPr>
        <w:pStyle w:val="TextoNormalNegritaCentradoSubrayado"/>
        <w:suppressAutoHyphens/>
      </w:pPr>
      <w:r>
        <w:t>J.5.b) Leyes y disposiciones con fuerza de Ley</w:t>
      </w:r>
    </w:p>
    <w:p w:rsidR="00C12216" w:rsidRDefault="00C12216" w:rsidP="00C12216">
      <w:pPr>
        <w:pStyle w:val="TextoNormalNegritaCentradoSubrayado"/>
      </w:pPr>
    </w:p>
    <w:p w:rsidR="00C12216" w:rsidRDefault="00C12216" w:rsidP="00C12216">
      <w:pPr>
        <w:pStyle w:val="TextoNormalNegritaCursivandice"/>
      </w:pPr>
      <w:r>
        <w:t>Ley del Parlamento de Galicia 5/1999, de 21 de mayo. Ordenación farmacéutica</w:t>
      </w:r>
    </w:p>
    <w:p w:rsidR="00C12216" w:rsidRDefault="00C12216" w:rsidP="00C12216">
      <w:pPr>
        <w:pStyle w:val="SangriaFrancesaArticulo"/>
      </w:pPr>
      <w:r w:rsidRPr="00C12216">
        <w:rPr>
          <w:rStyle w:val="TextoNormalNegritaCaracter"/>
        </w:rPr>
        <w:t>Capítulo III.</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lastRenderedPageBreak/>
        <w:t>Exposición de motivos.</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Artículo 3.</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Artículo 8.2.</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Artículo 26.4.</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TextoNormal"/>
      </w:pPr>
    </w:p>
    <w:p w:rsidR="00C12216" w:rsidRDefault="00C12216" w:rsidP="00C12216">
      <w:pPr>
        <w:pStyle w:val="TextoNormalNegritaCentradoSubrayado"/>
        <w:suppressAutoHyphens/>
      </w:pPr>
      <w:r>
        <w:t>J.5.c) Decretos y otras disposiciones reglamentarias</w:t>
      </w:r>
    </w:p>
    <w:p w:rsidR="00C12216" w:rsidRDefault="00C12216" w:rsidP="00C12216">
      <w:pPr>
        <w:pStyle w:val="TextoNormalNegritaCentradoSubrayado"/>
      </w:pPr>
    </w:p>
    <w:p w:rsidR="00C12216" w:rsidRDefault="00C12216" w:rsidP="00C12216">
      <w:pPr>
        <w:pStyle w:val="TextoNormalNegritaCursivandice"/>
      </w:pPr>
      <w:r>
        <w:t>Orden de la Consejería de Sanidad y Servicios Sociales de la Junta de Galicia, de 20 de noviembre de 2001. Requisitos y procedimiento de autorización de los botiquines</w:t>
      </w:r>
    </w:p>
    <w:p w:rsidR="00C12216" w:rsidRDefault="00C12216" w:rsidP="00C12216">
      <w:pPr>
        <w:pStyle w:val="SangriaFrancesaArticulo"/>
      </w:pPr>
      <w:r w:rsidRPr="00C12216">
        <w:rPr>
          <w:rStyle w:val="TextoNormalNegritaCaracter"/>
        </w:rPr>
        <w:t>Artículo 5.1 b).</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SangriaFrancesaArticulo"/>
      </w:pPr>
      <w:r w:rsidRPr="00C12216">
        <w:rPr>
          <w:rStyle w:val="TextoNormalNegritaCaracter"/>
        </w:rPr>
        <w:t>Artículo 5.3.</w:t>
      </w:r>
      <w:r w:rsidRPr="00C12216">
        <w:rPr>
          <w:rStyle w:val="TextoNormalCaracter"/>
        </w:rPr>
        <w:t>-</w:t>
      </w:r>
      <w:r>
        <w:t xml:space="preserve"> Auto </w:t>
      </w:r>
      <w:hyperlink w:anchor="AUTO_2008_11" w:history="1">
        <w:r w:rsidRPr="00C12216">
          <w:rPr>
            <w:rStyle w:val="TextoNormalCaracter"/>
          </w:rPr>
          <w:t>11/2008</w:t>
        </w:r>
      </w:hyperlink>
      <w:r>
        <w:t>.</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J.6) Madrid</w:t>
      </w:r>
    </w:p>
    <w:p w:rsidR="00C12216" w:rsidRDefault="00C12216" w:rsidP="00C12216">
      <w:pPr>
        <w:pStyle w:val="TextoNormal"/>
      </w:pPr>
    </w:p>
    <w:p w:rsidR="00C12216" w:rsidRDefault="00C12216" w:rsidP="00C12216">
      <w:pPr>
        <w:pStyle w:val="TextoNormalNegritaCentradoSubrayado"/>
        <w:suppressAutoHyphens/>
      </w:pPr>
      <w:r>
        <w:t>J.6.b) Leyes y disposiciones con fuerza de Ley</w:t>
      </w:r>
    </w:p>
    <w:p w:rsidR="00C12216" w:rsidRDefault="00C12216" w:rsidP="00C12216">
      <w:pPr>
        <w:pStyle w:val="TextoNormalNegritaCentradoSubrayado"/>
      </w:pPr>
    </w:p>
    <w:p w:rsidR="00C12216" w:rsidRDefault="00C12216" w:rsidP="00C12216">
      <w:pPr>
        <w:pStyle w:val="TextoNormalNegritaCursivandice"/>
      </w:pPr>
      <w:r>
        <w:t>Ley de la Asamblea de Madrid 16/1995, de 4 de mayo. Forestal y de Protección de la Naturaleza de la Comunidad de Madrid</w:t>
      </w:r>
    </w:p>
    <w:p w:rsidR="00C12216" w:rsidRDefault="00C12216" w:rsidP="00C12216">
      <w:pPr>
        <w:pStyle w:val="SangriaFrancesaArticulo"/>
      </w:pPr>
      <w:r w:rsidRPr="00C12216">
        <w:rPr>
          <w:rStyle w:val="TextoNormalNegritaCaracter"/>
        </w:rPr>
        <w:t>Artículo 100.</w:t>
      </w:r>
      <w:r w:rsidRPr="00C12216">
        <w:rPr>
          <w:rStyle w:val="TextoNormalCaracter"/>
        </w:rPr>
        <w:t>-</w:t>
      </w:r>
      <w:r>
        <w:t xml:space="preserve"> Auto </w:t>
      </w:r>
      <w:hyperlink w:anchor="AUTO_2008_88" w:history="1">
        <w:r w:rsidRPr="00C12216">
          <w:rPr>
            <w:rStyle w:val="TextoNormalCaracter"/>
          </w:rPr>
          <w:t>88/2008</w:t>
        </w:r>
      </w:hyperlink>
      <w:r>
        <w:t>.</w:t>
      </w:r>
    </w:p>
    <w:p w:rsidR="00C12216" w:rsidRDefault="00C12216" w:rsidP="00C12216">
      <w:pPr>
        <w:pStyle w:val="SangriaFrancesaArticulo"/>
      </w:pPr>
      <w:r w:rsidRPr="00C12216">
        <w:rPr>
          <w:rStyle w:val="TextoNormalNegritaCaracter"/>
        </w:rPr>
        <w:t>Artículo 100.3 párrafo 1</w:t>
      </w:r>
      <w:r>
        <w:t xml:space="preserve"> </w:t>
      </w:r>
      <w:r w:rsidRPr="00C12216">
        <w:rPr>
          <w:rStyle w:val="TextoNormalCaracter"/>
        </w:rPr>
        <w:t>(redactado por la Ley de la Asamblea de Madrid 3/2007, de 26 de julio)</w:t>
      </w:r>
      <w:r w:rsidRPr="00C12216">
        <w:rPr>
          <w:rStyle w:val="TextoNormalNegritaCaracter"/>
        </w:rPr>
        <w:t>.</w:t>
      </w:r>
      <w:r w:rsidRPr="00C12216">
        <w:rPr>
          <w:rStyle w:val="TextoNormalCaracter"/>
        </w:rPr>
        <w:t>-</w:t>
      </w:r>
      <w:r>
        <w:t xml:space="preserve"> Auto </w:t>
      </w:r>
      <w:hyperlink w:anchor="AUTO_2008_88" w:history="1">
        <w:r w:rsidRPr="00C12216">
          <w:rPr>
            <w:rStyle w:val="TextoNormalCaracter"/>
          </w:rPr>
          <w:t>88/2008</w:t>
        </w:r>
      </w:hyperlink>
      <w:r>
        <w:t>.</w:t>
      </w:r>
    </w:p>
    <w:p w:rsidR="00C12216" w:rsidRDefault="00C12216" w:rsidP="00C12216">
      <w:pPr>
        <w:pStyle w:val="SangriaFrancesaArticulo"/>
      </w:pPr>
    </w:p>
    <w:p w:rsidR="00C12216" w:rsidRDefault="00C12216" w:rsidP="00C12216">
      <w:pPr>
        <w:pStyle w:val="TextoNormalNegritaCursivandice"/>
      </w:pPr>
      <w:r>
        <w:t>Ley de la Asamblea de Madrid 20/1998, de 27 de noviembre. Ordenación y coordinación de los transportes urbanos</w:t>
      </w:r>
    </w:p>
    <w:p w:rsidR="00C12216" w:rsidRDefault="00C12216" w:rsidP="00C12216">
      <w:pPr>
        <w:pStyle w:val="SangriaFrancesaArticulo"/>
      </w:pPr>
      <w:r w:rsidRPr="00C12216">
        <w:rPr>
          <w:rStyle w:val="TextoNormalNegritaCaracter"/>
        </w:rPr>
        <w:t>Artículo 16.3.</w:t>
      </w:r>
      <w:r w:rsidRPr="00C12216">
        <w:rPr>
          <w:rStyle w:val="TextoNormalCaracter"/>
        </w:rPr>
        <w:t>-</w:t>
      </w:r>
      <w:r>
        <w:t xml:space="preserve"> Auto </w:t>
      </w:r>
      <w:hyperlink w:anchor="AUTO_2008_24" w:history="1">
        <w:r w:rsidRPr="00C12216">
          <w:rPr>
            <w:rStyle w:val="TextoNormalCaracter"/>
          </w:rPr>
          <w:t>24/2008</w:t>
        </w:r>
      </w:hyperlink>
      <w:r>
        <w:t>.</w:t>
      </w:r>
    </w:p>
    <w:p w:rsidR="00C12216" w:rsidRDefault="00C12216" w:rsidP="00C12216">
      <w:pPr>
        <w:pStyle w:val="SangriaFrancesaArticulo"/>
      </w:pPr>
    </w:p>
    <w:p w:rsidR="00C12216" w:rsidRDefault="00C12216" w:rsidP="00C12216">
      <w:pPr>
        <w:pStyle w:val="TextoNormalNegritaCursivandice"/>
      </w:pPr>
      <w:r>
        <w:t>Ley de la Asamblea de Madrid 1/2002, de 27 de marzo. Cuerpo de agentes forestales de la Comunidad de Madrid</w:t>
      </w:r>
    </w:p>
    <w:p w:rsidR="00C12216" w:rsidRDefault="00C12216" w:rsidP="00C12216">
      <w:pPr>
        <w:pStyle w:val="SangriaFrancesaArticulo"/>
      </w:pPr>
      <w:r w:rsidRPr="00C12216">
        <w:rPr>
          <w:rStyle w:val="TextoNormalNegritaCaracter"/>
        </w:rPr>
        <w:t>Artículo 5.</w:t>
      </w:r>
      <w:r w:rsidRPr="00C12216">
        <w:rPr>
          <w:rStyle w:val="TextoNormalCaracter"/>
        </w:rPr>
        <w:t>-</w:t>
      </w:r>
      <w:r>
        <w:t xml:space="preserve"> Auto </w:t>
      </w:r>
      <w:hyperlink w:anchor="AUTO_2008_88" w:history="1">
        <w:r w:rsidRPr="00C12216">
          <w:rPr>
            <w:rStyle w:val="TextoNormalCaracter"/>
          </w:rPr>
          <w:t>88/2008</w:t>
        </w:r>
      </w:hyperlink>
      <w:r>
        <w:t>.</w:t>
      </w:r>
    </w:p>
    <w:p w:rsidR="00C12216" w:rsidRDefault="00C12216" w:rsidP="00C12216">
      <w:pPr>
        <w:pStyle w:val="SangriaFrancesaArticulo"/>
      </w:pPr>
    </w:p>
    <w:p w:rsidR="00C12216" w:rsidRDefault="00C12216" w:rsidP="00C12216">
      <w:pPr>
        <w:pStyle w:val="TextoNormalNegritaCursivandice"/>
      </w:pPr>
      <w:r>
        <w:t>Ley de la Asamblea de Madrid 3/2007, de 26 de julio. Medidas urgentes de modernización del Gobierno y la Administración de la Comunidad de Madrid</w:t>
      </w:r>
    </w:p>
    <w:p w:rsidR="00C12216" w:rsidRDefault="00C12216" w:rsidP="00C12216">
      <w:pPr>
        <w:pStyle w:val="SangriaFrancesaArticulo"/>
      </w:pPr>
      <w:r w:rsidRPr="00C12216">
        <w:rPr>
          <w:rStyle w:val="TextoNormalNegritaCaracter"/>
        </w:rPr>
        <w:t>Artículo 9.</w:t>
      </w:r>
      <w:r w:rsidRPr="00C12216">
        <w:rPr>
          <w:rStyle w:val="TextoNormalCaracter"/>
        </w:rPr>
        <w:t>-</w:t>
      </w:r>
      <w:r>
        <w:t xml:space="preserve"> Auto </w:t>
      </w:r>
      <w:hyperlink w:anchor="AUTO_2008_88" w:history="1">
        <w:r w:rsidRPr="00C12216">
          <w:rPr>
            <w:rStyle w:val="TextoNormalCaracter"/>
          </w:rPr>
          <w:t>88/2008</w:t>
        </w:r>
      </w:hyperlink>
      <w:r>
        <w:t>.</w:t>
      </w:r>
    </w:p>
    <w:p w:rsidR="00C12216" w:rsidRDefault="00C12216" w:rsidP="00C12216">
      <w:pPr>
        <w:pStyle w:val="TextoNormal"/>
      </w:pPr>
    </w:p>
    <w:p w:rsidR="00C12216" w:rsidRDefault="00C12216" w:rsidP="00C12216">
      <w:pPr>
        <w:pStyle w:val="TextoNormalNegritaCentradoSubrayado"/>
        <w:suppressAutoHyphens/>
      </w:pPr>
      <w:r>
        <w:t>J.6.d) Normas parlamentarias autonómicas</w:t>
      </w:r>
    </w:p>
    <w:p w:rsidR="00C12216" w:rsidRDefault="00C12216" w:rsidP="00C12216">
      <w:pPr>
        <w:pStyle w:val="TextoNormalNegritaCentradoSubrayado"/>
      </w:pPr>
    </w:p>
    <w:p w:rsidR="00C12216" w:rsidRDefault="00C12216" w:rsidP="00C12216">
      <w:pPr>
        <w:pStyle w:val="TextoNormalNegritaCursivandice"/>
      </w:pPr>
      <w:r>
        <w:t>Reglamento de la Asamblea de Madrid, de 18 de febrero de 1984</w:t>
      </w:r>
    </w:p>
    <w:p w:rsidR="00C12216" w:rsidRDefault="00C12216" w:rsidP="00C12216">
      <w:pPr>
        <w:pStyle w:val="SangriaFrancesaArticulo"/>
      </w:pPr>
      <w:r w:rsidRPr="00C12216">
        <w:rPr>
          <w:rStyle w:val="TextoNormalNegritaCaracter"/>
        </w:rPr>
        <w:t>Artículo 40.1.</w:t>
      </w:r>
      <w:r w:rsidRPr="00C12216">
        <w:rPr>
          <w:rStyle w:val="TextoNormalCaracter"/>
        </w:rPr>
        <w:t>-</w:t>
      </w:r>
      <w:r>
        <w:t xml:space="preserve"> Sentencia </w:t>
      </w:r>
      <w:hyperlink w:anchor="SENTENCIA_2008_39" w:history="1">
        <w:r w:rsidRPr="00C12216">
          <w:rPr>
            <w:rStyle w:val="TextoNormalCaracter"/>
          </w:rPr>
          <w:t>39/2008</w:t>
        </w:r>
      </w:hyperlink>
      <w:r>
        <w:t>, f. 6.</w:t>
      </w:r>
    </w:p>
    <w:p w:rsidR="00C12216" w:rsidRDefault="00C12216" w:rsidP="00C12216">
      <w:pPr>
        <w:pStyle w:val="SangriaFrancesaArticulo"/>
      </w:pPr>
      <w:r w:rsidRPr="00C12216">
        <w:rPr>
          <w:rStyle w:val="TextoNormalNegritaCaracter"/>
        </w:rPr>
        <w:t>Artículo 43.2.</w:t>
      </w:r>
      <w:r w:rsidRPr="00C12216">
        <w:rPr>
          <w:rStyle w:val="TextoNormalCaracter"/>
        </w:rPr>
        <w:t>-</w:t>
      </w:r>
      <w:r>
        <w:t xml:space="preserve"> Sentencia </w:t>
      </w:r>
      <w:hyperlink w:anchor="SENTENCIA_2008_39" w:history="1">
        <w:r w:rsidRPr="00C12216">
          <w:rPr>
            <w:rStyle w:val="TextoNormalCaracter"/>
          </w:rPr>
          <w:t>39/2008</w:t>
        </w:r>
      </w:hyperlink>
      <w:r>
        <w:t>, f. 6.</w:t>
      </w:r>
    </w:p>
    <w:p w:rsidR="00C12216" w:rsidRDefault="00C12216" w:rsidP="00C12216">
      <w:pPr>
        <w:pStyle w:val="SangriaFrancesaArticulo"/>
      </w:pPr>
      <w:r w:rsidRPr="00C12216">
        <w:rPr>
          <w:rStyle w:val="TextoNormalNegritaCaracter"/>
        </w:rPr>
        <w:t>Artículo 45.</w:t>
      </w:r>
      <w:r w:rsidRPr="00C12216">
        <w:rPr>
          <w:rStyle w:val="TextoNormalCaracter"/>
        </w:rPr>
        <w:t>-</w:t>
      </w:r>
      <w:r>
        <w:t xml:space="preserve"> Sentencia </w:t>
      </w:r>
      <w:hyperlink w:anchor="SENTENCIA_2008_39" w:history="1">
        <w:r w:rsidRPr="00C12216">
          <w:rPr>
            <w:rStyle w:val="TextoNormalCaracter"/>
          </w:rPr>
          <w:t>39/2008</w:t>
        </w:r>
      </w:hyperlink>
      <w:r>
        <w:t>, f. 6.</w:t>
      </w:r>
    </w:p>
    <w:p w:rsidR="00C12216" w:rsidRDefault="00C12216" w:rsidP="00C12216">
      <w:pPr>
        <w:pStyle w:val="SangriaFrancesaArticulo"/>
      </w:pPr>
      <w:r w:rsidRPr="00C12216">
        <w:rPr>
          <w:rStyle w:val="TextoNormalNegritaCaracter"/>
        </w:rPr>
        <w:t>Artículo 63.2.</w:t>
      </w:r>
      <w:r w:rsidRPr="00C12216">
        <w:rPr>
          <w:rStyle w:val="TextoNormalCaracter"/>
        </w:rPr>
        <w:t>-</w:t>
      </w:r>
      <w:r>
        <w:t xml:space="preserve"> Sentencia </w:t>
      </w:r>
      <w:hyperlink w:anchor="SENTENCIA_2008_39" w:history="1">
        <w:r w:rsidRPr="00C12216">
          <w:rPr>
            <w:rStyle w:val="TextoNormalCaracter"/>
          </w:rPr>
          <w:t>39/2008</w:t>
        </w:r>
      </w:hyperlink>
      <w:r>
        <w:t>, ff. 6, 7.</w:t>
      </w:r>
    </w:p>
    <w:p w:rsidR="00C12216" w:rsidRDefault="00C12216" w:rsidP="00C12216">
      <w:pPr>
        <w:pStyle w:val="SangriaFrancesaArticulo"/>
      </w:pPr>
      <w:r w:rsidRPr="00C12216">
        <w:rPr>
          <w:rStyle w:val="TextoNormalNegritaCaracter"/>
        </w:rPr>
        <w:t>Artículo 64.1.</w:t>
      </w:r>
      <w:r w:rsidRPr="00C12216">
        <w:rPr>
          <w:rStyle w:val="TextoNormalCaracter"/>
        </w:rPr>
        <w:t>-</w:t>
      </w:r>
      <w:r>
        <w:t xml:space="preserve"> Sentencia </w:t>
      </w:r>
      <w:hyperlink w:anchor="SENTENCIA_2008_39" w:history="1">
        <w:r w:rsidRPr="00C12216">
          <w:rPr>
            <w:rStyle w:val="TextoNormalCaracter"/>
          </w:rPr>
          <w:t>39/2008</w:t>
        </w:r>
      </w:hyperlink>
      <w:r>
        <w:t>, f. 3.</w:t>
      </w:r>
    </w:p>
    <w:p w:rsidR="00C12216" w:rsidRDefault="00C12216" w:rsidP="00C12216">
      <w:pPr>
        <w:pStyle w:val="SangriaFrancesaArticulo"/>
      </w:pPr>
      <w:r w:rsidRPr="00C12216">
        <w:rPr>
          <w:rStyle w:val="TextoNormalNegritaCaracter"/>
        </w:rPr>
        <w:t>Artículo 75.</w:t>
      </w:r>
      <w:r w:rsidRPr="00C12216">
        <w:rPr>
          <w:rStyle w:val="TextoNormalCaracter"/>
        </w:rPr>
        <w:t>-</w:t>
      </w:r>
      <w:r>
        <w:t xml:space="preserve"> Sentencia </w:t>
      </w:r>
      <w:hyperlink w:anchor="SENTENCIA_2008_39" w:history="1">
        <w:r w:rsidRPr="00C12216">
          <w:rPr>
            <w:rStyle w:val="TextoNormalCaracter"/>
          </w:rPr>
          <w:t>39/2008</w:t>
        </w:r>
      </w:hyperlink>
      <w:r>
        <w:t>, ff. 3, 7.</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J.7) País Vasco</w:t>
      </w:r>
    </w:p>
    <w:p w:rsidR="00C12216" w:rsidRDefault="00C12216" w:rsidP="00C12216">
      <w:pPr>
        <w:pStyle w:val="TextoNormal"/>
      </w:pPr>
    </w:p>
    <w:p w:rsidR="00C12216" w:rsidRDefault="00C12216" w:rsidP="00C12216">
      <w:pPr>
        <w:pStyle w:val="TextoNormalNegritaCentradoSubrayado"/>
        <w:suppressAutoHyphens/>
      </w:pPr>
      <w:r>
        <w:t>J.7.b) Leyes y disposiciones con fuerza de Ley</w:t>
      </w:r>
    </w:p>
    <w:p w:rsidR="00C12216" w:rsidRDefault="00C12216" w:rsidP="00C12216">
      <w:pPr>
        <w:pStyle w:val="TextoNormalNegritaCentradoSubrayado"/>
      </w:pPr>
    </w:p>
    <w:p w:rsidR="00C12216" w:rsidRDefault="00C12216" w:rsidP="00C12216">
      <w:pPr>
        <w:pStyle w:val="TextoNormalNegritaCursivandice"/>
      </w:pPr>
      <w:r>
        <w:t>Ley del Parlamento Vasco 9/1989, de 17 de noviembre. Valoración del suelo</w:t>
      </w:r>
    </w:p>
    <w:p w:rsidR="00C12216" w:rsidRDefault="00C12216" w:rsidP="00C12216">
      <w:pPr>
        <w:pStyle w:val="SangriaFrancesaArticulo"/>
      </w:pPr>
      <w:r w:rsidRPr="00C12216">
        <w:rPr>
          <w:rStyle w:val="TextoNormalNegritaCaracter"/>
        </w:rPr>
        <w:t>Artículo 19 a).</w:t>
      </w:r>
      <w:r w:rsidRPr="00C12216">
        <w:rPr>
          <w:rStyle w:val="TextoNormalCaracter"/>
        </w:rPr>
        <w:t>-</w:t>
      </w:r>
      <w:r>
        <w:t xml:space="preserve"> Auto </w:t>
      </w:r>
      <w:hyperlink w:anchor="AUTO_2008_82" w:history="1">
        <w:r w:rsidRPr="00C12216">
          <w:rPr>
            <w:rStyle w:val="TextoNormalCaracter"/>
          </w:rPr>
          <w:t>82/2008</w:t>
        </w:r>
      </w:hyperlink>
      <w:r>
        <w:t>.</w:t>
      </w:r>
    </w:p>
    <w:p w:rsidR="00C12216" w:rsidRDefault="00C12216" w:rsidP="00C12216">
      <w:pPr>
        <w:pStyle w:val="TextoNormal"/>
      </w:pPr>
    </w:p>
    <w:p w:rsidR="00C12216" w:rsidRDefault="00C12216" w:rsidP="00C12216">
      <w:pPr>
        <w:pStyle w:val="TextoNormalNegritaCentradoSubrayado"/>
        <w:suppressAutoHyphens/>
      </w:pPr>
      <w:r>
        <w:t>J.7.d) Normas parlamentarias autonómicas</w:t>
      </w:r>
    </w:p>
    <w:p w:rsidR="00C12216" w:rsidRDefault="00C12216" w:rsidP="00C12216">
      <w:pPr>
        <w:pStyle w:val="TextoNormalNegritaCentradoSubrayado"/>
      </w:pPr>
    </w:p>
    <w:p w:rsidR="00C12216" w:rsidRDefault="00C12216" w:rsidP="00C12216">
      <w:pPr>
        <w:pStyle w:val="TextoNormalNegritaCursivandice"/>
      </w:pPr>
      <w:r>
        <w:t>Reglamento del Parlamento Vasco, de 11 de febrero de 1983</w:t>
      </w:r>
    </w:p>
    <w:p w:rsidR="00C12216" w:rsidRDefault="00C12216" w:rsidP="00C12216">
      <w:pPr>
        <w:pStyle w:val="SangriaFrancesaArticulo"/>
      </w:pPr>
      <w:r w:rsidRPr="00C12216">
        <w:rPr>
          <w:rStyle w:val="TextoNormalNegritaCaracter"/>
        </w:rPr>
        <w:t>Artículo 22.1.</w:t>
      </w:r>
      <w:r w:rsidRPr="00C12216">
        <w:rPr>
          <w:rStyle w:val="TextoNormalCaracter"/>
        </w:rPr>
        <w:t>-</w:t>
      </w:r>
      <w:r>
        <w:t xml:space="preserve"> Sentencia </w:t>
      </w:r>
      <w:hyperlink w:anchor="SENTENCIA_2008_50" w:history="1">
        <w:r w:rsidRPr="00C12216">
          <w:rPr>
            <w:rStyle w:val="TextoNormalCaracter"/>
          </w:rPr>
          <w:t>50/2008</w:t>
        </w:r>
      </w:hyperlink>
      <w:r>
        <w:t>, f. 2.</w:t>
      </w:r>
    </w:p>
    <w:p w:rsidR="00C12216" w:rsidRDefault="00C12216" w:rsidP="00C12216">
      <w:pPr>
        <w:pStyle w:val="SangriaFrancesaArticulo"/>
      </w:pPr>
      <w:r w:rsidRPr="00C12216">
        <w:rPr>
          <w:rStyle w:val="TextoNormalNegritaCaracter"/>
        </w:rPr>
        <w:t>Artículo 24.1.</w:t>
      </w:r>
      <w:r w:rsidRPr="00C12216">
        <w:rPr>
          <w:rStyle w:val="TextoNormalCaracter"/>
        </w:rPr>
        <w:t>-</w:t>
      </w:r>
      <w:r>
        <w:t xml:space="preserve"> Sentencia </w:t>
      </w:r>
      <w:hyperlink w:anchor="SENTENCIA_2008_50" w:history="1">
        <w:r w:rsidRPr="00C12216">
          <w:rPr>
            <w:rStyle w:val="TextoNormalCaracter"/>
          </w:rPr>
          <w:t>50/2008</w:t>
        </w:r>
      </w:hyperlink>
      <w:r>
        <w:t>, f. 2.</w:t>
      </w:r>
    </w:p>
    <w:p w:rsidR="00C12216" w:rsidRDefault="00C12216" w:rsidP="00C12216">
      <w:pPr>
        <w:pStyle w:val="TextoNormal"/>
      </w:pPr>
    </w:p>
    <w:p w:rsidR="00C12216" w:rsidRDefault="00C12216" w:rsidP="00C12216">
      <w:pPr>
        <w:pStyle w:val="TextoNormalNegritaCentrado"/>
        <w:suppressAutoHyphens/>
      </w:pPr>
      <w:r w:rsidRPr="00C12216">
        <w:rPr>
          <w:rStyle w:val="TextoNormalNegritaCentradoSombreado"/>
        </w:rPr>
        <w:t>J.8) Valencia</w:t>
      </w:r>
    </w:p>
    <w:p w:rsidR="00C12216" w:rsidRDefault="00C12216" w:rsidP="00C12216">
      <w:pPr>
        <w:pStyle w:val="TextoNormal"/>
      </w:pPr>
    </w:p>
    <w:p w:rsidR="00C12216" w:rsidRDefault="00C12216" w:rsidP="00C12216">
      <w:pPr>
        <w:pStyle w:val="TextoNormalNegritaCentradoSubrayado"/>
        <w:suppressAutoHyphens/>
      </w:pPr>
      <w:r>
        <w:t>J.8.b) Leyes y disposiciones con fuerza de Ley</w:t>
      </w:r>
    </w:p>
    <w:p w:rsidR="00C12216" w:rsidRDefault="00C12216" w:rsidP="00C12216">
      <w:pPr>
        <w:pStyle w:val="TextoNormalNegritaCentradoSubrayado"/>
      </w:pPr>
    </w:p>
    <w:p w:rsidR="00C12216" w:rsidRDefault="00C12216" w:rsidP="00C12216">
      <w:pPr>
        <w:pStyle w:val="TextoNormalNegritaCursivandice"/>
      </w:pPr>
      <w:r>
        <w:t>Ley de las Cortes Valencianas 8/1999, de 3 de diciembre. Supresión del área metropolitana de l´Horta</w:t>
      </w:r>
    </w:p>
    <w:p w:rsidR="00C12216" w:rsidRDefault="00C12216" w:rsidP="00C12216">
      <w:pPr>
        <w:pStyle w:val="SangriaFrancesaArticulo"/>
      </w:pPr>
      <w:r w:rsidRPr="00C12216">
        <w:rPr>
          <w:rStyle w:val="TextoNormalNegritaCaracter"/>
        </w:rPr>
        <w:t>Artículo 2.</w:t>
      </w:r>
      <w:r w:rsidRPr="00C12216">
        <w:rPr>
          <w:rStyle w:val="TextoNormalCaracter"/>
        </w:rPr>
        <w:t>-</w:t>
      </w:r>
      <w:r>
        <w:t xml:space="preserve"> Sentencia </w:t>
      </w:r>
      <w:hyperlink w:anchor="SENTENCIA_2008_47" w:history="1">
        <w:r w:rsidRPr="00C12216">
          <w:rPr>
            <w:rStyle w:val="TextoNormalCaracter"/>
          </w:rPr>
          <w:t>47/2008</w:t>
        </w:r>
      </w:hyperlink>
      <w:r>
        <w:t>, ff. 1, 2, VP.</w:t>
      </w:r>
    </w:p>
    <w:p w:rsidR="00C12216" w:rsidRDefault="00C12216" w:rsidP="00C12216">
      <w:pPr>
        <w:pStyle w:val="SangriaFrancesaArticulo"/>
      </w:pPr>
      <w:r w:rsidRPr="00C12216">
        <w:rPr>
          <w:rStyle w:val="TextoNormalNegritaCaracter"/>
        </w:rPr>
        <w:t>Disposición transitoria.</w:t>
      </w:r>
      <w:r w:rsidRPr="00C12216">
        <w:rPr>
          <w:rStyle w:val="TextoNormalCaracter"/>
        </w:rPr>
        <w:t>-</w:t>
      </w:r>
      <w:r>
        <w:t xml:space="preserve"> Sentencia </w:t>
      </w:r>
      <w:hyperlink w:anchor="SENTENCIA_2008_47" w:history="1">
        <w:r w:rsidRPr="00C12216">
          <w:rPr>
            <w:rStyle w:val="TextoNormalCaracter"/>
          </w:rPr>
          <w:t>47/2008</w:t>
        </w:r>
      </w:hyperlink>
      <w:r>
        <w:t>, ff. 1, 2, VP.</w:t>
      </w:r>
    </w:p>
    <w:p w:rsidR="00C12216" w:rsidRDefault="00C12216" w:rsidP="00C12216">
      <w:pPr>
        <w:pStyle w:val="SangriaFrancesaArticulo"/>
      </w:pPr>
    </w:p>
    <w:p w:rsidR="00C12216" w:rsidRDefault="00C12216" w:rsidP="00C12216">
      <w:pPr>
        <w:pStyle w:val="TextoNormalNegritaCursivandice"/>
      </w:pPr>
      <w:r>
        <w:t>Ley de las Cortes Valencianas 2/2001, de 11 de mayo. Creación y gestión de áreas metropolitanas de la Comunidad valenciana</w:t>
      </w:r>
    </w:p>
    <w:p w:rsidR="00C12216" w:rsidRDefault="00C12216" w:rsidP="00C12216">
      <w:pPr>
        <w:pStyle w:val="SangriaFrancesaArticulo"/>
      </w:pPr>
      <w:r w:rsidRPr="00C12216">
        <w:rPr>
          <w:rStyle w:val="TextoNormalNegritaCaracter"/>
        </w:rPr>
        <w:t>Disposiciones adicionales primera y segunda.</w:t>
      </w:r>
      <w:r w:rsidRPr="00C12216">
        <w:rPr>
          <w:rStyle w:val="TextoNormalCaracter"/>
        </w:rPr>
        <w:t>-</w:t>
      </w:r>
      <w:r>
        <w:t xml:space="preserve"> Sentencia </w:t>
      </w:r>
      <w:hyperlink w:anchor="SENTENCIA_2008_47" w:history="1">
        <w:r w:rsidRPr="00C12216">
          <w:rPr>
            <w:rStyle w:val="TextoNormalCaracter"/>
          </w:rPr>
          <w:t>47/2008</w:t>
        </w:r>
      </w:hyperlink>
      <w:r>
        <w:t>, f. 2.</w:t>
      </w:r>
    </w:p>
    <w:p w:rsidR="00C12216" w:rsidRDefault="00C12216" w:rsidP="00C12216">
      <w:pPr>
        <w:pStyle w:val="SangriaFrancesaArticulo"/>
      </w:pPr>
      <w:r w:rsidRPr="00C12216">
        <w:rPr>
          <w:rStyle w:val="TextoNormalNegritaCaracter"/>
        </w:rPr>
        <w:t>Disposición adicional tercera.</w:t>
      </w:r>
      <w:r w:rsidRPr="00C12216">
        <w:rPr>
          <w:rStyle w:val="TextoNormalCaracter"/>
        </w:rPr>
        <w:t>-</w:t>
      </w:r>
      <w:r>
        <w:t xml:space="preserve"> Sentencia </w:t>
      </w:r>
      <w:hyperlink w:anchor="SENTENCIA_2008_47" w:history="1">
        <w:r w:rsidRPr="00C12216">
          <w:rPr>
            <w:rStyle w:val="TextoNormalCaracter"/>
          </w:rPr>
          <w:t>47/2008</w:t>
        </w:r>
      </w:hyperlink>
      <w:r>
        <w:t>, f. 2, VP.</w:t>
      </w:r>
    </w:p>
    <w:p w:rsidR="00C12216" w:rsidRDefault="00C12216" w:rsidP="00C12216">
      <w:pPr>
        <w:pStyle w:val="SangriaFrancesaArticulo"/>
      </w:pPr>
      <w:r w:rsidRPr="00C12216">
        <w:rPr>
          <w:rStyle w:val="TextoNormalNegritaCaracter"/>
        </w:rPr>
        <w:t>Disposición derogatoria.</w:t>
      </w:r>
      <w:r w:rsidRPr="00C12216">
        <w:rPr>
          <w:rStyle w:val="TextoNormalCaracter"/>
        </w:rPr>
        <w:t>-</w:t>
      </w:r>
      <w:r>
        <w:t xml:space="preserve"> Sentencia </w:t>
      </w:r>
      <w:hyperlink w:anchor="SENTENCIA_2008_47" w:history="1">
        <w:r w:rsidRPr="00C12216">
          <w:rPr>
            <w:rStyle w:val="TextoNormalCaracter"/>
          </w:rPr>
          <w:t>47/2008</w:t>
        </w:r>
      </w:hyperlink>
      <w:r>
        <w:t>, f. 2.</w:t>
      </w:r>
    </w:p>
    <w:p w:rsidR="00C12216" w:rsidRDefault="00C12216" w:rsidP="00C12216">
      <w:pPr>
        <w:pStyle w:val="TextoNormal"/>
      </w:pPr>
    </w:p>
    <w:p w:rsidR="00C12216" w:rsidRDefault="00C12216" w:rsidP="00C12216">
      <w:pPr>
        <w:pStyle w:val="TextoNormalNegritaCentradoSubrayado"/>
        <w:suppressAutoHyphens/>
      </w:pPr>
      <w:r>
        <w:t>J.8.c) Decretos y otras disposiciones reglamentarias</w:t>
      </w:r>
    </w:p>
    <w:p w:rsidR="00C12216" w:rsidRDefault="00C12216" w:rsidP="00C12216">
      <w:pPr>
        <w:pStyle w:val="TextoNormalNegritaCentradoSubrayado"/>
      </w:pPr>
    </w:p>
    <w:p w:rsidR="00C12216" w:rsidRDefault="00C12216" w:rsidP="00C12216">
      <w:pPr>
        <w:pStyle w:val="TextoNormalNegritaCursivandice"/>
      </w:pPr>
      <w:r>
        <w:t>Decreto de la Generalidad Valenciana 29/2001, de 30 de enero. Asistencia jurídica gratuita</w:t>
      </w:r>
    </w:p>
    <w:p w:rsidR="00C12216" w:rsidRDefault="00C12216" w:rsidP="00C12216">
      <w:pPr>
        <w:pStyle w:val="SangriaFrancesaArticulo"/>
      </w:pPr>
      <w:r w:rsidRPr="00C12216">
        <w:rPr>
          <w:rStyle w:val="TextoNormalNegritaCaracter"/>
        </w:rPr>
        <w:t>Artículo 12.</w:t>
      </w:r>
      <w:r w:rsidRPr="00C12216">
        <w:rPr>
          <w:rStyle w:val="TextoNormalCaracter"/>
        </w:rPr>
        <w:t>-</w:t>
      </w:r>
      <w:r>
        <w:t xml:space="preserve"> Sentencia </w:t>
      </w:r>
      <w:hyperlink w:anchor="SENTENCIA_2008_10" w:history="1">
        <w:r w:rsidRPr="00C12216">
          <w:rPr>
            <w:rStyle w:val="TextoNormalCaracter"/>
          </w:rPr>
          <w:t>10/2008</w:t>
        </w:r>
      </w:hyperlink>
      <w:r>
        <w:t>, f. 3.</w:t>
      </w:r>
    </w:p>
    <w:p w:rsidR="00C12216" w:rsidRDefault="00C12216" w:rsidP="00C12216">
      <w:pPr>
        <w:pStyle w:val="TextoNormal"/>
      </w:pPr>
    </w:p>
    <w:p w:rsidR="00C12216" w:rsidRDefault="00C12216" w:rsidP="00C12216">
      <w:pPr>
        <w:pStyle w:val="TextoNormalNegritaCentradoSubrayado"/>
        <w:suppressAutoHyphens/>
      </w:pPr>
      <w:r>
        <w:t>J.8.d) Normas parlamentarias autonómicas</w:t>
      </w:r>
    </w:p>
    <w:p w:rsidR="00C12216" w:rsidRDefault="00C12216" w:rsidP="00C12216">
      <w:pPr>
        <w:pStyle w:val="TextoNormalNegritaCentradoSubrayado"/>
      </w:pPr>
    </w:p>
    <w:p w:rsidR="00C12216" w:rsidRDefault="00C12216" w:rsidP="00C12216">
      <w:pPr>
        <w:pStyle w:val="TextoNormalNegritaCursivandice"/>
      </w:pPr>
      <w:r>
        <w:t>Reglamento de las Cortes Valencianas. Texto refundido de 31 de mayo de 1989</w:t>
      </w:r>
    </w:p>
    <w:p w:rsidR="00C12216" w:rsidRDefault="00C12216" w:rsidP="00C12216">
      <w:pPr>
        <w:pStyle w:val="SangriaFrancesaArticulo"/>
      </w:pPr>
      <w:r w:rsidRPr="00C12216">
        <w:rPr>
          <w:rStyle w:val="TextoNormalNegritaCaracter"/>
        </w:rPr>
        <w:t>Artículo 12.4.</w:t>
      </w:r>
      <w:r w:rsidRPr="00C12216">
        <w:rPr>
          <w:rStyle w:val="TextoNormalCaracter"/>
        </w:rPr>
        <w:t>-</w:t>
      </w:r>
      <w:r>
        <w:t xml:space="preserve"> Sentencia </w:t>
      </w:r>
      <w:hyperlink w:anchor="SENTENCIA_2008_20" w:history="1">
        <w:r w:rsidRPr="00C12216">
          <w:rPr>
            <w:rStyle w:val="TextoNormalCaracter"/>
          </w:rPr>
          <w:t>20/2008</w:t>
        </w:r>
      </w:hyperlink>
      <w:r>
        <w:t>, f. 4.</w:t>
      </w:r>
    </w:p>
    <w:p w:rsidR="00C12216" w:rsidRDefault="00C12216" w:rsidP="00C12216">
      <w:pPr>
        <w:pStyle w:val="SangriaFrancesaArticulo"/>
      </w:pPr>
      <w:r w:rsidRPr="00C12216">
        <w:rPr>
          <w:rStyle w:val="TextoNormalNegritaCaracter"/>
        </w:rPr>
        <w:t>Artículo 27.1.</w:t>
      </w:r>
      <w:r w:rsidRPr="00C12216">
        <w:rPr>
          <w:rStyle w:val="TextoNormalCaracter"/>
        </w:rPr>
        <w:t>-</w:t>
      </w:r>
      <w:r>
        <w:t xml:space="preserve"> Sentencia </w:t>
      </w:r>
      <w:hyperlink w:anchor="SENTENCIA_2008_20" w:history="1">
        <w:r w:rsidRPr="00C12216">
          <w:rPr>
            <w:rStyle w:val="TextoNormalCaracter"/>
          </w:rPr>
          <w:t>20/2008</w:t>
        </w:r>
      </w:hyperlink>
      <w:r>
        <w:t>, f. 4.</w:t>
      </w:r>
    </w:p>
    <w:p w:rsidR="00C12216" w:rsidRDefault="00C12216" w:rsidP="00C12216">
      <w:pPr>
        <w:pStyle w:val="SangriaFrancesaArticulo"/>
      </w:pPr>
      <w:r w:rsidRPr="00C12216">
        <w:rPr>
          <w:rStyle w:val="TextoNormalNegritaCaracter"/>
        </w:rPr>
        <w:t>Artículo 27.2.</w:t>
      </w:r>
      <w:r w:rsidRPr="00C12216">
        <w:rPr>
          <w:rStyle w:val="TextoNormalCaracter"/>
        </w:rPr>
        <w:t>-</w:t>
      </w:r>
      <w:r>
        <w:t xml:space="preserve"> Sentencia </w:t>
      </w:r>
      <w:hyperlink w:anchor="SENTENCIA_2008_20" w:history="1">
        <w:r w:rsidRPr="00C12216">
          <w:rPr>
            <w:rStyle w:val="TextoNormalCaracter"/>
          </w:rPr>
          <w:t>20/2008</w:t>
        </w:r>
      </w:hyperlink>
      <w:r>
        <w:t>, f. 4.</w:t>
      </w:r>
    </w:p>
    <w:p w:rsidR="00C12216" w:rsidRDefault="00C12216" w:rsidP="00C12216">
      <w:pPr>
        <w:pStyle w:val="SangriaFrancesaArticulo"/>
      </w:pPr>
      <w:r w:rsidRPr="00C12216">
        <w:rPr>
          <w:rStyle w:val="TextoNormalNegritaCaracter"/>
        </w:rPr>
        <w:t>Artículo 30.4.</w:t>
      </w:r>
      <w:r w:rsidRPr="00C12216">
        <w:rPr>
          <w:rStyle w:val="TextoNormalCaracter"/>
        </w:rPr>
        <w:t>-</w:t>
      </w:r>
      <w:r>
        <w:t xml:space="preserve"> Sentencia </w:t>
      </w:r>
      <w:hyperlink w:anchor="SENTENCIA_2008_20" w:history="1">
        <w:r w:rsidRPr="00C12216">
          <w:rPr>
            <w:rStyle w:val="TextoNormalCaracter"/>
          </w:rPr>
          <w:t>20/2008</w:t>
        </w:r>
      </w:hyperlink>
      <w:r>
        <w:t>, f. 4.</w:t>
      </w:r>
    </w:p>
    <w:p w:rsidR="00C12216" w:rsidRDefault="00C12216" w:rsidP="00C12216">
      <w:pPr>
        <w:pStyle w:val="SangriaFrancesaArticulo"/>
      </w:pPr>
      <w:r w:rsidRPr="00C12216">
        <w:rPr>
          <w:rStyle w:val="TextoNormalNegritaCaracter"/>
        </w:rPr>
        <w:lastRenderedPageBreak/>
        <w:t>Artículo 32</w:t>
      </w:r>
      <w:r>
        <w:t xml:space="preserve"> </w:t>
      </w:r>
      <w:r w:rsidRPr="00C12216">
        <w:rPr>
          <w:rStyle w:val="TextoNormalCaracter"/>
        </w:rPr>
        <w:t>(redactado por el Reglamento de 30 de junio de 1994)</w:t>
      </w:r>
      <w:r w:rsidRPr="00C12216">
        <w:rPr>
          <w:rStyle w:val="TextoNormalNegritaCaracter"/>
        </w:rPr>
        <w:t>.</w:t>
      </w:r>
      <w:r w:rsidRPr="00C12216">
        <w:rPr>
          <w:rStyle w:val="TextoNormalCaracter"/>
        </w:rPr>
        <w:t>-</w:t>
      </w:r>
      <w:r>
        <w:t xml:space="preserve"> Sentencia </w:t>
      </w:r>
      <w:hyperlink w:anchor="SENTENCIA_2008_20" w:history="1">
        <w:r w:rsidRPr="00C12216">
          <w:rPr>
            <w:rStyle w:val="TextoNormalCaracter"/>
          </w:rPr>
          <w:t>20/2008</w:t>
        </w:r>
      </w:hyperlink>
      <w:r>
        <w:t>, f. 4.</w:t>
      </w:r>
    </w:p>
    <w:p w:rsidR="00C12216" w:rsidRDefault="00C12216" w:rsidP="00C12216">
      <w:pPr>
        <w:pStyle w:val="SangriaFrancesaArticulo"/>
      </w:pPr>
    </w:p>
    <w:p w:rsidR="00C12216" w:rsidRDefault="00C12216" w:rsidP="00C12216">
      <w:pPr>
        <w:pStyle w:val="TextoNormalNegritaCursivandice"/>
      </w:pPr>
      <w:r>
        <w:t>Reglamento de las Cortes Valencianas, de 30 de junio de 1994</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0" w:history="1">
        <w:r w:rsidRPr="00C12216">
          <w:rPr>
            <w:rStyle w:val="TextoNormalCaracter"/>
          </w:rPr>
          <w:t>20/2008</w:t>
        </w:r>
      </w:hyperlink>
      <w:r>
        <w:t>, f. 4.</w:t>
      </w:r>
    </w:p>
    <w:p w:rsidR="00C12216" w:rsidRDefault="00C12216" w:rsidP="00C12216">
      <w:pPr>
        <w:pStyle w:val="SangriaFrancesaArticulo"/>
      </w:pPr>
    </w:p>
    <w:p w:rsidR="00C12216" w:rsidRDefault="00C12216" w:rsidP="00C12216">
      <w:pPr>
        <w:pStyle w:val="TextoNormalNegritaCursivandice"/>
      </w:pPr>
      <w:r>
        <w:t>Resolución de carácter general 5/VI de la Presidencia de las Cortes Valencianas, de 17 de noviembre de 2005. Derechos y deberes de los diputados que se incorporen al Grupo Mixto una vez iniciada la legislatura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0" w:history="1">
        <w:r w:rsidRPr="00C12216">
          <w:rPr>
            <w:rStyle w:val="TextoNormalCaracter"/>
          </w:rPr>
          <w:t>20/2008</w:t>
        </w:r>
      </w:hyperlink>
      <w:r>
        <w:t>, ff. 1 a 3.</w:t>
      </w:r>
    </w:p>
    <w:p w:rsidR="00C12216" w:rsidRDefault="00C12216" w:rsidP="00C12216">
      <w:pPr>
        <w:pStyle w:val="SangriaFrancesaArticulo"/>
      </w:pPr>
    </w:p>
    <w:p w:rsidR="00C12216" w:rsidRDefault="00C12216" w:rsidP="00C12216">
      <w:pPr>
        <w:pStyle w:val="TextoNormalNegritaCursivandice"/>
      </w:pPr>
      <w:r>
        <w:t>Resolución de la Mesa de las Cortes Valencianas RE núm. 46258, de 21 de febrero de 2006. Proposición de Ley Orgánica de reforma del Estatuto de Autonomía de la Comunidad Valenciana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0" w:history="1">
        <w:r w:rsidRPr="00C12216">
          <w:rPr>
            <w:rStyle w:val="TextoNormalCaracter"/>
          </w:rPr>
          <w:t>20/2008</w:t>
        </w:r>
      </w:hyperlink>
      <w:r>
        <w:t>, ff. 1, 2, 4.</w:t>
      </w:r>
    </w:p>
    <w:p w:rsidR="00C12216" w:rsidRDefault="00C12216" w:rsidP="00C12216">
      <w:pPr>
        <w:pStyle w:val="SangriaFrancesaArticulo"/>
      </w:pPr>
    </w:p>
    <w:p w:rsidR="00C12216" w:rsidRDefault="00C12216" w:rsidP="00C12216">
      <w:pPr>
        <w:pStyle w:val="TextoNormalNegritaCursivandice"/>
      </w:pPr>
      <w:r>
        <w:t>Resolución de la Mesa de las Cortes Valencianas RE núm. 46305, de 21 de febrero de 2006. Reclamación al Archivo de Aragón de los archivos correspondientes al Reino de Valencia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0" w:history="1">
        <w:r w:rsidRPr="00C12216">
          <w:rPr>
            <w:rStyle w:val="TextoNormalCaracter"/>
          </w:rPr>
          <w:t>20/2008</w:t>
        </w:r>
      </w:hyperlink>
      <w:r>
        <w:t>, ff. 1, 2, 4.</w:t>
      </w:r>
    </w:p>
    <w:p w:rsidR="00C12216" w:rsidRDefault="00C12216" w:rsidP="00C12216">
      <w:pPr>
        <w:pStyle w:val="SangriaFrancesaArticulo"/>
      </w:pPr>
    </w:p>
    <w:p w:rsidR="00C12216" w:rsidRDefault="00C12216" w:rsidP="00C12216">
      <w:pPr>
        <w:pStyle w:val="TextoNormalNegritaCursivandice"/>
      </w:pPr>
      <w:r>
        <w:t>Resolución de la Mesa de las Cortes Valencianas RE núm. 47323, de 7 de marzo de 2006. Proposición no de ley sobre las víctimas del terrorismo</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20" w:history="1">
        <w:r w:rsidRPr="00C12216">
          <w:rPr>
            <w:rStyle w:val="TextoNormalCaracter"/>
          </w:rPr>
          <w:t>20/2008</w:t>
        </w:r>
      </w:hyperlink>
      <w:r>
        <w:t>, ff. 1, 2, 4.</w:t>
      </w:r>
    </w:p>
    <w:p w:rsidR="00C12216" w:rsidRDefault="00C12216" w:rsidP="00C12216">
      <w:pPr>
        <w:pStyle w:val="TextoNormal"/>
      </w:pPr>
    </w:p>
    <w:p w:rsidR="00C12216" w:rsidRDefault="00C12216" w:rsidP="00C12216">
      <w:pPr>
        <w:pStyle w:val="SangriaFrancesaArticulo"/>
      </w:pPr>
      <w:bookmarkStart w:id="191" w:name="INDICE22870"/>
    </w:p>
    <w:bookmarkEnd w:id="191"/>
    <w:p w:rsidR="00C12216" w:rsidRDefault="00C12216" w:rsidP="00C12216">
      <w:pPr>
        <w:pStyle w:val="TextoIndiceNivel2"/>
        <w:suppressAutoHyphens/>
      </w:pPr>
      <w:r>
        <w:t>L) Tratados y acuerdos internacionales</w:t>
      </w:r>
    </w:p>
    <w:p w:rsidR="00C12216" w:rsidRDefault="00C12216" w:rsidP="00C12216">
      <w:pPr>
        <w:pStyle w:val="TextoIndiceNivel2"/>
      </w:pPr>
    </w:p>
    <w:p w:rsidR="00C12216" w:rsidRDefault="00C12216" w:rsidP="00C12216">
      <w:pPr>
        <w:pStyle w:val="TextoNormalNegritaCursivandice"/>
      </w:pPr>
      <w:r>
        <w:t>Convención de Nueva York, de 31 de marzo de 1953. Derechos políticos de la mujer</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12" w:history="1">
        <w:r w:rsidRPr="00C12216">
          <w:rPr>
            <w:rStyle w:val="TextoNormalCaracter"/>
          </w:rPr>
          <w:t>12/2008</w:t>
        </w:r>
      </w:hyperlink>
      <w:r>
        <w:t>, VP.</w:t>
      </w:r>
    </w:p>
    <w:p w:rsidR="00C12216" w:rsidRDefault="00C12216" w:rsidP="00C12216">
      <w:pPr>
        <w:pStyle w:val="SangriaFrancesaArticulo"/>
      </w:pPr>
    </w:p>
    <w:p w:rsidR="00C12216" w:rsidRDefault="00C12216" w:rsidP="00C12216">
      <w:pPr>
        <w:pStyle w:val="TextoNormalNegritaCursivandice"/>
      </w:pPr>
      <w:r>
        <w:t>Convenio internacional sobre la eliminación de todas las formas de discriminación racial, 21 de diciembre de 1965</w:t>
      </w:r>
    </w:p>
    <w:p w:rsidR="00C12216" w:rsidRDefault="00C12216" w:rsidP="00C12216">
      <w:pPr>
        <w:pStyle w:val="SangriaFrancesaArticulo"/>
      </w:pPr>
      <w:r w:rsidRPr="00C12216">
        <w:rPr>
          <w:rStyle w:val="TextoNormalNegritaCaracter"/>
        </w:rPr>
        <w:t>Artículo 4.</w:t>
      </w:r>
      <w:r w:rsidRPr="00C12216">
        <w:rPr>
          <w:rStyle w:val="TextoNormalCaracter"/>
        </w:rPr>
        <w:t>-</w:t>
      </w:r>
      <w:r>
        <w:t xml:space="preserve"> Sentencia </w:t>
      </w:r>
      <w:hyperlink w:anchor="SENTENCIA_2008_12" w:history="1">
        <w:r w:rsidRPr="00C12216">
          <w:rPr>
            <w:rStyle w:val="TextoNormalCaracter"/>
          </w:rPr>
          <w:t>12/2008</w:t>
        </w:r>
      </w:hyperlink>
      <w:r>
        <w:t>, VP.</w:t>
      </w:r>
    </w:p>
    <w:p w:rsidR="00C12216" w:rsidRDefault="00C12216" w:rsidP="00C12216">
      <w:pPr>
        <w:pStyle w:val="SangriaFrancesaArticulo"/>
      </w:pPr>
    </w:p>
    <w:p w:rsidR="00C12216" w:rsidRDefault="00C12216" w:rsidP="00C12216">
      <w:pPr>
        <w:pStyle w:val="TextoNormalNegritaCursivandice"/>
      </w:pPr>
      <w:r>
        <w:t>Pacto internacional de derechos civiles y políticos. Nueva York, 16 de diciembre de 1966, ratificado por Instrumento de 13 de abril de 1977</w:t>
      </w:r>
    </w:p>
    <w:p w:rsidR="00C12216" w:rsidRDefault="00C12216" w:rsidP="00C12216">
      <w:pPr>
        <w:pStyle w:val="SangriaFrancesaArticulo"/>
      </w:pPr>
      <w:r w:rsidRPr="00C12216">
        <w:rPr>
          <w:rStyle w:val="TextoNormalNegritaCaracter"/>
        </w:rPr>
        <w:t>Artículo 14.5.</w:t>
      </w:r>
      <w:r w:rsidRPr="00C12216">
        <w:rPr>
          <w:rStyle w:val="TextoNormalCaracter"/>
        </w:rPr>
        <w:t>-</w:t>
      </w:r>
      <w:r>
        <w:t xml:space="preserve"> Sentencias </w:t>
      </w:r>
      <w:hyperlink w:anchor="SENTENCIA_2008_7" w:history="1">
        <w:r w:rsidRPr="00C12216">
          <w:rPr>
            <w:rStyle w:val="TextoNormalCaracter"/>
          </w:rPr>
          <w:t>7/2008</w:t>
        </w:r>
      </w:hyperlink>
      <w:r>
        <w:t xml:space="preserve">, f. 3; </w:t>
      </w:r>
      <w:hyperlink w:anchor="SENTENCIA_2008_29" w:history="1">
        <w:r w:rsidRPr="00C12216">
          <w:rPr>
            <w:rStyle w:val="TextoNormalCaracter"/>
          </w:rPr>
          <w:t>29/2008</w:t>
        </w:r>
      </w:hyperlink>
      <w:r>
        <w:t xml:space="preserve">, f. 3; </w:t>
      </w:r>
      <w:hyperlink w:anchor="SENTENCIA_2008_48" w:history="1">
        <w:r w:rsidRPr="00C12216">
          <w:rPr>
            <w:rStyle w:val="TextoNormalCaracter"/>
          </w:rPr>
          <w:t>48/2008</w:t>
        </w:r>
      </w:hyperlink>
      <w:r>
        <w:t>, f. 2.</w:t>
      </w:r>
    </w:p>
    <w:p w:rsidR="00C12216" w:rsidRDefault="00C12216" w:rsidP="00C12216">
      <w:pPr>
        <w:pStyle w:val="SangriaIzquierdaArticulo"/>
      </w:pPr>
      <w:r>
        <w:t xml:space="preserve">Auto </w:t>
      </w:r>
      <w:hyperlink w:anchor="AUTO_2008_115" w:history="1">
        <w:r w:rsidRPr="00C12216">
          <w:rPr>
            <w:rStyle w:val="TextoNormalCaracter"/>
          </w:rPr>
          <w:t>115/2008</w:t>
        </w:r>
      </w:hyperlink>
      <w:r>
        <w:t>.</w:t>
      </w:r>
    </w:p>
    <w:p w:rsidR="00C12216" w:rsidRDefault="00C12216" w:rsidP="00C12216">
      <w:pPr>
        <w:pStyle w:val="SangriaIzquierdaArticulo"/>
      </w:pPr>
    </w:p>
    <w:p w:rsidR="00C12216" w:rsidRDefault="00C12216" w:rsidP="00C12216">
      <w:pPr>
        <w:pStyle w:val="TextoNormalNegritaCursivandice"/>
      </w:pPr>
      <w:r>
        <w:t>Convención de Naciones Unidas de 18 de diciembre de 1979. Eliminación de todas las formas de discriminación contra la mujer. Ratificada por Instrumento de 16 de diciembre de 1983</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12" w:history="1">
        <w:r w:rsidRPr="00C12216">
          <w:rPr>
            <w:rStyle w:val="TextoNormalCaracter"/>
          </w:rPr>
          <w:t>12/2008</w:t>
        </w:r>
      </w:hyperlink>
      <w:r>
        <w:t>, VP.</w:t>
      </w:r>
    </w:p>
    <w:p w:rsidR="00C12216" w:rsidRDefault="00C12216" w:rsidP="00C12216">
      <w:pPr>
        <w:pStyle w:val="SangriaFrancesaArticulo"/>
      </w:pPr>
      <w:r w:rsidRPr="00C12216">
        <w:rPr>
          <w:rStyle w:val="TextoNormalNegritaCaracter"/>
        </w:rPr>
        <w:lastRenderedPageBreak/>
        <w:t>Artículo 7 b).</w:t>
      </w:r>
      <w:r w:rsidRPr="00C12216">
        <w:rPr>
          <w:rStyle w:val="TextoNormalCaracter"/>
        </w:rPr>
        <w:t>-</w:t>
      </w:r>
      <w:r>
        <w:t xml:space="preserve"> Sentencia </w:t>
      </w:r>
      <w:hyperlink w:anchor="SENTENCIA_2008_12" w:history="1">
        <w:r w:rsidRPr="00C12216">
          <w:rPr>
            <w:rStyle w:val="TextoNormalCaracter"/>
          </w:rPr>
          <w:t>12/2008</w:t>
        </w:r>
      </w:hyperlink>
      <w:r>
        <w:t>, f. 2.</w:t>
      </w:r>
    </w:p>
    <w:p w:rsidR="00C12216" w:rsidRDefault="00C12216" w:rsidP="00C12216">
      <w:pPr>
        <w:pStyle w:val="SangriaFrancesaArticulo"/>
      </w:pPr>
    </w:p>
    <w:p w:rsidR="00C12216" w:rsidRDefault="00C12216" w:rsidP="00C12216">
      <w:pPr>
        <w:pStyle w:val="TextoNormalNegritaCursivandice"/>
      </w:pPr>
      <w:r>
        <w:t>Convención de Nueva York contra la tortura y otros tratos o penas crueles, inhumanos o degradantes, de 10 de diciembre de 1984, ratificada por España el 19 de octubre de 1987</w:t>
      </w:r>
    </w:p>
    <w:p w:rsidR="00C12216" w:rsidRDefault="00C12216" w:rsidP="00C12216">
      <w:pPr>
        <w:pStyle w:val="SangriaFrancesaArticulo"/>
      </w:pPr>
      <w:r w:rsidRPr="00C12216">
        <w:rPr>
          <w:rStyle w:val="TextoNormalNegritaCaracter"/>
        </w:rPr>
        <w:t>Artículo 1.</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r w:rsidRPr="00C12216">
        <w:rPr>
          <w:rStyle w:val="TextoNormalNegritaCaracter"/>
        </w:rPr>
        <w:t>Artículo 2.1.</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r w:rsidRPr="00C12216">
        <w:rPr>
          <w:rStyle w:val="TextoNormalNegritaCaracter"/>
        </w:rPr>
        <w:t>Artículo 12.</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r w:rsidRPr="00C12216">
        <w:rPr>
          <w:rStyle w:val="TextoNormalNegritaCaracter"/>
        </w:rPr>
        <w:t>Artículo 13.</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p>
    <w:p w:rsidR="00C12216" w:rsidRDefault="00C12216" w:rsidP="00C12216">
      <w:pPr>
        <w:pStyle w:val="TextoNormalNegritaCursivandice"/>
      </w:pPr>
      <w:r>
        <w:t>Convención sobre los derechos del niño, adoptada por la Asamblea General de Naciones Unidas el 20 de noviembre de 1989. Ratificada por Instrumento de 30 de noviembre de 1990</w:t>
      </w:r>
    </w:p>
    <w:p w:rsidR="00C12216" w:rsidRDefault="00C12216" w:rsidP="00C12216">
      <w:pPr>
        <w:pStyle w:val="SangriaFrancesaArticulo"/>
      </w:pPr>
      <w:r w:rsidRPr="00C12216">
        <w:rPr>
          <w:rStyle w:val="TextoNormalNegritaCaracter"/>
        </w:rPr>
        <w:t>Artículo 9.2.</w:t>
      </w:r>
      <w:r w:rsidRPr="00C12216">
        <w:rPr>
          <w:rStyle w:val="TextoNormalCaracter"/>
        </w:rPr>
        <w:t>-</w:t>
      </w:r>
      <w:r>
        <w:t xml:space="preserve"> Sentencia </w:t>
      </w:r>
      <w:hyperlink w:anchor="SENTENCIA_2008_58" w:history="1">
        <w:r w:rsidRPr="00C12216">
          <w:rPr>
            <w:rStyle w:val="TextoNormalCaracter"/>
          </w:rPr>
          <w:t>58/2008</w:t>
        </w:r>
      </w:hyperlink>
      <w:r>
        <w:t>, f. 2.</w:t>
      </w:r>
    </w:p>
    <w:p w:rsidR="00C12216" w:rsidRDefault="00C12216" w:rsidP="00C12216">
      <w:pPr>
        <w:pStyle w:val="SangriaFrancesaArticulo"/>
      </w:pPr>
      <w:r w:rsidRPr="00C12216">
        <w:rPr>
          <w:rStyle w:val="TextoNormalNegritaCaracter"/>
        </w:rPr>
        <w:t>Artículo 12.</w:t>
      </w:r>
      <w:r w:rsidRPr="00C12216">
        <w:rPr>
          <w:rStyle w:val="TextoNormalCaracter"/>
        </w:rPr>
        <w:t>-</w:t>
      </w:r>
      <w:r>
        <w:t xml:space="preserve"> Sentencia </w:t>
      </w:r>
      <w:hyperlink w:anchor="SENTENCIA_2008_22" w:history="1">
        <w:r w:rsidRPr="00C12216">
          <w:rPr>
            <w:rStyle w:val="TextoNormalCaracter"/>
          </w:rPr>
          <w:t>22/2008</w:t>
        </w:r>
      </w:hyperlink>
      <w:r>
        <w:t>, ff. 6, 7.</w:t>
      </w:r>
    </w:p>
    <w:p w:rsidR="00C12216" w:rsidRDefault="00C12216" w:rsidP="00C12216">
      <w:pPr>
        <w:pStyle w:val="SangriaFrancesaArticulo"/>
      </w:pPr>
    </w:p>
    <w:p w:rsidR="00C12216" w:rsidRDefault="00C12216" w:rsidP="00C12216">
      <w:pPr>
        <w:pStyle w:val="TextoNormalNegritaCursivandice"/>
      </w:pPr>
      <w:r>
        <w:t>Tribunal Penal Internacional para la ex Yugoslavia, de 25 de mayo de 1993. Resolución 827 (1993) del Consejo de Seguridad de Naciones Unidas</w:t>
      </w:r>
    </w:p>
    <w:p w:rsidR="00C12216" w:rsidRDefault="00C12216" w:rsidP="00C12216">
      <w:pPr>
        <w:pStyle w:val="SangriaFrancesaArticulo"/>
      </w:pPr>
      <w:r w:rsidRPr="00C12216">
        <w:rPr>
          <w:rStyle w:val="TextoNormalNegritaCaracter"/>
        </w:rPr>
        <w:t>Artículo 25.</w:t>
      </w:r>
      <w:r w:rsidRPr="00C12216">
        <w:rPr>
          <w:rStyle w:val="TextoNormalCaracter"/>
        </w:rPr>
        <w:t>-</w:t>
      </w:r>
      <w:r>
        <w:t xml:space="preserve"> Sentencia </w:t>
      </w:r>
      <w:hyperlink w:anchor="SENTENCIA_2008_29" w:history="1">
        <w:r w:rsidRPr="00C12216">
          <w:rPr>
            <w:rStyle w:val="TextoNormalCaracter"/>
          </w:rPr>
          <w:t>29/2008</w:t>
        </w:r>
      </w:hyperlink>
      <w:r>
        <w:t>, f. 3.</w:t>
      </w:r>
    </w:p>
    <w:p w:rsidR="00C12216" w:rsidRDefault="00C12216" w:rsidP="00C12216">
      <w:pPr>
        <w:pStyle w:val="SangriaFrancesaArticulo"/>
      </w:pPr>
    </w:p>
    <w:p w:rsidR="00C12216" w:rsidRDefault="00C12216" w:rsidP="00C12216">
      <w:pPr>
        <w:pStyle w:val="TextoNormalNegritaCursivandice"/>
      </w:pPr>
      <w:r>
        <w:t>Tribunal Penal Internacional para Ruanda, de 8 de noviembre de 1994. Resolución 955 (1994) del Consejo de Seguridad de Naciones Unidas</w:t>
      </w:r>
    </w:p>
    <w:p w:rsidR="00C12216" w:rsidRDefault="00C12216" w:rsidP="00C12216">
      <w:pPr>
        <w:pStyle w:val="SangriaFrancesaArticulo"/>
      </w:pPr>
      <w:r w:rsidRPr="00C12216">
        <w:rPr>
          <w:rStyle w:val="TextoNormalNegritaCaracter"/>
        </w:rPr>
        <w:t>Artículo 25.</w:t>
      </w:r>
      <w:r w:rsidRPr="00C12216">
        <w:rPr>
          <w:rStyle w:val="TextoNormalCaracter"/>
        </w:rPr>
        <w:t>-</w:t>
      </w:r>
      <w:r>
        <w:t xml:space="preserve"> Sentencia </w:t>
      </w:r>
      <w:hyperlink w:anchor="SENTENCIA_2008_29" w:history="1">
        <w:r w:rsidRPr="00C12216">
          <w:rPr>
            <w:rStyle w:val="TextoNormalCaracter"/>
          </w:rPr>
          <w:t>29/2008</w:t>
        </w:r>
      </w:hyperlink>
      <w:r>
        <w:t>, f. 3.</w:t>
      </w:r>
    </w:p>
    <w:p w:rsidR="00C12216" w:rsidRDefault="00C12216" w:rsidP="00C12216">
      <w:pPr>
        <w:pStyle w:val="SangriaFrancesaArticulo"/>
      </w:pPr>
    </w:p>
    <w:p w:rsidR="00C12216" w:rsidRDefault="00C12216" w:rsidP="00C12216">
      <w:pPr>
        <w:pStyle w:val="TextoNormalNegritaCursivandice"/>
      </w:pPr>
      <w:r>
        <w:t>Estatuto de Roma de la Corte Penal Internacional, hecho en Roma el 17 de julio de 1998</w:t>
      </w:r>
    </w:p>
    <w:p w:rsidR="00C12216" w:rsidRDefault="00C12216" w:rsidP="00C12216">
      <w:pPr>
        <w:pStyle w:val="SangriaFrancesaArticulo"/>
      </w:pPr>
      <w:r w:rsidRPr="00C12216">
        <w:rPr>
          <w:rStyle w:val="TextoNormalNegritaCaracter"/>
        </w:rPr>
        <w:t>Artículo 81.</w:t>
      </w:r>
      <w:r w:rsidRPr="00C12216">
        <w:rPr>
          <w:rStyle w:val="TextoNormalCaracter"/>
        </w:rPr>
        <w:t>-</w:t>
      </w:r>
      <w:r>
        <w:t xml:space="preserve"> Sentencia </w:t>
      </w:r>
      <w:hyperlink w:anchor="SENTENCIA_2008_29" w:history="1">
        <w:r w:rsidRPr="00C12216">
          <w:rPr>
            <w:rStyle w:val="TextoNormalCaracter"/>
          </w:rPr>
          <w:t>29/2008</w:t>
        </w:r>
      </w:hyperlink>
      <w:r>
        <w:t>, f. 3.</w:t>
      </w:r>
    </w:p>
    <w:p w:rsidR="00C12216" w:rsidRDefault="00C12216" w:rsidP="00C12216">
      <w:pPr>
        <w:pStyle w:val="TextoNormal"/>
      </w:pPr>
    </w:p>
    <w:p w:rsidR="00C12216" w:rsidRDefault="00C12216" w:rsidP="00C12216">
      <w:pPr>
        <w:pStyle w:val="SangriaFrancesaArticulo"/>
      </w:pPr>
      <w:bookmarkStart w:id="192" w:name="INDICE22871"/>
    </w:p>
    <w:bookmarkEnd w:id="192"/>
    <w:p w:rsidR="00C12216" w:rsidRDefault="00C12216" w:rsidP="00C12216">
      <w:pPr>
        <w:pStyle w:val="TextoIndiceNivel2"/>
        <w:suppressAutoHyphens/>
      </w:pPr>
      <w:r>
        <w:t>M) Unión Europea</w:t>
      </w:r>
    </w:p>
    <w:p w:rsidR="00C12216" w:rsidRDefault="00C12216" w:rsidP="00C12216">
      <w:pPr>
        <w:pStyle w:val="TextoIndiceNivel2"/>
      </w:pPr>
    </w:p>
    <w:p w:rsidR="00C12216" w:rsidRDefault="00C12216" w:rsidP="00C12216">
      <w:pPr>
        <w:pStyle w:val="TextoNormalNegritaCursivandice"/>
      </w:pPr>
      <w:r>
        <w:t>Resolución del Parlamento Europeo 169/88, 16 de septiembre de 1988. La mujer en los centros de decisión</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12" w:history="1">
        <w:r w:rsidRPr="00C12216">
          <w:rPr>
            <w:rStyle w:val="TextoNormalCaracter"/>
          </w:rPr>
          <w:t>12/2008</w:t>
        </w:r>
      </w:hyperlink>
      <w:r>
        <w:t>, VP.</w:t>
      </w:r>
    </w:p>
    <w:p w:rsidR="00C12216" w:rsidRDefault="00C12216" w:rsidP="00C12216">
      <w:pPr>
        <w:pStyle w:val="SangriaFrancesaArticulo"/>
      </w:pPr>
    </w:p>
    <w:p w:rsidR="00C12216" w:rsidRDefault="00C12216" w:rsidP="00C12216">
      <w:pPr>
        <w:pStyle w:val="TextoNormalNegritaCursivandice"/>
      </w:pPr>
      <w:r>
        <w:t>Tratado de Maastricht, de 7 de febrero de 1992. Título II Modificación del Tratado constitutivo de la Comunidad Económica Europea</w:t>
      </w:r>
    </w:p>
    <w:p w:rsidR="00C12216" w:rsidRDefault="00C12216" w:rsidP="00C12216">
      <w:pPr>
        <w:pStyle w:val="SangriaFrancesaArticulo"/>
      </w:pPr>
      <w:r w:rsidRPr="00C12216">
        <w:rPr>
          <w:rStyle w:val="TextoNormalNegritaCaracter"/>
        </w:rPr>
        <w:t>Artículo 1 bis</w:t>
      </w:r>
      <w:r>
        <w:t xml:space="preserve"> </w:t>
      </w:r>
      <w:r w:rsidRPr="00C12216">
        <w:rPr>
          <w:rStyle w:val="TextoNormalCaracter"/>
        </w:rPr>
        <w:t>(redactado por el Tratado de Lisboa, de 13 de diciembre de 2007)</w:t>
      </w:r>
      <w:r w:rsidRPr="00C12216">
        <w:rPr>
          <w:rStyle w:val="TextoNormalNegritaCaracter"/>
        </w:rPr>
        <w:t>.</w:t>
      </w:r>
      <w:r w:rsidRPr="00C12216">
        <w:rPr>
          <w:rStyle w:val="TextoNormalCaracter"/>
        </w:rPr>
        <w:t>-</w:t>
      </w:r>
      <w:r>
        <w:t xml:space="preserve"> Sentencia </w:t>
      </w:r>
      <w:hyperlink w:anchor="SENTENCIA_2008_12" w:history="1">
        <w:r w:rsidRPr="00C12216">
          <w:rPr>
            <w:rStyle w:val="TextoNormalCaracter"/>
          </w:rPr>
          <w:t>12/2008</w:t>
        </w:r>
      </w:hyperlink>
      <w:r>
        <w:t>, f. 2.</w:t>
      </w:r>
    </w:p>
    <w:p w:rsidR="00C12216" w:rsidRDefault="00C12216" w:rsidP="00C12216">
      <w:pPr>
        <w:pStyle w:val="SangriaFrancesaArticulo"/>
      </w:pPr>
      <w:r w:rsidRPr="00C12216">
        <w:rPr>
          <w:rStyle w:val="TextoNormalNegritaCaracter"/>
        </w:rPr>
        <w:t>Artículo 2.3 párrafo 2</w:t>
      </w:r>
      <w:r>
        <w:t xml:space="preserve"> </w:t>
      </w:r>
      <w:r w:rsidRPr="00C12216">
        <w:rPr>
          <w:rStyle w:val="TextoNormalCaracter"/>
        </w:rPr>
        <w:t>(redactado por el Tratado de Lisboa, de 13 de diciembre de 2007)</w:t>
      </w:r>
      <w:r w:rsidRPr="00C12216">
        <w:rPr>
          <w:rStyle w:val="TextoNormalNegritaCaracter"/>
        </w:rPr>
        <w:t>.</w:t>
      </w:r>
      <w:r w:rsidRPr="00C12216">
        <w:rPr>
          <w:rStyle w:val="TextoNormalCaracter"/>
        </w:rPr>
        <w:t>-</w:t>
      </w:r>
      <w:r>
        <w:t xml:space="preserve"> Sentencia </w:t>
      </w:r>
      <w:hyperlink w:anchor="SENTENCIA_2008_12" w:history="1">
        <w:r w:rsidRPr="00C12216">
          <w:rPr>
            <w:rStyle w:val="TextoNormalCaracter"/>
          </w:rPr>
          <w:t>12/2008</w:t>
        </w:r>
      </w:hyperlink>
      <w:r>
        <w:t>, f. 2.</w:t>
      </w:r>
    </w:p>
    <w:p w:rsidR="00C12216" w:rsidRDefault="00C12216" w:rsidP="00C12216">
      <w:pPr>
        <w:pStyle w:val="SangriaFrancesaArticulo"/>
      </w:pPr>
      <w:r w:rsidRPr="00C12216">
        <w:rPr>
          <w:rStyle w:val="TextoNormalNegritaCaracter"/>
        </w:rPr>
        <w:t>Artículo 3.2.</w:t>
      </w:r>
      <w:r w:rsidRPr="00C12216">
        <w:rPr>
          <w:rStyle w:val="TextoNormalCaracter"/>
        </w:rPr>
        <w:t>-</w:t>
      </w:r>
      <w:r>
        <w:t xml:space="preserve"> Sentencia </w:t>
      </w:r>
      <w:hyperlink w:anchor="SENTENCIA_2008_12" w:history="1">
        <w:r w:rsidRPr="00C12216">
          <w:rPr>
            <w:rStyle w:val="TextoNormalCaracter"/>
          </w:rPr>
          <w:t>12/2008</w:t>
        </w:r>
      </w:hyperlink>
      <w:r>
        <w:t>, f. 2.</w:t>
      </w:r>
    </w:p>
    <w:p w:rsidR="00C12216" w:rsidRDefault="00C12216" w:rsidP="00C12216">
      <w:pPr>
        <w:pStyle w:val="SangriaFrancesaArticulo"/>
      </w:pPr>
    </w:p>
    <w:p w:rsidR="00C12216" w:rsidRDefault="00C12216" w:rsidP="00C12216">
      <w:pPr>
        <w:pStyle w:val="TextoNormalNegritaCursivandice"/>
      </w:pPr>
      <w:r>
        <w:t>Tratado de Lisboa, de 13 de diciembre de 2007. Tratado de funcionamiento de la Unión Europea</w:t>
      </w:r>
    </w:p>
    <w:p w:rsidR="00C12216" w:rsidRDefault="00C12216" w:rsidP="00C12216">
      <w:pPr>
        <w:pStyle w:val="SangriaFrancesaArticulo"/>
      </w:pPr>
      <w:r w:rsidRPr="00C12216">
        <w:rPr>
          <w:rStyle w:val="TextoNormalNegritaCaracter"/>
        </w:rPr>
        <w:lastRenderedPageBreak/>
        <w:t>En general.</w:t>
      </w:r>
      <w:r w:rsidRPr="00C12216">
        <w:rPr>
          <w:rStyle w:val="TextoNormalCaracter"/>
        </w:rPr>
        <w:t>-</w:t>
      </w:r>
      <w:r>
        <w:t xml:space="preserve"> Sentencia </w:t>
      </w:r>
      <w:hyperlink w:anchor="SENTENCIA_2008_12" w:history="1">
        <w:r w:rsidRPr="00C12216">
          <w:rPr>
            <w:rStyle w:val="TextoNormalCaracter"/>
          </w:rPr>
          <w:t>12/2008</w:t>
        </w:r>
      </w:hyperlink>
      <w:r>
        <w:t>, f. 2.</w:t>
      </w:r>
    </w:p>
    <w:p w:rsidR="00C12216" w:rsidRDefault="00C12216" w:rsidP="00C12216">
      <w:pPr>
        <w:pStyle w:val="TextoNormal"/>
      </w:pPr>
    </w:p>
    <w:p w:rsidR="00C12216" w:rsidRDefault="00C12216" w:rsidP="00C12216">
      <w:pPr>
        <w:pStyle w:val="SangriaFrancesaArticulo"/>
      </w:pPr>
      <w:bookmarkStart w:id="193" w:name="INDICE27994"/>
    </w:p>
    <w:bookmarkEnd w:id="193"/>
    <w:p w:rsidR="00C12216" w:rsidRDefault="00C12216" w:rsidP="00C12216">
      <w:pPr>
        <w:pStyle w:val="TextoIndiceNivel2"/>
        <w:suppressAutoHyphens/>
      </w:pPr>
      <w:r>
        <w:t>N) Consejo de Europa</w:t>
      </w:r>
    </w:p>
    <w:p w:rsidR="00C12216" w:rsidRDefault="00C12216" w:rsidP="00C12216">
      <w:pPr>
        <w:pStyle w:val="TextoIndiceNivel2"/>
      </w:pPr>
    </w:p>
    <w:p w:rsidR="00C12216" w:rsidRDefault="00C12216" w:rsidP="00C12216">
      <w:pPr>
        <w:pStyle w:val="TextoNormalNegritaCursivandice"/>
      </w:pPr>
      <w:r>
        <w:t>Convenio europeo para la protección de los derechos humanos y de las libertades fundamentales. Hecho en Roma el 4 de noviembre de 1950, ratificado por Instrumento de 26 de septiembre de 1979</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12" w:history="1">
        <w:r w:rsidRPr="00C12216">
          <w:rPr>
            <w:rStyle w:val="TextoNormalCaracter"/>
          </w:rPr>
          <w:t>12/2008</w:t>
        </w:r>
      </w:hyperlink>
      <w:r>
        <w:t>, f. 2.</w:t>
      </w:r>
    </w:p>
    <w:p w:rsidR="00C12216" w:rsidRDefault="00C12216" w:rsidP="00C12216">
      <w:pPr>
        <w:pStyle w:val="SangriaFrancesaArticulo"/>
      </w:pPr>
      <w:r w:rsidRPr="00C12216">
        <w:rPr>
          <w:rStyle w:val="TextoNormalNegritaCaracter"/>
        </w:rPr>
        <w:t>Artículo 3.</w:t>
      </w:r>
      <w:r w:rsidRPr="00C12216">
        <w:rPr>
          <w:rStyle w:val="TextoNormalCaracter"/>
        </w:rPr>
        <w:t>-</w:t>
      </w:r>
      <w:r>
        <w:t xml:space="preserve"> Sentencia </w:t>
      </w:r>
      <w:hyperlink w:anchor="SENTENCIA_2008_34" w:history="1">
        <w:r w:rsidRPr="00C12216">
          <w:rPr>
            <w:rStyle w:val="TextoNormalCaracter"/>
          </w:rPr>
          <w:t>34/2008</w:t>
        </w:r>
      </w:hyperlink>
      <w:r>
        <w:t>, ff. 6, 7.</w:t>
      </w:r>
    </w:p>
    <w:p w:rsidR="00C12216" w:rsidRDefault="00C12216" w:rsidP="00C12216">
      <w:pPr>
        <w:pStyle w:val="SangriaFrancesaArticulo"/>
      </w:pPr>
      <w:r w:rsidRPr="00C12216">
        <w:rPr>
          <w:rStyle w:val="TextoNormalNegritaCaracter"/>
        </w:rPr>
        <w:t>Artículo 6.</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SangriaFrancesaArticulo"/>
      </w:pPr>
      <w:r w:rsidRPr="00C12216">
        <w:rPr>
          <w:rStyle w:val="TextoNormalNegritaCaracter"/>
        </w:rPr>
        <w:t>Artículo 6.1.</w:t>
      </w:r>
      <w:r w:rsidRPr="00C12216">
        <w:rPr>
          <w:rStyle w:val="TextoNormalCaracter"/>
        </w:rPr>
        <w:t>-</w:t>
      </w:r>
      <w:r>
        <w:t xml:space="preserve"> Sentencias </w:t>
      </w:r>
      <w:hyperlink w:anchor="SENTENCIA_2008_29" w:history="1">
        <w:r w:rsidRPr="00C12216">
          <w:rPr>
            <w:rStyle w:val="TextoNormalCaracter"/>
          </w:rPr>
          <w:t>29/2008</w:t>
        </w:r>
      </w:hyperlink>
      <w:r>
        <w:t xml:space="preserve">, f. 3; </w:t>
      </w:r>
      <w:hyperlink w:anchor="SENTENCIA_2008_38" w:history="1">
        <w:r w:rsidRPr="00C12216">
          <w:rPr>
            <w:rStyle w:val="TextoNormalCaracter"/>
          </w:rPr>
          <w:t>38/2008</w:t>
        </w:r>
      </w:hyperlink>
      <w:r>
        <w:t xml:space="preserve">, f. 2; </w:t>
      </w:r>
      <w:hyperlink w:anchor="SENTENCIA_2008_48" w:history="1">
        <w:r w:rsidRPr="00C12216">
          <w:rPr>
            <w:rStyle w:val="TextoNormalCaracter"/>
          </w:rPr>
          <w:t>48/2008</w:t>
        </w:r>
      </w:hyperlink>
      <w:r>
        <w:t>, f. 2.</w:t>
      </w:r>
    </w:p>
    <w:p w:rsidR="00C12216" w:rsidRDefault="00C12216" w:rsidP="00C12216">
      <w:pPr>
        <w:pStyle w:val="SangriaFrancesaArticulo"/>
      </w:pPr>
      <w:r w:rsidRPr="00C12216">
        <w:rPr>
          <w:rStyle w:val="TextoNormalNegritaCaracter"/>
        </w:rPr>
        <w:t>Artículo 6.3.</w:t>
      </w:r>
      <w:r w:rsidRPr="00C12216">
        <w:rPr>
          <w:rStyle w:val="TextoNormalCaracter"/>
        </w:rPr>
        <w:t>-</w:t>
      </w:r>
      <w:r>
        <w:t xml:space="preserve"> Sentencia </w:t>
      </w:r>
      <w:hyperlink w:anchor="SENTENCIA_2008_42" w:history="1">
        <w:r w:rsidRPr="00C12216">
          <w:rPr>
            <w:rStyle w:val="TextoNormalCaracter"/>
          </w:rPr>
          <w:t>42/2008</w:t>
        </w:r>
      </w:hyperlink>
      <w:r>
        <w:t>, f. 4.</w:t>
      </w:r>
    </w:p>
    <w:p w:rsidR="00C12216" w:rsidRDefault="00C12216" w:rsidP="00C12216">
      <w:pPr>
        <w:pStyle w:val="SangriaFrancesaArticulo"/>
      </w:pPr>
    </w:p>
    <w:p w:rsidR="00C12216" w:rsidRDefault="00C12216" w:rsidP="00C12216">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C12216" w:rsidRDefault="00C12216" w:rsidP="00C12216">
      <w:pPr>
        <w:pStyle w:val="SangriaFrancesaArticulo"/>
      </w:pPr>
      <w:r w:rsidRPr="00C12216">
        <w:rPr>
          <w:rStyle w:val="TextoNormalNegritaCaracter"/>
        </w:rPr>
        <w:t>Artículo 2.</w:t>
      </w:r>
      <w:r w:rsidRPr="00C12216">
        <w:rPr>
          <w:rStyle w:val="TextoNormalCaracter"/>
        </w:rPr>
        <w:t>-</w:t>
      </w:r>
      <w:r>
        <w:t xml:space="preserve"> Sentencias </w:t>
      </w:r>
      <w:hyperlink w:anchor="SENTENCIA_2008_29" w:history="1">
        <w:r w:rsidRPr="00C12216">
          <w:rPr>
            <w:rStyle w:val="TextoNormalCaracter"/>
          </w:rPr>
          <w:t>29/2008</w:t>
        </w:r>
      </w:hyperlink>
      <w:r>
        <w:t xml:space="preserve">, f. 3; </w:t>
      </w:r>
      <w:hyperlink w:anchor="SENTENCIA_2008_48" w:history="1">
        <w:r w:rsidRPr="00C12216">
          <w:rPr>
            <w:rStyle w:val="TextoNormalCaracter"/>
          </w:rPr>
          <w:t>48/2008</w:t>
        </w:r>
      </w:hyperlink>
      <w:r>
        <w:t>, f. 2.</w:t>
      </w:r>
    </w:p>
    <w:p w:rsidR="00C12216" w:rsidRDefault="00C12216" w:rsidP="00C12216">
      <w:pPr>
        <w:pStyle w:val="TextoNormal"/>
      </w:pPr>
    </w:p>
    <w:p w:rsidR="00C12216" w:rsidRDefault="00C12216" w:rsidP="00C12216">
      <w:pPr>
        <w:pStyle w:val="SangriaFrancesaArticulo"/>
      </w:pPr>
      <w:bookmarkStart w:id="194" w:name="INDICE22872"/>
    </w:p>
    <w:bookmarkEnd w:id="194"/>
    <w:p w:rsidR="00C12216" w:rsidRDefault="00C12216" w:rsidP="00C12216">
      <w:pPr>
        <w:pStyle w:val="TextoIndiceNivel2"/>
        <w:suppressAutoHyphens/>
      </w:pPr>
      <w:r>
        <w:t>Ñ) Legislación extranjera</w:t>
      </w:r>
    </w:p>
    <w:p w:rsidR="00C12216" w:rsidRDefault="00C12216" w:rsidP="00C12216">
      <w:pPr>
        <w:pStyle w:val="TextoIndiceNivel2"/>
      </w:pPr>
    </w:p>
    <w:p w:rsidR="00C12216" w:rsidRDefault="00C12216" w:rsidP="00C12216">
      <w:pPr>
        <w:pStyle w:val="TextoNormalNegritaCursivandice"/>
      </w:pPr>
      <w:r>
        <w:t>Constitución italiana de 27 de diciembre de 1947</w:t>
      </w:r>
    </w:p>
    <w:p w:rsidR="00C12216" w:rsidRDefault="00C12216" w:rsidP="00C12216">
      <w:pPr>
        <w:pStyle w:val="SangriaFrancesaArticulo"/>
      </w:pPr>
      <w:r w:rsidRPr="00C12216">
        <w:rPr>
          <w:rStyle w:val="TextoNormalNegritaCaracter"/>
        </w:rPr>
        <w:t>Artículo 3.2.</w:t>
      </w:r>
      <w:r w:rsidRPr="00C12216">
        <w:rPr>
          <w:rStyle w:val="TextoNormalCaracter"/>
        </w:rPr>
        <w:t>-</w:t>
      </w:r>
      <w:r>
        <w:t xml:space="preserve"> Sentencia </w:t>
      </w:r>
      <w:hyperlink w:anchor="SENTENCIA_2008_12" w:history="1">
        <w:r w:rsidRPr="00C12216">
          <w:rPr>
            <w:rStyle w:val="TextoNormalCaracter"/>
          </w:rPr>
          <w:t>12/2008</w:t>
        </w:r>
      </w:hyperlink>
      <w:r>
        <w:t>, VP.</w:t>
      </w:r>
    </w:p>
    <w:p w:rsidR="00C12216" w:rsidRDefault="00C12216" w:rsidP="00C12216">
      <w:pPr>
        <w:pStyle w:val="SangriaFrancesaArticulo"/>
      </w:pPr>
    </w:p>
    <w:p w:rsidR="00C12216" w:rsidRDefault="00C12216" w:rsidP="00C12216">
      <w:pPr>
        <w:pStyle w:val="TextoNormalNegritaCursivandice"/>
      </w:pPr>
      <w:r>
        <w:t>Ley del Tribunal Constitucional Federal Alemán, de 12 de marzo de 1951</w:t>
      </w:r>
    </w:p>
    <w:p w:rsidR="00C12216" w:rsidRDefault="00C12216" w:rsidP="00C12216">
      <w:pPr>
        <w:pStyle w:val="SangriaFrancesaArticulo"/>
      </w:pPr>
      <w:r w:rsidRPr="00C12216">
        <w:rPr>
          <w:rStyle w:val="TextoNormalNegritaCaracter"/>
        </w:rPr>
        <w:t>Artículo 18.</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Artículo 19.</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pPr>
        <w:spacing w:after="160" w:line="259" w:lineRule="auto"/>
        <w:rPr>
          <w:rFonts w:ascii="Times New Roman" w:eastAsia="Times New Roman" w:hAnsi="Times New Roman" w:cs="Times New Roman"/>
          <w:sz w:val="24"/>
          <w:szCs w:val="24"/>
          <w:lang w:eastAsia="es-ES"/>
        </w:rPr>
      </w:pPr>
      <w:r>
        <w:br w:type="page"/>
      </w:r>
    </w:p>
    <w:p w:rsidR="00C12216" w:rsidRDefault="00C12216" w:rsidP="00C12216">
      <w:pPr>
        <w:pStyle w:val="SangriaFrancesaArticulo"/>
      </w:pPr>
    </w:p>
    <w:p w:rsidR="00C12216" w:rsidRDefault="00C12216" w:rsidP="00C12216">
      <w:pPr>
        <w:pStyle w:val="TextoNormal"/>
      </w:pPr>
    </w:p>
    <w:p w:rsidR="00C12216" w:rsidRDefault="00C12216" w:rsidP="00C12216">
      <w:pPr>
        <w:pStyle w:val="TextoNormal"/>
      </w:pPr>
    </w:p>
    <w:p w:rsidR="00C12216" w:rsidRDefault="00C12216" w:rsidP="00C12216">
      <w:pPr>
        <w:pStyle w:val="TextoNormal"/>
      </w:pPr>
    </w:p>
    <w:p w:rsidR="00E53A6E" w:rsidRDefault="00C12216" w:rsidP="00C12216">
      <w:pPr>
        <w:pStyle w:val="Ttulondice"/>
        <w:suppressAutoHyphens/>
      </w:pPr>
      <w:r>
        <w:t xml:space="preserve">5. ÍNDICE DE </w:t>
      </w:r>
      <w:r w:rsidR="00E53A6E" w:rsidRPr="00E53A6E">
        <w:t xml:space="preserve">RESOLUCIONES </w:t>
      </w:r>
    </w:p>
    <w:p w:rsidR="00C12216" w:rsidRDefault="00E53A6E" w:rsidP="00C12216">
      <w:pPr>
        <w:pStyle w:val="Ttulondice"/>
        <w:suppressAutoHyphens/>
      </w:pPr>
      <w:r w:rsidRPr="00E53A6E">
        <w:t>JUDICIALES DE OTROS TRIBUNALES</w:t>
      </w: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suppressAutoHyphens/>
      </w:pPr>
    </w:p>
    <w:p w:rsidR="00C12216" w:rsidRDefault="00C12216" w:rsidP="00C12216">
      <w:pPr>
        <w:pStyle w:val="TextoNormal"/>
      </w:pPr>
    </w:p>
    <w:p w:rsidR="00C12216" w:rsidRDefault="00C12216" w:rsidP="00C12216">
      <w:pPr>
        <w:pStyle w:val="TextoNormal"/>
      </w:pPr>
      <w:bookmarkStart w:id="195" w:name="INDICE22805"/>
      <w:bookmarkEnd w:id="195"/>
    </w:p>
    <w:p w:rsidR="00C12216" w:rsidRDefault="00C12216" w:rsidP="00C12216">
      <w:pPr>
        <w:pStyle w:val="TextoIndiceNivel2"/>
        <w:suppressAutoHyphens/>
      </w:pPr>
      <w:r>
        <w:t>A) Tribunal Europeo de Derechos Humanos</w:t>
      </w:r>
    </w:p>
    <w:p w:rsidR="00C12216" w:rsidRDefault="00C12216" w:rsidP="00C12216">
      <w:pPr>
        <w:pStyle w:val="TextoIndiceNivel2"/>
      </w:pPr>
    </w:p>
    <w:p w:rsidR="00C12216" w:rsidRDefault="00C12216" w:rsidP="00C12216">
      <w:pPr>
        <w:pStyle w:val="TextoNormalNegritaCursivandice"/>
      </w:pPr>
      <w:r>
        <w:t>Sentencia del Tribunal Europeo de Derechos Humanos de 25 de febrero de 1982 (Campbell y Cosans c. Reino Unido)</w:t>
      </w:r>
    </w:p>
    <w:p w:rsidR="00C12216" w:rsidRDefault="00C12216" w:rsidP="00C12216">
      <w:pPr>
        <w:pStyle w:val="SangriaFrancesaArticulo"/>
      </w:pPr>
      <w:r w:rsidRPr="00C12216">
        <w:rPr>
          <w:rStyle w:val="TextoNormalNegritaCaracter"/>
        </w:rPr>
        <w:t>§ 28.</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1 de octubre de 1982 (Piersack c. Bélgica)</w:t>
      </w:r>
    </w:p>
    <w:p w:rsidR="00C12216" w:rsidRDefault="00C12216" w:rsidP="00C12216">
      <w:pPr>
        <w:pStyle w:val="SangriaFrancesaArticulo"/>
      </w:pPr>
      <w:r w:rsidRPr="00C12216">
        <w:rPr>
          <w:rStyle w:val="TextoNormalNegritaCaracter"/>
        </w:rPr>
        <w:t>§ 30.</w:t>
      </w:r>
      <w:r w:rsidRPr="00C12216">
        <w:rPr>
          <w:rStyle w:val="TextoNormalCaracter"/>
        </w:rPr>
        <w:t>-</w:t>
      </w:r>
      <w:r>
        <w:t xml:space="preserve"> Autos </w:t>
      </w:r>
      <w:hyperlink w:anchor="AUTO_2008_25" w:history="1">
        <w:r w:rsidRPr="00C12216">
          <w:rPr>
            <w:rStyle w:val="TextoNormalCaracter"/>
          </w:rPr>
          <w:t>25/2008</w:t>
        </w:r>
      </w:hyperlink>
      <w:r>
        <w:t xml:space="preserve">; </w:t>
      </w:r>
      <w:hyperlink w:anchor="AUTO_2008_81" w:history="1">
        <w:r w:rsidRPr="00C12216">
          <w:rPr>
            <w:rStyle w:val="TextoNormalCaracter"/>
          </w:rPr>
          <w:t>81/2008</w:t>
        </w:r>
      </w:hyperlink>
      <w:r>
        <w:t>.</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26 de octubre de 1984 (De Cubber c. Bélgica)</w:t>
      </w:r>
    </w:p>
    <w:p w:rsidR="00C12216" w:rsidRDefault="00C12216" w:rsidP="00C12216">
      <w:pPr>
        <w:pStyle w:val="SangriaFrancesaArticulo"/>
      </w:pPr>
      <w:r w:rsidRPr="00C12216">
        <w:rPr>
          <w:rStyle w:val="TextoNormalNegritaCaracter"/>
        </w:rPr>
        <w:t>§ 24.</w:t>
      </w:r>
      <w:r w:rsidRPr="00C12216">
        <w:rPr>
          <w:rStyle w:val="TextoNormalCaracter"/>
        </w:rPr>
        <w:t>-</w:t>
      </w:r>
      <w:r>
        <w:t xml:space="preserve"> Auto </w:t>
      </w:r>
      <w:hyperlink w:anchor="AUTO_2008_25" w:history="1">
        <w:r w:rsidRPr="00C12216">
          <w:rPr>
            <w:rStyle w:val="TextoNormalCaracter"/>
          </w:rPr>
          <w:t>25/2008</w:t>
        </w:r>
      </w:hyperlink>
      <w:r>
        <w:t>.</w:t>
      </w:r>
    </w:p>
    <w:p w:rsidR="00C12216" w:rsidRDefault="00C12216" w:rsidP="00C12216">
      <w:pPr>
        <w:pStyle w:val="SangriaFrancesaArticulo"/>
      </w:pPr>
      <w:r w:rsidRPr="00C12216">
        <w:rPr>
          <w:rStyle w:val="TextoNormalNegritaCaracter"/>
        </w:rPr>
        <w:t>§ 26.</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26 de mayo de 1988 (Ekbatani c. Suecia)</w:t>
      </w:r>
    </w:p>
    <w:p w:rsidR="00C12216" w:rsidRDefault="00C12216" w:rsidP="00C12216">
      <w:pPr>
        <w:pStyle w:val="SangriaFrancesaArticulo"/>
      </w:pPr>
      <w:r w:rsidRPr="00C12216">
        <w:rPr>
          <w:rStyle w:val="TextoNormalNegritaCaracter"/>
        </w:rPr>
        <w:t>§ 31.</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24 de mayo de 1989 (Hauschildt c. Dinamarca)</w:t>
      </w:r>
    </w:p>
    <w:p w:rsidR="00C12216" w:rsidRDefault="00C12216" w:rsidP="00C12216">
      <w:pPr>
        <w:pStyle w:val="SangriaFrancesaArticulo"/>
      </w:pPr>
      <w:r w:rsidRPr="00C12216">
        <w:rPr>
          <w:rStyle w:val="TextoNormalNegritaCaracter"/>
        </w:rPr>
        <w:t>§ 47.</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r w:rsidRPr="00C12216">
        <w:rPr>
          <w:rStyle w:val="TextoNormalNegritaCaracter"/>
        </w:rPr>
        <w:t>§ 52.</w:t>
      </w:r>
      <w:r w:rsidRPr="00C12216">
        <w:rPr>
          <w:rStyle w:val="TextoNormalCaracter"/>
        </w:rPr>
        <w:t>-</w:t>
      </w:r>
      <w:r>
        <w:t xml:space="preserve"> Sentencia </w:t>
      </w:r>
      <w:hyperlink w:anchor="SENTENCIA_2008_36" w:history="1">
        <w:r w:rsidRPr="00C12216">
          <w:rPr>
            <w:rStyle w:val="TextoNormalCaracter"/>
          </w:rPr>
          <w:t>36/2008</w:t>
        </w:r>
      </w:hyperlink>
      <w:r>
        <w:t>, f. 2.</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7 de julio de 1989 (Soering c. Reino Unido)</w:t>
      </w:r>
    </w:p>
    <w:p w:rsidR="00C12216" w:rsidRDefault="00C12216" w:rsidP="00C12216">
      <w:pPr>
        <w:pStyle w:val="SangriaFrancesaArticulo"/>
      </w:pPr>
      <w:r w:rsidRPr="00C12216">
        <w:rPr>
          <w:rStyle w:val="TextoNormalNegritaCaracter"/>
        </w:rPr>
        <w:t>§ 88.</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29 de octubre de 1991 (Fejde c. Suecia)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36" w:history="1">
        <w:r w:rsidRPr="00C12216">
          <w:rPr>
            <w:rStyle w:val="TextoNormalCaracter"/>
          </w:rPr>
          <w:t>36/2008</w:t>
        </w:r>
      </w:hyperlink>
      <w:r>
        <w:t>, f. 5.</w:t>
      </w:r>
    </w:p>
    <w:p w:rsidR="00C12216" w:rsidRDefault="00C12216" w:rsidP="00C12216">
      <w:pPr>
        <w:pStyle w:val="SangriaFrancesaArticulo"/>
      </w:pPr>
      <w:r w:rsidRPr="00C12216">
        <w:rPr>
          <w:rStyle w:val="TextoNormalNegritaCaracter"/>
        </w:rPr>
        <w:t>§ 26.</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29 de octubre de 1991 (Jan-Ake Andersson c. Suecia)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36" w:history="1">
        <w:r w:rsidRPr="00C12216">
          <w:rPr>
            <w:rStyle w:val="TextoNormalCaracter"/>
          </w:rPr>
          <w:t>36/2008</w:t>
        </w:r>
      </w:hyperlink>
      <w:r>
        <w:t>, f. 5.</w:t>
      </w:r>
    </w:p>
    <w:p w:rsidR="00C12216" w:rsidRDefault="00C12216" w:rsidP="00C12216">
      <w:pPr>
        <w:pStyle w:val="SangriaFrancesaArticulo"/>
      </w:pPr>
      <w:r w:rsidRPr="00C12216">
        <w:rPr>
          <w:rStyle w:val="TextoNormalNegritaCaracter"/>
        </w:rPr>
        <w:t>§ 22.</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SangriaFrancesaArticulo"/>
      </w:pPr>
      <w:r w:rsidRPr="00C12216">
        <w:rPr>
          <w:rStyle w:val="TextoNormalNegritaCaracter"/>
        </w:rPr>
        <w:t>§ 27.</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23 de abril de 1992 (Castells c. España)</w:t>
      </w:r>
    </w:p>
    <w:p w:rsidR="00C12216" w:rsidRDefault="00C12216" w:rsidP="00C12216">
      <w:pPr>
        <w:pStyle w:val="SangriaFrancesaArticulo"/>
      </w:pPr>
      <w:r w:rsidRPr="00C12216">
        <w:rPr>
          <w:rStyle w:val="TextoNormalNegritaCaracter"/>
        </w:rPr>
        <w:t>§ 42.</w:t>
      </w:r>
      <w:r w:rsidRPr="00C12216">
        <w:rPr>
          <w:rStyle w:val="TextoNormalCaracter"/>
        </w:rPr>
        <w:t>-</w:t>
      </w:r>
      <w:r>
        <w:t xml:space="preserve"> Sentencia </w:t>
      </w:r>
      <w:hyperlink w:anchor="SENTENCIA_2008_56" w:history="1">
        <w:r w:rsidRPr="00C12216">
          <w:rPr>
            <w:rStyle w:val="TextoNormalCaracter"/>
          </w:rPr>
          <w:t>56/2008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27 de agosto de 1992 (Tomasi c. Francia)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34" w:history="1">
        <w:r w:rsidRPr="00C12216">
          <w:rPr>
            <w:rStyle w:val="TextoNormalCaracter"/>
          </w:rPr>
          <w:t>34/2008</w:t>
        </w:r>
      </w:hyperlink>
      <w:r>
        <w:t>, f. 7.</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25 de marzo de 1993 (Costello-Roberts c. Reino Unido)</w:t>
      </w:r>
    </w:p>
    <w:p w:rsidR="00C12216" w:rsidRDefault="00C12216" w:rsidP="00C12216">
      <w:pPr>
        <w:pStyle w:val="SangriaFrancesaArticulo"/>
      </w:pPr>
      <w:r w:rsidRPr="00C12216">
        <w:rPr>
          <w:rStyle w:val="TextoNormalNegritaCaracter"/>
        </w:rPr>
        <w:t>§ 30.</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4 de diciembre de 1995 (Ribitsch c. Austria)</w:t>
      </w:r>
    </w:p>
    <w:p w:rsidR="00C12216" w:rsidRDefault="00C12216" w:rsidP="00C12216">
      <w:pPr>
        <w:pStyle w:val="SangriaFrancesaArticulo"/>
      </w:pPr>
      <w:r w:rsidRPr="00C12216">
        <w:rPr>
          <w:rStyle w:val="TextoNormalNegritaCaracter"/>
        </w:rPr>
        <w:t>§ 34.</w:t>
      </w:r>
      <w:r w:rsidRPr="00C12216">
        <w:rPr>
          <w:rStyle w:val="TextoNormalCaracter"/>
        </w:rPr>
        <w:t>-</w:t>
      </w:r>
      <w:r>
        <w:t xml:space="preserve"> Sentencia </w:t>
      </w:r>
      <w:hyperlink w:anchor="SENTENCIA_2008_34" w:history="1">
        <w:r w:rsidRPr="00C12216">
          <w:rPr>
            <w:rStyle w:val="TextoNormalCaracter"/>
          </w:rPr>
          <w:t>34/2008</w:t>
        </w:r>
      </w:hyperlink>
      <w:r>
        <w:t>, f. 7.</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22 de octubre de 1996 (Stubbings y otros c. Reino Unido)</w:t>
      </w:r>
    </w:p>
    <w:p w:rsidR="00C12216" w:rsidRDefault="00C12216" w:rsidP="00C12216">
      <w:pPr>
        <w:pStyle w:val="SangriaFrancesaArticulo"/>
      </w:pPr>
      <w:r w:rsidRPr="00C12216">
        <w:rPr>
          <w:rStyle w:val="TextoNormalNegritaCaracter"/>
        </w:rPr>
        <w:t>§ 46.</w:t>
      </w:r>
      <w:r w:rsidRPr="00C12216">
        <w:rPr>
          <w:rStyle w:val="TextoNormalCaracter"/>
        </w:rPr>
        <w:t>-</w:t>
      </w:r>
      <w:r>
        <w:t xml:space="preserve"> Sentencia </w:t>
      </w:r>
      <w:hyperlink w:anchor="SENTENCIA_2008_29" w:history="1">
        <w:r w:rsidRPr="00C12216">
          <w:rPr>
            <w:rStyle w:val="TextoNormalCaracter"/>
          </w:rPr>
          <w:t>29/2008</w:t>
        </w:r>
      </w:hyperlink>
      <w:r>
        <w:t>, f. 7.</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29 de agosto de 1997 (Worm c. Austria)</w:t>
      </w:r>
    </w:p>
    <w:p w:rsidR="00C12216" w:rsidRDefault="00C12216" w:rsidP="00C12216">
      <w:pPr>
        <w:pStyle w:val="SangriaFrancesaArticulo"/>
      </w:pPr>
      <w:r w:rsidRPr="00C12216">
        <w:rPr>
          <w:rStyle w:val="TextoNormalNegritaCaracter"/>
        </w:rPr>
        <w:t>§ 40.</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28 de octubre de 1998 (Assenov y otros c. Bulgaria)</w:t>
      </w:r>
    </w:p>
    <w:p w:rsidR="00C12216" w:rsidRDefault="00C12216" w:rsidP="00C12216">
      <w:pPr>
        <w:pStyle w:val="SangriaFrancesaArticulo"/>
      </w:pPr>
      <w:r w:rsidRPr="00C12216">
        <w:rPr>
          <w:rStyle w:val="TextoNormalNegritaCaracter"/>
        </w:rPr>
        <w:t>§ 102.</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28 de octubre de 1998 (Castillo Algar c. España)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36" w:history="1">
        <w:r w:rsidRPr="00C12216">
          <w:rPr>
            <w:rStyle w:val="TextoNormalCaracter"/>
          </w:rPr>
          <w:t>36/2008</w:t>
        </w:r>
      </w:hyperlink>
      <w:r>
        <w:t>, f. 2.</w:t>
      </w:r>
    </w:p>
    <w:p w:rsidR="00C12216" w:rsidRDefault="00C12216" w:rsidP="00C12216">
      <w:pPr>
        <w:pStyle w:val="SangriaFrancesaArticulo"/>
      </w:pPr>
      <w:r w:rsidRPr="00C12216">
        <w:rPr>
          <w:rStyle w:val="TextoNormalNegritaCaracter"/>
        </w:rPr>
        <w:t>§ 45.</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p>
    <w:p w:rsidR="00C12216" w:rsidRDefault="00C12216" w:rsidP="00C12216">
      <w:pPr>
        <w:pStyle w:val="TextoNormalNegritaCursivandice"/>
      </w:pPr>
      <w:r>
        <w:lastRenderedPageBreak/>
        <w:t>Sentencia del Tribunal Europeo de Derechos Humanos de 28 de julio de 1999 (Selmouni c. Francia)</w:t>
      </w:r>
    </w:p>
    <w:p w:rsidR="00C12216" w:rsidRDefault="00C12216" w:rsidP="00C12216">
      <w:pPr>
        <w:pStyle w:val="SangriaFrancesaArticulo"/>
      </w:pPr>
      <w:r w:rsidRPr="00C12216">
        <w:rPr>
          <w:rStyle w:val="TextoNormalNegritaCaracter"/>
        </w:rPr>
        <w:t>§ 87.</w:t>
      </w:r>
      <w:r w:rsidRPr="00C12216">
        <w:rPr>
          <w:rStyle w:val="TextoNormalCaracter"/>
        </w:rPr>
        <w:t>-</w:t>
      </w:r>
      <w:r>
        <w:t xml:space="preserve"> Sentencia </w:t>
      </w:r>
      <w:hyperlink w:anchor="SENTENCIA_2008_34" w:history="1">
        <w:r w:rsidRPr="00C12216">
          <w:rPr>
            <w:rStyle w:val="TextoNormalCaracter"/>
          </w:rPr>
          <w:t>34/2008</w:t>
        </w:r>
      </w:hyperlink>
      <w:r>
        <w:t>, f. 7.</w:t>
      </w:r>
    </w:p>
    <w:p w:rsidR="00C12216" w:rsidRDefault="00C12216" w:rsidP="00C12216">
      <w:pPr>
        <w:pStyle w:val="SangriaFrancesaArticulo"/>
      </w:pPr>
      <w:r w:rsidRPr="00C12216">
        <w:rPr>
          <w:rStyle w:val="TextoNormalNegritaCaracter"/>
        </w:rPr>
        <w:t>§ 95.</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8 de febrero de 2000 (Cooke c. Austria)</w:t>
      </w:r>
    </w:p>
    <w:p w:rsidR="00C12216" w:rsidRDefault="00C12216" w:rsidP="00C12216">
      <w:pPr>
        <w:pStyle w:val="SangriaFrancesaArticulo"/>
      </w:pPr>
      <w:r w:rsidRPr="00C12216">
        <w:rPr>
          <w:rStyle w:val="TextoNormalNegritaCaracter"/>
        </w:rPr>
        <w:t>§ 35.</w:t>
      </w:r>
      <w:r w:rsidRPr="00C12216">
        <w:rPr>
          <w:rStyle w:val="TextoNormalCaracter"/>
        </w:rPr>
        <w:t>-</w:t>
      </w:r>
      <w:r>
        <w:t xml:space="preserve"> Sentencia </w:t>
      </w:r>
      <w:hyperlink w:anchor="SENTENCIA_2008_48" w:history="1">
        <w:r w:rsidRPr="00C12216">
          <w:rPr>
            <w:rStyle w:val="TextoNormalCaracter"/>
          </w:rPr>
          <w:t>48/2008</w:t>
        </w:r>
      </w:hyperlink>
      <w:r>
        <w:t>, f. 4.</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8 de febrero de 2000 (Stefanelli c. San Marino)</w:t>
      </w:r>
    </w:p>
    <w:p w:rsidR="00C12216" w:rsidRDefault="00C12216" w:rsidP="00C12216">
      <w:pPr>
        <w:pStyle w:val="SangriaFrancesaArticulo"/>
      </w:pPr>
      <w:r w:rsidRPr="00C12216">
        <w:rPr>
          <w:rStyle w:val="TextoNormalNegritaCaracter"/>
        </w:rPr>
        <w:t>§ 20.</w:t>
      </w:r>
      <w:r w:rsidRPr="00C12216">
        <w:rPr>
          <w:rStyle w:val="TextoNormalCaracter"/>
        </w:rPr>
        <w:t>-</w:t>
      </w:r>
      <w:r>
        <w:t xml:space="preserve"> Sentencia </w:t>
      </w:r>
      <w:hyperlink w:anchor="SENTENCIA_2008_48" w:history="1">
        <w:r w:rsidRPr="00C12216">
          <w:rPr>
            <w:rStyle w:val="TextoNormalCaracter"/>
          </w:rPr>
          <w:t>48/2008</w:t>
        </w:r>
      </w:hyperlink>
      <w:r>
        <w:t>, f. 4.</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29 de febrero de 2000 (Fuentes Bobo c. España)</w:t>
      </w:r>
    </w:p>
    <w:p w:rsidR="00C12216" w:rsidRDefault="00C12216" w:rsidP="00C12216">
      <w:pPr>
        <w:pStyle w:val="SangriaFrancesaArticulo"/>
      </w:pPr>
      <w:r w:rsidRPr="00C12216">
        <w:rPr>
          <w:rStyle w:val="TextoNormalNegritaCaracter"/>
        </w:rPr>
        <w:t>§ 43.</w:t>
      </w:r>
      <w:r w:rsidRPr="00C12216">
        <w:rPr>
          <w:rStyle w:val="TextoNormalCaracter"/>
        </w:rPr>
        <w:t>-</w:t>
      </w:r>
      <w:r>
        <w:t xml:space="preserve"> Sentencia </w:t>
      </w:r>
      <w:hyperlink w:anchor="SENTENCIA_2008_56" w:history="1">
        <w:r w:rsidRPr="00C12216">
          <w:rPr>
            <w:rStyle w:val="TextoNormalCaracter"/>
          </w:rPr>
          <w:t>56/2008</w:t>
        </w:r>
      </w:hyperlink>
      <w:r>
        <w:t>, f. 5.</w:t>
      </w:r>
    </w:p>
    <w:p w:rsidR="00C12216" w:rsidRDefault="00C12216" w:rsidP="00C12216">
      <w:pPr>
        <w:pStyle w:val="SangriaFrancesaArticulo"/>
      </w:pPr>
    </w:p>
    <w:p w:rsidR="00C12216" w:rsidRDefault="00C12216" w:rsidP="00C12216">
      <w:pPr>
        <w:pStyle w:val="TextoNormalNegritaCursivandice"/>
      </w:pPr>
      <w:r>
        <w:t>Auto del Tribunal Europeo de Derechos Humanos de 2 de marzo de 2000 (Garrido Guerrero c. España)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36" w:history="1">
        <w:r w:rsidRPr="00C12216">
          <w:rPr>
            <w:rStyle w:val="TextoNormalCaracter"/>
          </w:rPr>
          <w:t>36/2008</w:t>
        </w:r>
      </w:hyperlink>
      <w:r>
        <w:t>, f. 2.</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11 de abril de 2000 (Sevtap Veznedaroglu c. Turquía)</w:t>
      </w:r>
    </w:p>
    <w:p w:rsidR="00C12216" w:rsidRDefault="00C12216" w:rsidP="00C12216">
      <w:pPr>
        <w:pStyle w:val="SangriaFrancesaArticulo"/>
      </w:pPr>
      <w:r w:rsidRPr="00C12216">
        <w:rPr>
          <w:rStyle w:val="TextoNormalNegritaCaracter"/>
        </w:rPr>
        <w:t>§ 28.</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r w:rsidRPr="00C12216">
        <w:rPr>
          <w:rStyle w:val="TextoNormalNegritaCaracter"/>
        </w:rPr>
        <w:t>§ 32.</w:t>
      </w:r>
      <w:r w:rsidRPr="00C12216">
        <w:rPr>
          <w:rStyle w:val="TextoNormalCaracter"/>
        </w:rPr>
        <w:t>-</w:t>
      </w:r>
      <w:r>
        <w:t xml:space="preserve"> Sentencia </w:t>
      </w:r>
      <w:hyperlink w:anchor="SENTENCIA_2008_34" w:history="1">
        <w:r w:rsidRPr="00C12216">
          <w:rPr>
            <w:rStyle w:val="TextoNormalCaracter"/>
          </w:rPr>
          <w:t>34/2008</w:t>
        </w:r>
      </w:hyperlink>
      <w:r>
        <w:t>, ff. 5 a 7.</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22 de junio de 2000 (Coëme y otros c. Bélgica)</w:t>
      </w:r>
    </w:p>
    <w:p w:rsidR="00C12216" w:rsidRDefault="00C12216" w:rsidP="00C12216">
      <w:pPr>
        <w:pStyle w:val="SangriaFrancesaArticulo"/>
      </w:pPr>
      <w:r w:rsidRPr="00C12216">
        <w:rPr>
          <w:rStyle w:val="TextoNormalNegritaCaracter"/>
        </w:rPr>
        <w:t>§ 146.</w:t>
      </w:r>
      <w:r w:rsidRPr="00C12216">
        <w:rPr>
          <w:rStyle w:val="TextoNormalCaracter"/>
        </w:rPr>
        <w:t>-</w:t>
      </w:r>
      <w:r>
        <w:t xml:space="preserve"> Sentencia </w:t>
      </w:r>
      <w:hyperlink w:anchor="SENTENCIA_2008_29" w:history="1">
        <w:r w:rsidRPr="00C12216">
          <w:rPr>
            <w:rStyle w:val="TextoNormalCaracter"/>
          </w:rPr>
          <w:t>29/2008</w:t>
        </w:r>
      </w:hyperlink>
      <w:r>
        <w:t>, f. 7.</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27 de junio de 2000 (Constantinescu c. Rumania)</w:t>
      </w:r>
    </w:p>
    <w:p w:rsidR="00C12216" w:rsidRDefault="00C12216" w:rsidP="00C12216">
      <w:pPr>
        <w:pStyle w:val="SangriaFrancesaArticulo"/>
      </w:pPr>
      <w:r w:rsidRPr="00C12216">
        <w:rPr>
          <w:rStyle w:val="TextoNormalNegritaCaracter"/>
        </w:rPr>
        <w:t>§ 53.</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25 de julio de 2000 (Tierce y otros c. San Marino)</w:t>
      </w:r>
    </w:p>
    <w:p w:rsidR="00C12216" w:rsidRDefault="00C12216" w:rsidP="00C12216">
      <w:pPr>
        <w:pStyle w:val="SangriaFrancesaArticulo"/>
      </w:pPr>
      <w:r w:rsidRPr="00C12216">
        <w:rPr>
          <w:rStyle w:val="TextoNormalNegritaCaracter"/>
        </w:rPr>
        <w:t>§ 101.</w:t>
      </w:r>
      <w:r w:rsidRPr="00C12216">
        <w:rPr>
          <w:rStyle w:val="TextoNormalCaracter"/>
        </w:rPr>
        <w:t>-</w:t>
      </w:r>
      <w:r>
        <w:t xml:space="preserve"> Sentencia </w:t>
      </w:r>
      <w:hyperlink w:anchor="SENTENCIA_2008_36" w:history="1">
        <w:r w:rsidRPr="00C12216">
          <w:rPr>
            <w:rStyle w:val="TextoNormalCaracter"/>
          </w:rPr>
          <w:t>36/2008</w:t>
        </w:r>
      </w:hyperlink>
      <w:r>
        <w:t>, f. 6.</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13 de febrero de 2001 (Krombach c. Francia)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Sentencias </w:t>
      </w:r>
      <w:hyperlink w:anchor="SENTENCIA_2008_29" w:history="1">
        <w:r w:rsidRPr="00C12216">
          <w:rPr>
            <w:rStyle w:val="TextoNormalCaracter"/>
          </w:rPr>
          <w:t>29/2008</w:t>
        </w:r>
      </w:hyperlink>
      <w:r>
        <w:t xml:space="preserve">, f. 3; </w:t>
      </w:r>
      <w:hyperlink w:anchor="SENTENCIA_2008_48" w:history="1">
        <w:r w:rsidRPr="00C12216">
          <w:rPr>
            <w:rStyle w:val="TextoNormalCaracter"/>
          </w:rPr>
          <w:t>48/2008</w:t>
        </w:r>
      </w:hyperlink>
      <w:r>
        <w:t>, f. 2.</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26 de julio de 2002 (Meftah y otros c. Francia)</w:t>
      </w:r>
    </w:p>
    <w:p w:rsidR="00C12216" w:rsidRDefault="00C12216" w:rsidP="00C12216">
      <w:pPr>
        <w:pStyle w:val="SangriaFrancesaArticulo"/>
      </w:pPr>
      <w:r w:rsidRPr="00C12216">
        <w:rPr>
          <w:rStyle w:val="TextoNormalNegritaCaracter"/>
        </w:rPr>
        <w:t>§ 41.</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SangriaFrancesaArticulo"/>
      </w:pPr>
    </w:p>
    <w:p w:rsidR="00C12216" w:rsidRDefault="00C12216" w:rsidP="00C12216">
      <w:pPr>
        <w:pStyle w:val="TextoNormalNegritaCursivandice"/>
      </w:pPr>
      <w:r>
        <w:lastRenderedPageBreak/>
        <w:t>Sentencia del Tribunal Europeo de Derechos Humanos de 5 de diciembre de 2002 (Hoppe c. Alemania)</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Sentencia </w:t>
      </w:r>
      <w:hyperlink w:anchor="SENTENCIA_2008_36" w:history="1">
        <w:r w:rsidRPr="00C12216">
          <w:rPr>
            <w:rStyle w:val="TextoNormalCaracter"/>
          </w:rPr>
          <w:t>36/2008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17 de junio de 2003 (Pescador Valero c. España)</w:t>
      </w:r>
    </w:p>
    <w:p w:rsidR="00C12216" w:rsidRDefault="00C12216" w:rsidP="00C12216">
      <w:pPr>
        <w:pStyle w:val="SangriaFrancesaArticulo"/>
      </w:pPr>
      <w:r w:rsidRPr="00C12216">
        <w:rPr>
          <w:rStyle w:val="TextoNormalNegritaCaracter"/>
        </w:rPr>
        <w:t>§ 23.</w:t>
      </w:r>
      <w:r w:rsidRPr="00C12216">
        <w:rPr>
          <w:rStyle w:val="TextoNormalCaracter"/>
        </w:rPr>
        <w:t>-</w:t>
      </w:r>
      <w:r>
        <w:t xml:space="preserve"> Auto </w:t>
      </w:r>
      <w:hyperlink w:anchor="AUTO_2008_81" w:history="1">
        <w:r w:rsidRPr="00C12216">
          <w:rPr>
            <w:rStyle w:val="TextoNormalCaracter"/>
          </w:rPr>
          <w:t>81/2008</w:t>
        </w:r>
      </w:hyperlink>
      <w:r>
        <w:t>.</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15 de julio de 2003 (Arnarsson c. Islandia)</w:t>
      </w:r>
    </w:p>
    <w:p w:rsidR="00C12216" w:rsidRDefault="00C12216" w:rsidP="00C12216">
      <w:pPr>
        <w:pStyle w:val="SangriaFrancesaArticulo"/>
      </w:pPr>
      <w:r w:rsidRPr="00C12216">
        <w:rPr>
          <w:rStyle w:val="TextoNormalNegritaCaracter"/>
        </w:rPr>
        <w:t>§ 32.</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16 de diciembre de 2003 (Kmetty c. Hungría)</w:t>
      </w:r>
    </w:p>
    <w:p w:rsidR="00C12216" w:rsidRDefault="00C12216" w:rsidP="00C12216">
      <w:pPr>
        <w:pStyle w:val="SangriaFrancesaArticulo"/>
      </w:pPr>
      <w:r w:rsidRPr="00C12216">
        <w:rPr>
          <w:rStyle w:val="TextoNormalNegritaCaracter"/>
        </w:rPr>
        <w:t>§ 32.</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r w:rsidRPr="00C12216">
        <w:rPr>
          <w:rStyle w:val="TextoNormalNegritaCaracter"/>
        </w:rPr>
        <w:t>§ 37.</w:t>
      </w:r>
      <w:r w:rsidRPr="00C12216">
        <w:rPr>
          <w:rStyle w:val="TextoNormalCaracter"/>
        </w:rPr>
        <w:t>-</w:t>
      </w:r>
      <w:r>
        <w:t xml:space="preserve"> Sentencias </w:t>
      </w:r>
      <w:hyperlink w:anchor="SENTENCIA_2008_34" w:history="1">
        <w:r w:rsidRPr="00C12216">
          <w:rPr>
            <w:rStyle w:val="TextoNormalCaracter"/>
          </w:rPr>
          <w:t>34/2008</w:t>
        </w:r>
      </w:hyperlink>
      <w:r>
        <w:t xml:space="preserve">, f. 7; </w:t>
      </w:r>
      <w:hyperlink w:anchor="SENTENCIA_2008_52" w:history="1">
        <w:r w:rsidRPr="00C12216">
          <w:rPr>
            <w:rStyle w:val="TextoNormalCaracter"/>
          </w:rPr>
          <w:t>52/2008</w:t>
        </w:r>
      </w:hyperlink>
      <w:r>
        <w:t>, f. 2.</w:t>
      </w:r>
    </w:p>
    <w:p w:rsidR="00C12216" w:rsidRDefault="00C12216" w:rsidP="00C12216">
      <w:pPr>
        <w:pStyle w:val="SangriaFrancesaArticulo"/>
      </w:pPr>
      <w:r w:rsidRPr="00C12216">
        <w:rPr>
          <w:rStyle w:val="TextoNormalNegritaCaracter"/>
        </w:rPr>
        <w:t>§ 38.</w:t>
      </w:r>
      <w:r w:rsidRPr="00C12216">
        <w:rPr>
          <w:rStyle w:val="TextoNormalCaracter"/>
        </w:rPr>
        <w:t>-</w:t>
      </w:r>
      <w:r>
        <w:t xml:space="preserve"> Sentencia </w:t>
      </w:r>
      <w:hyperlink w:anchor="SENTENCIA_2008_34" w:history="1">
        <w:r w:rsidRPr="00C12216">
          <w:rPr>
            <w:rStyle w:val="TextoNormalCaracter"/>
          </w:rPr>
          <w:t>34/2008</w:t>
        </w:r>
      </w:hyperlink>
      <w:r>
        <w:t>, ff. 5, 6.</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18 de mayo de 2004 (Destrehem c. Francia)</w:t>
      </w:r>
    </w:p>
    <w:p w:rsidR="00C12216" w:rsidRDefault="00C12216" w:rsidP="00C12216">
      <w:pPr>
        <w:pStyle w:val="SangriaFrancesaArticulo"/>
      </w:pPr>
      <w:r w:rsidRPr="00C12216">
        <w:rPr>
          <w:rStyle w:val="TextoNormalNegritaCaracter"/>
        </w:rPr>
        <w:t>§ 43.</w:t>
      </w:r>
      <w:r w:rsidRPr="00C12216">
        <w:rPr>
          <w:rStyle w:val="TextoNormalCaracter"/>
        </w:rPr>
        <w:t>-</w:t>
      </w:r>
      <w:r>
        <w:t xml:space="preserve"> Sentencia </w:t>
      </w:r>
      <w:hyperlink w:anchor="SENTENCIA_2008_48" w:history="1">
        <w:r w:rsidRPr="00C12216">
          <w:rPr>
            <w:rStyle w:val="TextoNormalCaracter"/>
          </w:rPr>
          <w:t>48/2008</w:t>
        </w:r>
      </w:hyperlink>
      <w:r>
        <w:t>, f. 4.</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6 de julio de 2004 (Dondarini c. San Marino)</w:t>
      </w:r>
    </w:p>
    <w:p w:rsidR="00C12216" w:rsidRDefault="00C12216" w:rsidP="00C12216">
      <w:pPr>
        <w:pStyle w:val="SangriaFrancesaArticulo"/>
      </w:pPr>
      <w:r w:rsidRPr="00C12216">
        <w:rPr>
          <w:rStyle w:val="TextoNormalNegritaCaracter"/>
        </w:rPr>
        <w:t>§ 27.</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2 de noviembre de 2004 (Martínez Sala y otros c. España)</w:t>
      </w:r>
    </w:p>
    <w:p w:rsidR="00C12216" w:rsidRDefault="00C12216" w:rsidP="00C12216">
      <w:pPr>
        <w:pStyle w:val="SangriaFrancesaArticulo"/>
      </w:pPr>
      <w:r w:rsidRPr="00C12216">
        <w:rPr>
          <w:rStyle w:val="TextoNormalNegritaCaracter"/>
        </w:rPr>
        <w:t>§ 120.</w:t>
      </w:r>
      <w:r w:rsidRPr="00C12216">
        <w:rPr>
          <w:rStyle w:val="TextoNormalCaracter"/>
        </w:rPr>
        <w:t>-</w:t>
      </w:r>
      <w:r>
        <w:t xml:space="preserve"> Sentencia </w:t>
      </w:r>
      <w:hyperlink w:anchor="SENTENCIA_2008_34" w:history="1">
        <w:r w:rsidRPr="00C12216">
          <w:rPr>
            <w:rStyle w:val="TextoNormalCaracter"/>
          </w:rPr>
          <w:t>34/2008</w:t>
        </w:r>
      </w:hyperlink>
      <w:r>
        <w:t>, f. 5.</w:t>
      </w:r>
    </w:p>
    <w:p w:rsidR="00C12216" w:rsidRDefault="00C12216" w:rsidP="00C12216">
      <w:pPr>
        <w:pStyle w:val="SangriaFrancesaArticulo"/>
      </w:pPr>
      <w:r w:rsidRPr="00C12216">
        <w:rPr>
          <w:rStyle w:val="TextoNormalNegritaCaracter"/>
        </w:rPr>
        <w:t>§ 156.</w:t>
      </w:r>
      <w:r w:rsidRPr="00C12216">
        <w:rPr>
          <w:rStyle w:val="TextoNormalCaracter"/>
        </w:rPr>
        <w:t>-</w:t>
      </w:r>
      <w:r>
        <w:t xml:space="preserve"> Sentencias </w:t>
      </w:r>
      <w:hyperlink w:anchor="SENTENCIA_2008_34" w:history="1">
        <w:r w:rsidRPr="00C12216">
          <w:rPr>
            <w:rStyle w:val="TextoNormalCaracter"/>
          </w:rPr>
          <w:t>34/2008</w:t>
        </w:r>
      </w:hyperlink>
      <w:r>
        <w:t xml:space="preserve">, ff. 6, 7; </w:t>
      </w:r>
      <w:hyperlink w:anchor="SENTENCIA_2008_52" w:history="1">
        <w:r w:rsidRPr="00C12216">
          <w:rPr>
            <w:rStyle w:val="TextoNormalCaracter"/>
          </w:rPr>
          <w:t>52/2008</w:t>
        </w:r>
      </w:hyperlink>
      <w:r>
        <w:t>, f. 2.</w:t>
      </w:r>
    </w:p>
    <w:p w:rsidR="00C12216" w:rsidRDefault="00C12216" w:rsidP="00C12216">
      <w:pPr>
        <w:pStyle w:val="SangriaFrancesaArticulo"/>
      </w:pPr>
    </w:p>
    <w:p w:rsidR="00C12216" w:rsidRDefault="00C12216" w:rsidP="00C12216">
      <w:pPr>
        <w:pStyle w:val="TextoNormalNegritaCursivandice"/>
      </w:pPr>
      <w:r>
        <w:t>Sentencia del Tribunal Europeo de Derechos Humanos de 18 de octubre de 2006 (Hermi c. Italia)</w:t>
      </w:r>
    </w:p>
    <w:p w:rsidR="00C12216" w:rsidRDefault="00C12216" w:rsidP="00C12216">
      <w:pPr>
        <w:pStyle w:val="SangriaFrancesaArticulo"/>
      </w:pPr>
      <w:r w:rsidRPr="00C12216">
        <w:rPr>
          <w:rStyle w:val="TextoNormalNegritaCaracter"/>
        </w:rPr>
        <w:t>§ 61.</w:t>
      </w:r>
      <w:r w:rsidRPr="00C12216">
        <w:rPr>
          <w:rStyle w:val="TextoNormalCaracter"/>
        </w:rPr>
        <w:t>-</w:t>
      </w:r>
      <w:r>
        <w:t xml:space="preserve"> Sentencia </w:t>
      </w:r>
      <w:hyperlink w:anchor="SENTENCIA_2008_48" w:history="1">
        <w:r w:rsidRPr="00C12216">
          <w:rPr>
            <w:rStyle w:val="TextoNormalCaracter"/>
          </w:rPr>
          <w:t>48/2008</w:t>
        </w:r>
      </w:hyperlink>
      <w:r>
        <w:t>, f. 5.</w:t>
      </w:r>
    </w:p>
    <w:p w:rsidR="00C12216" w:rsidRDefault="00C12216" w:rsidP="00C12216">
      <w:pPr>
        <w:pStyle w:val="TextoNormal"/>
      </w:pPr>
    </w:p>
    <w:p w:rsidR="00C12216" w:rsidRDefault="00C12216" w:rsidP="00C12216">
      <w:pPr>
        <w:pStyle w:val="SangriaFrancesaArticulo"/>
      </w:pPr>
      <w:bookmarkStart w:id="196" w:name="INDICE22924"/>
    </w:p>
    <w:bookmarkEnd w:id="196"/>
    <w:p w:rsidR="00C12216" w:rsidRDefault="00C12216" w:rsidP="00C12216">
      <w:pPr>
        <w:pStyle w:val="TextoIndiceNivel2"/>
        <w:suppressAutoHyphens/>
      </w:pPr>
      <w:r>
        <w:t>B) Tribunales de Justicia de las Comunidades Europeas y de la Unión Europea</w:t>
      </w:r>
    </w:p>
    <w:p w:rsidR="00C12216" w:rsidRDefault="00C12216" w:rsidP="00C12216">
      <w:pPr>
        <w:pStyle w:val="TextoIndiceNivel2"/>
      </w:pPr>
    </w:p>
    <w:p w:rsidR="00C12216" w:rsidRDefault="00C12216" w:rsidP="00C12216">
      <w:pPr>
        <w:pStyle w:val="TextoNormalNegritaCursivandice"/>
      </w:pPr>
      <w:r>
        <w:t>Sentencia del Tribunal de Justicia de las Comunidades Europeas de 24 de noviembre de 1993 (Armand Mondiet SA c. Armement Islais SARL, asunto C-405/92)</w:t>
      </w:r>
    </w:p>
    <w:p w:rsidR="00C12216" w:rsidRDefault="00C12216" w:rsidP="00C12216">
      <w:pPr>
        <w:pStyle w:val="SangriaFrancesaArticulo"/>
      </w:pPr>
      <w:r w:rsidRPr="00C12216">
        <w:rPr>
          <w:rStyle w:val="TextoNormalNegritaCaracter"/>
        </w:rPr>
        <w:t>En general.</w:t>
      </w:r>
      <w:r w:rsidRPr="00C12216">
        <w:rPr>
          <w:rStyle w:val="TextoNormalCaracter"/>
        </w:rPr>
        <w:t>-</w:t>
      </w:r>
      <w:r>
        <w:t xml:space="preserve"> Auto </w:t>
      </w:r>
      <w:hyperlink w:anchor="AUTO_2008_88" w:history="1">
        <w:r w:rsidRPr="00C12216">
          <w:rPr>
            <w:rStyle w:val="TextoNormalCaracter"/>
          </w:rPr>
          <w:t>88/2008</w:t>
        </w:r>
      </w:hyperlink>
      <w:r>
        <w:t>.</w:t>
      </w:r>
    </w:p>
    <w:p w:rsidR="00C12216" w:rsidRDefault="00C12216" w:rsidP="00C12216">
      <w:pPr>
        <w:pStyle w:val="TextoNormal"/>
      </w:pPr>
    </w:p>
    <w:p w:rsidR="00C12216" w:rsidRDefault="00C12216" w:rsidP="00C12216">
      <w:pPr>
        <w:pStyle w:val="SangriaFrancesaArticulo"/>
      </w:pPr>
      <w:bookmarkStart w:id="197" w:name="INDICE22925"/>
    </w:p>
    <w:bookmarkEnd w:id="197"/>
    <w:p w:rsidR="00C12216" w:rsidRDefault="00C12216" w:rsidP="00C12216">
      <w:pPr>
        <w:pStyle w:val="TextoIndiceNivel2"/>
        <w:suppressAutoHyphens/>
      </w:pPr>
      <w:r>
        <w:lastRenderedPageBreak/>
        <w:t>C) Tribunal Supremo</w:t>
      </w:r>
    </w:p>
    <w:p w:rsidR="00C12216" w:rsidRDefault="00C12216" w:rsidP="00C12216">
      <w:pPr>
        <w:pStyle w:val="TextoIndiceNivel2"/>
      </w:pPr>
    </w:p>
    <w:p w:rsidR="00C12216" w:rsidRDefault="00C12216" w:rsidP="00C12216">
      <w:pPr>
        <w:pStyle w:val="TextoNormalNegritaCursivandice"/>
      </w:pPr>
      <w:r>
        <w:t>Sentencia de la Sala de lo Penal del Tribunal Supremo de 14 de marzo de 2003 (recurso de casación núm. 1586-2001)</w:t>
      </w:r>
    </w:p>
    <w:p w:rsidR="00C12216" w:rsidRDefault="00C12216" w:rsidP="00C12216">
      <w:pPr>
        <w:pStyle w:val="SangriaFrancesaArticulo"/>
      </w:pPr>
      <w:r>
        <w:t xml:space="preserve">Sentencia </w:t>
      </w:r>
      <w:hyperlink w:anchor="SENTENCIA_2008_29" w:history="1">
        <w:r w:rsidRPr="00C12216">
          <w:rPr>
            <w:rStyle w:val="TextoNormalCaracter"/>
          </w:rPr>
          <w:t>29/2008</w:t>
        </w:r>
      </w:hyperlink>
      <w:r>
        <w:t xml:space="preserve"> (anula).</w:t>
      </w:r>
    </w:p>
    <w:p w:rsidR="00C12216" w:rsidRDefault="00C12216" w:rsidP="00C12216">
      <w:pPr>
        <w:pStyle w:val="SangriaFrancesaArticulo"/>
      </w:pPr>
    </w:p>
    <w:p w:rsidR="00C12216" w:rsidRDefault="00C12216" w:rsidP="00C12216">
      <w:pPr>
        <w:pStyle w:val="TextoNormalNegritaCursivandice"/>
      </w:pPr>
      <w:r>
        <w:t>Sentencia de la Sala de lo Contencioso-Administrativo del Tribunal Supremo de 14 de septiembre de 2004 (recurso de casación núm. 7250-1999)</w:t>
      </w:r>
    </w:p>
    <w:p w:rsidR="00C12216" w:rsidRDefault="00C12216" w:rsidP="00C12216">
      <w:pPr>
        <w:pStyle w:val="SangriaFrancesaArticulo"/>
      </w:pPr>
      <w:r>
        <w:t xml:space="preserve">Sentencia </w:t>
      </w:r>
      <w:hyperlink w:anchor="SENTENCIA_2008_25" w:history="1">
        <w:r w:rsidRPr="00C12216">
          <w:rPr>
            <w:rStyle w:val="TextoNormalCaracter"/>
          </w:rPr>
          <w:t>25/2008</w:t>
        </w:r>
      </w:hyperlink>
      <w:r>
        <w:t xml:space="preserve"> (anula).</w:t>
      </w:r>
    </w:p>
    <w:p w:rsidR="00C12216" w:rsidRDefault="00C12216" w:rsidP="00C12216">
      <w:pPr>
        <w:pStyle w:val="SangriaFrancesaArticulo"/>
      </w:pPr>
    </w:p>
    <w:p w:rsidR="00C12216" w:rsidRDefault="00C12216" w:rsidP="00C12216">
      <w:pPr>
        <w:pStyle w:val="TextoNormalNegritaCursivandice"/>
      </w:pPr>
      <w:r>
        <w:t>Sentencia de la Sala de lo Penal del Tribunal Supremo de 2 de marzo de 2006 (recurso de casación núm. 2254-2004)</w:t>
      </w:r>
    </w:p>
    <w:p w:rsidR="00C12216" w:rsidRDefault="00C12216" w:rsidP="00C12216">
      <w:pPr>
        <w:pStyle w:val="SangriaFrancesaArticulo"/>
      </w:pPr>
      <w:r>
        <w:t xml:space="preserve">Sentencia </w:t>
      </w:r>
      <w:hyperlink w:anchor="SENTENCIA_2008_21" w:history="1">
        <w:r w:rsidRPr="00C12216">
          <w:rPr>
            <w:rStyle w:val="TextoNormalCaracter"/>
          </w:rPr>
          <w:t>21/2008</w:t>
        </w:r>
      </w:hyperlink>
      <w:r>
        <w:t xml:space="preserve"> (anula).</w:t>
      </w:r>
    </w:p>
    <w:p w:rsidR="00C12216" w:rsidRDefault="00C12216">
      <w:pPr>
        <w:spacing w:after="160" w:line="259" w:lineRule="auto"/>
        <w:rPr>
          <w:rFonts w:ascii="Times New Roman" w:eastAsia="Times New Roman" w:hAnsi="Times New Roman" w:cs="Times New Roman"/>
          <w:sz w:val="24"/>
          <w:szCs w:val="24"/>
          <w:lang w:eastAsia="es-ES"/>
        </w:rPr>
      </w:pPr>
      <w:r>
        <w:br w:type="page"/>
      </w:r>
    </w:p>
    <w:p w:rsidR="00C12216" w:rsidRDefault="00C12216" w:rsidP="00C12216">
      <w:pPr>
        <w:pStyle w:val="SangriaFrancesaArticulo"/>
      </w:pPr>
      <w:bookmarkStart w:id="198" w:name="DESCRIPTOR1"/>
      <w:bookmarkStart w:id="199" w:name="DESCRIPTOR2"/>
      <w:bookmarkStart w:id="200" w:name="DESCRIPTOR3"/>
      <w:bookmarkStart w:id="201" w:name="DESCRIPTOR4"/>
      <w:bookmarkStart w:id="202" w:name="DESCRIPTOR5"/>
      <w:bookmarkStart w:id="203" w:name="DESCRIPTOR6"/>
      <w:bookmarkStart w:id="204" w:name="DESCRIPTOR7"/>
      <w:bookmarkStart w:id="205" w:name="DESCRIPTOR8"/>
      <w:bookmarkStart w:id="206" w:name="DESCRIPTOR9"/>
      <w:bookmarkStart w:id="207" w:name="DESCRIPTOR10"/>
      <w:bookmarkStart w:id="208" w:name="DESCRIPTOR11"/>
      <w:bookmarkStart w:id="209" w:name="DESCRIPTOR12"/>
      <w:bookmarkStart w:id="210" w:name="DESCRIPTOR13"/>
      <w:bookmarkStart w:id="211" w:name="DESCRIPTOR14"/>
      <w:bookmarkStart w:id="212" w:name="DESCRIPTOR15"/>
      <w:bookmarkStart w:id="213" w:name="DESCRIPTOR16"/>
      <w:bookmarkStart w:id="214" w:name="DESCRIPTOR17"/>
      <w:bookmarkStart w:id="215" w:name="DESCRIPTOR18"/>
      <w:bookmarkStart w:id="216" w:name="DESCRIPTOR19"/>
      <w:bookmarkStart w:id="217" w:name="DESCRIPTOR20"/>
      <w:bookmarkStart w:id="218" w:name="DESCRIPTOR21"/>
      <w:bookmarkStart w:id="219" w:name="DESCRIPTOR22"/>
      <w:bookmarkStart w:id="220" w:name="DESCRIPTOR23"/>
      <w:bookmarkStart w:id="221" w:name="DESCRIPTOR24"/>
      <w:bookmarkStart w:id="222" w:name="DESCRIPTOR25"/>
      <w:bookmarkStart w:id="223" w:name="DESCRIPTOR26"/>
      <w:bookmarkStart w:id="224" w:name="DESCRIPTOR27"/>
      <w:bookmarkStart w:id="225" w:name="DESCRIPTOR28"/>
      <w:bookmarkStart w:id="226" w:name="DESCRIPTOR29"/>
      <w:bookmarkStart w:id="227" w:name="DESCRIPTOR30"/>
      <w:bookmarkStart w:id="228" w:name="DESCRIPTOR31"/>
      <w:bookmarkStart w:id="229" w:name="DESCRIPTOR32"/>
      <w:bookmarkStart w:id="230" w:name="DESCRIPTOR33"/>
      <w:bookmarkStart w:id="231" w:name="DESCRIPTOR34"/>
      <w:bookmarkStart w:id="232" w:name="DESCRIPTOR35"/>
      <w:bookmarkStart w:id="233" w:name="DESCRIPTOR36"/>
      <w:bookmarkStart w:id="234" w:name="DESCRIPTOR37"/>
      <w:bookmarkStart w:id="235" w:name="DESCRIPTOR38"/>
      <w:bookmarkStart w:id="236" w:name="DESCRIPTOR39"/>
      <w:bookmarkStart w:id="237" w:name="DESCRIPTOR40"/>
      <w:bookmarkStart w:id="238" w:name="DESCRIPTOR41"/>
      <w:bookmarkStart w:id="239" w:name="DESCRIPTOR42"/>
      <w:bookmarkStart w:id="240" w:name="DESCRIPTOR43"/>
      <w:bookmarkStart w:id="241" w:name="DESCRIPTOR44"/>
      <w:bookmarkStart w:id="242" w:name="DESCRIPTOR45"/>
      <w:bookmarkStart w:id="243" w:name="DESCRIPTOR46"/>
      <w:bookmarkStart w:id="244" w:name="DESCRIPTOR47"/>
      <w:bookmarkStart w:id="245" w:name="DESCRIPTOR48"/>
      <w:bookmarkStart w:id="246" w:name="DESCRIPTOR49"/>
      <w:bookmarkStart w:id="247" w:name="DESCRIPTOR50"/>
      <w:bookmarkStart w:id="248" w:name="DESCRIPTOR51"/>
      <w:bookmarkStart w:id="249" w:name="DESCRIPTOR52"/>
      <w:bookmarkStart w:id="250" w:name="DESCRIPTOR53"/>
      <w:bookmarkStart w:id="251" w:name="DESCRIPTOR54"/>
      <w:bookmarkStart w:id="252" w:name="DESCRIPTOR55"/>
      <w:bookmarkStart w:id="253" w:name="DESCRIPTOR56"/>
      <w:bookmarkStart w:id="254" w:name="DESCRIPTOR57"/>
      <w:bookmarkStart w:id="255" w:name="DESCRIPTOR58"/>
      <w:bookmarkStart w:id="256" w:name="DESCRIPTOR59"/>
      <w:bookmarkStart w:id="257" w:name="DESCRIPTOR60"/>
      <w:bookmarkStart w:id="258" w:name="DESCRIPTOR61"/>
      <w:bookmarkStart w:id="259" w:name="DESCRIPTOR62"/>
      <w:bookmarkStart w:id="260" w:name="DESCRIPTOR63"/>
      <w:bookmarkStart w:id="261" w:name="DESCRIPTOR64"/>
      <w:bookmarkStart w:id="262" w:name="DESCRIPTOR65"/>
      <w:bookmarkStart w:id="263" w:name="DESCRIPTOR66"/>
      <w:bookmarkStart w:id="264" w:name="DESCRIPTOR67"/>
      <w:bookmarkStart w:id="265" w:name="DESCRIPTOR68"/>
      <w:bookmarkStart w:id="266" w:name="DESCRIPTOR69"/>
      <w:bookmarkStart w:id="267" w:name="DESCRIPTOR70"/>
      <w:bookmarkStart w:id="268" w:name="DESCRIPTOR71"/>
      <w:bookmarkStart w:id="269" w:name="DESCRIPTOR72"/>
      <w:bookmarkStart w:id="270" w:name="DESCRIPTOR73"/>
      <w:bookmarkStart w:id="271" w:name="DESCRIPTOR74"/>
      <w:bookmarkStart w:id="272" w:name="DESCRIPTOR75"/>
      <w:bookmarkStart w:id="273" w:name="DESCRIPTOR76"/>
      <w:bookmarkStart w:id="274" w:name="DESCRIPTOR77"/>
      <w:bookmarkStart w:id="275" w:name="DESCRIPTOR78"/>
      <w:bookmarkStart w:id="276" w:name="DESCRIPTOR79"/>
      <w:bookmarkStart w:id="277" w:name="DESCRIPTOR80"/>
      <w:bookmarkStart w:id="278" w:name="DESCRIPTOR81"/>
      <w:bookmarkStart w:id="279" w:name="DESCRIPTOR82"/>
      <w:bookmarkStart w:id="280" w:name="DESCRIPTOR83"/>
      <w:bookmarkStart w:id="281" w:name="DESCRIPTOR84"/>
      <w:bookmarkStart w:id="282" w:name="DESCRIPTOR85"/>
      <w:bookmarkStart w:id="283" w:name="DESCRIPTOR86"/>
      <w:bookmarkStart w:id="284" w:name="DESCRIPTOR87"/>
      <w:bookmarkStart w:id="285" w:name="DESCRIPTOR88"/>
      <w:bookmarkStart w:id="286" w:name="DESCRIPTOR89"/>
      <w:bookmarkStart w:id="287" w:name="DESCRIPTOR90"/>
      <w:bookmarkStart w:id="288" w:name="DESCRIPTOR91"/>
      <w:bookmarkStart w:id="289" w:name="DESCRIPTOR92"/>
      <w:bookmarkStart w:id="290" w:name="DESCRIPTOR93"/>
      <w:bookmarkStart w:id="291" w:name="DESCRIPTOR94"/>
      <w:bookmarkStart w:id="292" w:name="DESCRIPTOR95"/>
      <w:bookmarkStart w:id="293" w:name="DESCRIPTOR96"/>
      <w:bookmarkStart w:id="294" w:name="DESCRIPTOR97"/>
      <w:bookmarkStart w:id="295" w:name="DESCRIPTOR98"/>
      <w:bookmarkStart w:id="296" w:name="DESCRIPTOR99"/>
      <w:bookmarkStart w:id="297" w:name="DESCRIPTOR100"/>
      <w:bookmarkStart w:id="298" w:name="DESCRIPTOR101"/>
      <w:bookmarkStart w:id="299" w:name="DESCRIPTOR102"/>
      <w:bookmarkStart w:id="300" w:name="DESCRIPTOR103"/>
      <w:bookmarkStart w:id="301" w:name="DESCRIPTOR104"/>
      <w:bookmarkStart w:id="302" w:name="DESCRIPTOR105"/>
      <w:bookmarkStart w:id="303" w:name="DESCRIPTOR106"/>
      <w:bookmarkStart w:id="304" w:name="DESCRIPTOR107"/>
      <w:bookmarkStart w:id="305" w:name="DESCRIPTOR108"/>
      <w:bookmarkStart w:id="306" w:name="DESCRIPTOR109"/>
      <w:bookmarkStart w:id="307" w:name="DESCRIPTOR110"/>
      <w:bookmarkStart w:id="308" w:name="DESCRIPTOR111"/>
      <w:bookmarkStart w:id="309" w:name="DESCRIPTOR112"/>
      <w:bookmarkStart w:id="310" w:name="DESCRIPTOR113"/>
      <w:bookmarkStart w:id="311" w:name="DESCRIPTOR114"/>
      <w:bookmarkStart w:id="312" w:name="DESCRIPTOR115"/>
      <w:bookmarkStart w:id="313" w:name="DESCRIPTOR116"/>
      <w:bookmarkStart w:id="314" w:name="DESCRIPTOR117"/>
      <w:bookmarkStart w:id="315" w:name="DESCRIPTOR118"/>
      <w:bookmarkStart w:id="316" w:name="DESCRIPTOR119"/>
      <w:bookmarkStart w:id="317" w:name="DESCRIPTOR120"/>
      <w:bookmarkStart w:id="318" w:name="DESCRIPTOR121"/>
      <w:bookmarkStart w:id="319" w:name="DESCRIPTOR122"/>
      <w:bookmarkStart w:id="320" w:name="DESCRIPTOR123"/>
      <w:bookmarkStart w:id="321" w:name="DESCRIPTOR124"/>
      <w:bookmarkStart w:id="322" w:name="DESCRIPTOR125"/>
      <w:bookmarkStart w:id="323" w:name="DESCRIPTOR126"/>
      <w:bookmarkStart w:id="324" w:name="DESCRIPTOR127"/>
      <w:bookmarkStart w:id="325" w:name="DESCRIPTOR128"/>
      <w:bookmarkStart w:id="326" w:name="DESCRIPTOR129"/>
      <w:bookmarkStart w:id="327" w:name="DESCRIPTOR130"/>
      <w:bookmarkStart w:id="328" w:name="DESCRIPTOR131"/>
      <w:bookmarkStart w:id="329" w:name="DESCRIPTOR132"/>
      <w:bookmarkStart w:id="330" w:name="DESCRIPTOR133"/>
      <w:bookmarkStart w:id="331" w:name="DESCRIPTOR134"/>
      <w:bookmarkStart w:id="332" w:name="DESCRIPTOR135"/>
      <w:bookmarkStart w:id="333" w:name="DESCRIPTOR136"/>
      <w:bookmarkStart w:id="334" w:name="DESCRIPTOR137"/>
      <w:bookmarkStart w:id="335" w:name="DESCRIPTOR138"/>
      <w:bookmarkStart w:id="336" w:name="DESCRIPTOR139"/>
      <w:bookmarkStart w:id="337" w:name="DESCRIPTOR140"/>
      <w:bookmarkStart w:id="338" w:name="DESCRIPTOR141"/>
      <w:bookmarkStart w:id="339" w:name="DESCRIPTOR142"/>
      <w:bookmarkStart w:id="340" w:name="DESCRIPTOR143"/>
      <w:bookmarkStart w:id="341" w:name="DESCRIPTOR144"/>
      <w:bookmarkStart w:id="342" w:name="DESCRIPTOR145"/>
      <w:bookmarkStart w:id="343" w:name="DESCRIPTOR146"/>
      <w:bookmarkStart w:id="344" w:name="DESCRIPTOR147"/>
      <w:bookmarkStart w:id="345" w:name="DESCRIPTOR148"/>
      <w:bookmarkStart w:id="346" w:name="DESCRIPTOR149"/>
      <w:bookmarkStart w:id="347" w:name="DESCRIPTOR150"/>
      <w:bookmarkStart w:id="348" w:name="DESCRIPTOR151"/>
      <w:bookmarkStart w:id="349" w:name="DESCRIPTOR152"/>
      <w:bookmarkStart w:id="350" w:name="DESCRIPTOR153"/>
      <w:bookmarkStart w:id="351" w:name="DESCRIPTOR154"/>
      <w:bookmarkStart w:id="352" w:name="DESCRIPTOR155"/>
      <w:bookmarkStart w:id="353" w:name="DESCRIPTOR156"/>
      <w:bookmarkStart w:id="354" w:name="DESCRIPTOR157"/>
      <w:bookmarkStart w:id="355" w:name="DESCRIPTOR158"/>
      <w:bookmarkStart w:id="356" w:name="DESCRIPTOR159"/>
      <w:bookmarkStart w:id="357" w:name="DESCRIPTOR160"/>
      <w:bookmarkStart w:id="358" w:name="DESCRIPTOR161"/>
      <w:bookmarkStart w:id="359" w:name="DESCRIPTOR162"/>
      <w:bookmarkStart w:id="360" w:name="DESCRIPTOR163"/>
      <w:bookmarkStart w:id="361" w:name="DESCRIPTOR164"/>
      <w:bookmarkStart w:id="362" w:name="DESCRIPTOR165"/>
      <w:bookmarkStart w:id="363" w:name="DESCRIPTOR166"/>
      <w:bookmarkStart w:id="364" w:name="DESCRIPTOR167"/>
      <w:bookmarkStart w:id="365" w:name="DESCRIPTOR168"/>
      <w:bookmarkStart w:id="366" w:name="DESCRIPTOR169"/>
      <w:bookmarkStart w:id="367" w:name="DESCRIPTOR170"/>
      <w:bookmarkStart w:id="368" w:name="DESCRIPTOR171"/>
      <w:bookmarkStart w:id="369" w:name="DESCRIPTOR172"/>
      <w:bookmarkStart w:id="370" w:name="DESCRIPTOR173"/>
      <w:bookmarkStart w:id="371" w:name="DESCRIPTOR174"/>
      <w:bookmarkStart w:id="372" w:name="DESCRIPTOR175"/>
      <w:bookmarkStart w:id="373" w:name="DESCRIPTOR176"/>
      <w:bookmarkStart w:id="374" w:name="DESCRIPTOR177"/>
      <w:bookmarkStart w:id="375" w:name="DESCRIPTOR178"/>
      <w:bookmarkStart w:id="376" w:name="DESCRIPTOR179"/>
      <w:bookmarkStart w:id="377" w:name="DESCRIPTOR180"/>
      <w:bookmarkStart w:id="378" w:name="DESCRIPTOR181"/>
      <w:bookmarkStart w:id="379" w:name="DESCRIPTOR182"/>
      <w:bookmarkStart w:id="380" w:name="DESCRIPTOR183"/>
      <w:bookmarkStart w:id="381" w:name="DESCRIPTOR184"/>
      <w:bookmarkStart w:id="382" w:name="DESCRIPTOR185"/>
      <w:bookmarkStart w:id="383" w:name="DESCRIPTOR186"/>
      <w:bookmarkStart w:id="384" w:name="DESCRIPTOR187"/>
      <w:bookmarkStart w:id="385" w:name="DESCRIPTOR188"/>
      <w:bookmarkStart w:id="386" w:name="DESCRIPTOR189"/>
      <w:bookmarkStart w:id="387" w:name="DESCRIPTOR190"/>
      <w:bookmarkStart w:id="388" w:name="DESCRIPTOR191"/>
      <w:bookmarkStart w:id="389" w:name="DESCRIPTOR192"/>
      <w:bookmarkStart w:id="390" w:name="DESCRIPTOR193"/>
      <w:bookmarkStart w:id="391" w:name="DESCRIPTOR194"/>
      <w:bookmarkStart w:id="392" w:name="DESCRIPTOR195"/>
      <w:bookmarkStart w:id="393" w:name="DESCRIPTOR196"/>
      <w:bookmarkStart w:id="394" w:name="DESCRIPTOR197"/>
      <w:bookmarkStart w:id="395" w:name="DESCRIPTOR198"/>
      <w:bookmarkStart w:id="396" w:name="DESCRIPTOR199"/>
      <w:bookmarkStart w:id="397" w:name="DESCRIPTOR200"/>
      <w:bookmarkStart w:id="398" w:name="DESCRIPTOR201"/>
      <w:bookmarkStart w:id="399" w:name="DESCRIPTOR202"/>
      <w:bookmarkStart w:id="400" w:name="DESCRIPTOR203"/>
      <w:bookmarkStart w:id="401" w:name="DESCRIPTOR204"/>
      <w:bookmarkStart w:id="402" w:name="DESCRIPTOR205"/>
      <w:bookmarkStart w:id="403" w:name="DESCRIPTOR206"/>
      <w:bookmarkStart w:id="404" w:name="DESCRIPTOR207"/>
      <w:bookmarkStart w:id="405" w:name="DESCRIPTOR208"/>
      <w:bookmarkStart w:id="406" w:name="DESCRIPTOR209"/>
      <w:bookmarkStart w:id="407" w:name="DESCRIPTOR210"/>
      <w:bookmarkStart w:id="408" w:name="DESCRIPTOR211"/>
      <w:bookmarkStart w:id="409" w:name="DESCRIPTOR212"/>
      <w:bookmarkStart w:id="410" w:name="DESCRIPTOR213"/>
      <w:bookmarkStart w:id="411" w:name="DESCRIPTOR214"/>
      <w:bookmarkStart w:id="412" w:name="DESCRIPTOR215"/>
      <w:bookmarkStart w:id="413" w:name="DESCRIPTOR216"/>
      <w:bookmarkStart w:id="414" w:name="DESCRIPTOR217"/>
      <w:bookmarkStart w:id="415" w:name="DESCRIPTOR218"/>
      <w:bookmarkStart w:id="416" w:name="DESCRIPTOR219"/>
      <w:bookmarkStart w:id="417" w:name="DESCRIPTOR220"/>
      <w:bookmarkStart w:id="418" w:name="DESCRIPTOR221"/>
      <w:bookmarkStart w:id="419" w:name="DESCRIPTOR222"/>
      <w:bookmarkStart w:id="420" w:name="DESCRIPTOR223"/>
      <w:bookmarkStart w:id="421" w:name="DESCRIPTOR224"/>
      <w:bookmarkStart w:id="422" w:name="DESCRIPTOR225"/>
      <w:bookmarkStart w:id="423" w:name="DESCRIPTOR226"/>
      <w:bookmarkStart w:id="424" w:name="DESCRIPTOR227"/>
      <w:bookmarkStart w:id="425" w:name="DESCRIPTOR228"/>
      <w:bookmarkStart w:id="426" w:name="DESCRIPTOR229"/>
      <w:bookmarkStart w:id="427" w:name="DESCRIPTOR230"/>
      <w:bookmarkStart w:id="428" w:name="DESCRIPTOR231"/>
      <w:bookmarkStart w:id="429" w:name="DESCRIPTOR232"/>
      <w:bookmarkStart w:id="430" w:name="DESCRIPTOR233"/>
      <w:bookmarkStart w:id="431" w:name="DESCRIPTOR234"/>
      <w:bookmarkStart w:id="432" w:name="DESCRIPTOR235"/>
      <w:bookmarkStart w:id="433" w:name="DESCRIPTOR236"/>
      <w:bookmarkStart w:id="434" w:name="DESCRIPTOR237"/>
      <w:bookmarkStart w:id="435" w:name="DESCRIPTOR238"/>
      <w:bookmarkStart w:id="436" w:name="DESCRIPTOR239"/>
      <w:bookmarkStart w:id="437" w:name="DESCRIPTOR240"/>
      <w:bookmarkStart w:id="438" w:name="DESCRIPTOR241"/>
      <w:bookmarkStart w:id="439" w:name="DESCRIPTOR242"/>
      <w:bookmarkStart w:id="440" w:name="DESCRIPTOR243"/>
      <w:bookmarkStart w:id="441" w:name="DESCRIPTOR244"/>
      <w:bookmarkStart w:id="442" w:name="DESCRIPTOR245"/>
      <w:bookmarkStart w:id="443" w:name="DESCRIPTOR246"/>
      <w:bookmarkStart w:id="444" w:name="DESCRIPTOR247"/>
      <w:bookmarkStart w:id="445" w:name="DESCRIPTOR248"/>
      <w:bookmarkStart w:id="446" w:name="DESCRIPTOR249"/>
      <w:bookmarkStart w:id="447" w:name="DESCRIPTOR250"/>
      <w:bookmarkStart w:id="448" w:name="DESCRIPTOR251"/>
      <w:bookmarkStart w:id="449" w:name="DESCRIPTOR252"/>
      <w:bookmarkStart w:id="450" w:name="DESCRIPTOR253"/>
      <w:bookmarkStart w:id="451" w:name="DESCRIPTOR254"/>
      <w:bookmarkStart w:id="452" w:name="DESCRIPTOR255"/>
      <w:bookmarkStart w:id="453" w:name="DESCRIPTOR256"/>
      <w:bookmarkStart w:id="454" w:name="DESCRIPTOR257"/>
      <w:bookmarkStart w:id="455" w:name="DESCRIPTOR258"/>
      <w:bookmarkStart w:id="456" w:name="DESCRIPTOR259"/>
      <w:bookmarkStart w:id="457" w:name="DESCRIPTOR260"/>
      <w:bookmarkStart w:id="458" w:name="DESCRIPTOR261"/>
      <w:bookmarkStart w:id="459" w:name="DESCRIPTOR262"/>
      <w:bookmarkStart w:id="460" w:name="DESCRIPTOR263"/>
      <w:bookmarkStart w:id="461" w:name="DESCRIPTOR264"/>
      <w:bookmarkStart w:id="462" w:name="DESCRIPTOR265"/>
      <w:bookmarkStart w:id="463" w:name="DESCRIPTOR266"/>
      <w:bookmarkStart w:id="464" w:name="DESCRIPTOR267"/>
      <w:bookmarkStart w:id="465" w:name="DESCRIPTOR268"/>
      <w:bookmarkStart w:id="466" w:name="DESCRIPTOR269"/>
      <w:bookmarkStart w:id="467" w:name="DESCRIPTOR270"/>
      <w:bookmarkStart w:id="468" w:name="DESCRIPTOR271"/>
      <w:bookmarkStart w:id="469" w:name="DESCRIPTOR272"/>
      <w:bookmarkStart w:id="470" w:name="DESCRIPTOR273"/>
      <w:bookmarkStart w:id="471" w:name="DESCRIPTOR274"/>
      <w:bookmarkStart w:id="472" w:name="DESCRIPTOR275"/>
      <w:bookmarkStart w:id="473" w:name="DESCRIPTOR276"/>
      <w:bookmarkStart w:id="474" w:name="DESCRIPTOR277"/>
      <w:bookmarkStart w:id="475" w:name="DESCRIPTOR278"/>
      <w:bookmarkStart w:id="476" w:name="DESCRIPTOR279"/>
      <w:bookmarkStart w:id="477" w:name="DESCRIPTOR280"/>
      <w:bookmarkStart w:id="478" w:name="DESCRIPTOR281"/>
      <w:bookmarkStart w:id="479" w:name="DESCRIPTOR282"/>
      <w:bookmarkStart w:id="480" w:name="DESCRIPTOR283"/>
      <w:bookmarkStart w:id="481" w:name="DESCRIPTOR284"/>
      <w:bookmarkStart w:id="482" w:name="DESCRIPTOR285"/>
      <w:bookmarkStart w:id="483" w:name="DESCRIPTOR286"/>
      <w:bookmarkStart w:id="484" w:name="DESCRIPTOR287"/>
      <w:bookmarkStart w:id="485" w:name="DESCRIPTOR288"/>
      <w:bookmarkStart w:id="486" w:name="DESCRIPTOR289"/>
      <w:bookmarkStart w:id="487" w:name="DESCRIPTOR290"/>
      <w:bookmarkStart w:id="488" w:name="DESCRIPTOR291"/>
      <w:bookmarkStart w:id="489" w:name="DESCRIPTOR292"/>
      <w:bookmarkStart w:id="490" w:name="DESCRIPTOR293"/>
      <w:bookmarkStart w:id="491" w:name="DESCRIPTOR294"/>
      <w:bookmarkStart w:id="492" w:name="DESCRIPTOR295"/>
      <w:bookmarkStart w:id="493" w:name="DESCRIPTOR296"/>
      <w:bookmarkStart w:id="494" w:name="DESCRIPTOR297"/>
      <w:bookmarkStart w:id="495" w:name="DESCRIPTOR298"/>
      <w:bookmarkStart w:id="496" w:name="DESCRIPTOR299"/>
      <w:bookmarkStart w:id="497" w:name="DESCRIPTOR300"/>
      <w:bookmarkStart w:id="498" w:name="DESCRIPTOR301"/>
      <w:bookmarkStart w:id="499" w:name="DESCRIPTOR302"/>
      <w:bookmarkStart w:id="500" w:name="DESCRIPTOR303"/>
      <w:bookmarkStart w:id="501" w:name="DESCRIPTOR304"/>
      <w:bookmarkStart w:id="502" w:name="DESCRIPTOR305"/>
      <w:bookmarkStart w:id="503" w:name="DESCRIPTOR306"/>
      <w:bookmarkStart w:id="504" w:name="DESCRIPTOR307"/>
      <w:bookmarkStart w:id="505" w:name="DESCRIPTOR308"/>
      <w:bookmarkStart w:id="506" w:name="DESCRIPTOR309"/>
      <w:bookmarkStart w:id="507" w:name="DESCRIPTOR310"/>
      <w:bookmarkStart w:id="508" w:name="DESCRIPTOR311"/>
      <w:bookmarkStart w:id="509" w:name="DESCRIPTOR312"/>
      <w:bookmarkStart w:id="510" w:name="DESCRIPTOR313"/>
      <w:bookmarkStart w:id="511" w:name="DESCRIPTOR314"/>
      <w:bookmarkStart w:id="512" w:name="DESCRIPTOR315"/>
      <w:bookmarkStart w:id="513" w:name="DESCRIPTOR316"/>
      <w:bookmarkStart w:id="514" w:name="DESCRIPTOR317"/>
      <w:bookmarkStart w:id="515" w:name="DESCRIPTOR318"/>
      <w:bookmarkStart w:id="516" w:name="DESCRIPTOR319"/>
      <w:bookmarkStart w:id="517" w:name="DESCRIPTOR320"/>
      <w:bookmarkStart w:id="518" w:name="DESCRIPTOR321"/>
      <w:bookmarkStart w:id="519" w:name="DESCRIPTOR322"/>
      <w:bookmarkStart w:id="520" w:name="DESCRIPTOR323"/>
      <w:bookmarkStart w:id="521" w:name="DESCRIPTOR324"/>
      <w:bookmarkStart w:id="522" w:name="DESCRIPTOR325"/>
      <w:bookmarkStart w:id="523" w:name="DESCRIPTOR326"/>
      <w:bookmarkStart w:id="524" w:name="DESCRIPTOR327"/>
      <w:bookmarkStart w:id="525" w:name="DESCRIPTOR328"/>
      <w:bookmarkStart w:id="526" w:name="DESCRIPTOR329"/>
      <w:bookmarkStart w:id="527" w:name="DESCRIPTOR330"/>
      <w:bookmarkStart w:id="528" w:name="DESCRIPTOR331"/>
      <w:bookmarkStart w:id="529" w:name="DESCRIPTOR332"/>
      <w:bookmarkStart w:id="530" w:name="DESCRIPTOR333"/>
      <w:bookmarkStart w:id="531" w:name="DESCRIPTOR334"/>
      <w:bookmarkStart w:id="532" w:name="DESCRIPTOR335"/>
      <w:bookmarkStart w:id="533" w:name="DESCRIPTOR336"/>
      <w:bookmarkStart w:id="534" w:name="DESCRIPTOR337"/>
      <w:bookmarkStart w:id="535" w:name="DESCRIPTOR338"/>
      <w:bookmarkStart w:id="536" w:name="DESCRIPTOR339"/>
      <w:bookmarkStart w:id="537" w:name="DESCRIPTOR340"/>
      <w:bookmarkStart w:id="538" w:name="DESCRIPTOR341"/>
      <w:bookmarkStart w:id="539" w:name="DESCRIPTOR342"/>
      <w:bookmarkStart w:id="540" w:name="DESCRIPTOR343"/>
      <w:bookmarkStart w:id="541" w:name="DESCRIPTOR344"/>
      <w:bookmarkStart w:id="542" w:name="DESCRIPTOR345"/>
      <w:bookmarkStart w:id="543" w:name="DESCRIPTOR346"/>
      <w:bookmarkStart w:id="544" w:name="DESCRIPTOR347"/>
      <w:bookmarkStart w:id="545" w:name="DESCRIPTOR348"/>
      <w:bookmarkStart w:id="546" w:name="DESCRIPTOR349"/>
      <w:bookmarkStart w:id="547" w:name="DESCRIPTOR350"/>
      <w:bookmarkStart w:id="548" w:name="DESCRIPTOR351"/>
      <w:bookmarkStart w:id="549" w:name="DESCRIPTOR352"/>
      <w:bookmarkStart w:id="550" w:name="DESCRIPTOR353"/>
      <w:bookmarkStart w:id="551" w:name="DESCRIPTOR354"/>
      <w:bookmarkStart w:id="552" w:name="DESCRIPTOR355"/>
      <w:bookmarkStart w:id="553" w:name="DESCRIPTOR356"/>
      <w:bookmarkStart w:id="554" w:name="DESCRIPTOR357"/>
      <w:bookmarkStart w:id="555" w:name="DESCRIPTOR358"/>
      <w:bookmarkStart w:id="556" w:name="DESCRIPTOR359"/>
      <w:bookmarkStart w:id="557" w:name="DESCRIPTOR360"/>
      <w:bookmarkStart w:id="558" w:name="DESCRIPTOR361"/>
      <w:bookmarkStart w:id="559" w:name="DESCRIPTOR362"/>
      <w:bookmarkStart w:id="560" w:name="DESCRIPTOR363"/>
      <w:bookmarkStart w:id="561" w:name="DESCRIPTOR364"/>
      <w:bookmarkStart w:id="562" w:name="DESCRIPTOR365"/>
      <w:bookmarkStart w:id="563" w:name="DESCRIPTOR366"/>
      <w:bookmarkStart w:id="564" w:name="DESCRIPTOR367"/>
      <w:bookmarkStart w:id="565" w:name="DESCRIPTOR368"/>
      <w:bookmarkStart w:id="566" w:name="DESCRIPTOR369"/>
      <w:bookmarkStart w:id="567" w:name="DESCRIPTOR370"/>
      <w:bookmarkStart w:id="568" w:name="DESCRIPTOR371"/>
      <w:bookmarkStart w:id="569" w:name="DESCRIPTOR372"/>
      <w:bookmarkStart w:id="570" w:name="DESCRIPTOR373"/>
      <w:bookmarkStart w:id="571" w:name="DESCRIPTOR374"/>
      <w:bookmarkStart w:id="572" w:name="DESCRIPTOR375"/>
      <w:bookmarkStart w:id="573" w:name="DESCRIPTOR376"/>
      <w:bookmarkStart w:id="574" w:name="DESCRIPTOR377"/>
      <w:bookmarkStart w:id="575" w:name="DESCRIPTOR378"/>
      <w:bookmarkStart w:id="576" w:name="DESCRIPTOR379"/>
      <w:bookmarkStart w:id="577" w:name="DESCRIPTOR380"/>
      <w:bookmarkStart w:id="578" w:name="DESCRIPTOR381"/>
      <w:bookmarkStart w:id="579" w:name="DESCRIPTOR382"/>
      <w:bookmarkStart w:id="580" w:name="DESCRIPTOR383"/>
      <w:bookmarkStart w:id="581" w:name="DESCRIPTOR384"/>
      <w:bookmarkStart w:id="582" w:name="DESCRIPTOR385"/>
      <w:bookmarkStart w:id="583" w:name="DESCRIPTOR386"/>
      <w:bookmarkStart w:id="584" w:name="DESCRIPTOR387"/>
      <w:bookmarkStart w:id="585" w:name="DESCRIPTOR388"/>
      <w:bookmarkStart w:id="586" w:name="DESCRIPTOR389"/>
      <w:bookmarkStart w:id="587" w:name="DESCRIPTOR390"/>
      <w:bookmarkStart w:id="588" w:name="DESCRIPTOR391"/>
      <w:bookmarkStart w:id="589" w:name="DESCRIPTOR392"/>
      <w:bookmarkStart w:id="590" w:name="DESCRIPTOR393"/>
      <w:bookmarkStart w:id="591" w:name="DESCRIPTOR394"/>
      <w:bookmarkStart w:id="592" w:name="DESCRIPTOR395"/>
      <w:bookmarkStart w:id="593" w:name="DESCRIPTOR396"/>
      <w:bookmarkStart w:id="594" w:name="DESCRIPTOR397"/>
      <w:bookmarkStart w:id="595" w:name="DESCRIPTOR398"/>
      <w:bookmarkStart w:id="596" w:name="DESCRIPTOR399"/>
      <w:bookmarkStart w:id="597" w:name="DESCRIPTOR400"/>
      <w:bookmarkStart w:id="598" w:name="DESCRIPTOR401"/>
      <w:bookmarkStart w:id="599" w:name="DESCRIPTOR402"/>
      <w:bookmarkStart w:id="600" w:name="DESCRIPTOR403"/>
      <w:bookmarkStart w:id="601" w:name="DESCRIPTOR404"/>
      <w:bookmarkStart w:id="602" w:name="DESCRIPTOR405"/>
      <w:bookmarkStart w:id="603" w:name="DESCRIPTOR406"/>
      <w:bookmarkStart w:id="604" w:name="DESCRIPTOR407"/>
      <w:bookmarkStart w:id="605" w:name="DESCRIPTOR408"/>
      <w:bookmarkStart w:id="606" w:name="DESCRIPTOR409"/>
      <w:bookmarkStart w:id="607" w:name="DESCRIPTOR410"/>
      <w:bookmarkStart w:id="608" w:name="DESCRIPTOR411"/>
      <w:bookmarkStart w:id="609" w:name="DESCRIPTOR412"/>
      <w:bookmarkStart w:id="610" w:name="DESCRIPTOR413"/>
      <w:bookmarkStart w:id="611" w:name="DESCRIPTOR414"/>
      <w:bookmarkStart w:id="612" w:name="DESCRIPTOR415"/>
      <w:bookmarkStart w:id="613" w:name="DESCRIPTOR416"/>
      <w:bookmarkStart w:id="614" w:name="DESCRIPTOR417"/>
      <w:bookmarkStart w:id="615" w:name="DESCRIPTOR418"/>
      <w:bookmarkStart w:id="616" w:name="DESCRIPTOR419"/>
      <w:bookmarkStart w:id="617" w:name="DESCRIPTOR420"/>
      <w:bookmarkStart w:id="618" w:name="DESCRIPTOR421"/>
      <w:bookmarkStart w:id="619" w:name="DESCRIPTOR422"/>
      <w:bookmarkStart w:id="620" w:name="DESCRIPTOR423"/>
      <w:bookmarkStart w:id="621" w:name="DESCRIPTOR424"/>
      <w:bookmarkStart w:id="622" w:name="DESCRIPTOR425"/>
      <w:bookmarkStart w:id="623" w:name="DESCRIPTOR426"/>
      <w:bookmarkStart w:id="624" w:name="DESCRIPTOR427"/>
      <w:bookmarkStart w:id="625" w:name="DESCRIPTOR428"/>
      <w:bookmarkStart w:id="626" w:name="DESCRIPTOR429"/>
      <w:bookmarkStart w:id="627" w:name="DESCRIPTOR430"/>
      <w:bookmarkStart w:id="628" w:name="DESCRIPTOR431"/>
      <w:bookmarkStart w:id="629" w:name="DESCRIPTOR432"/>
      <w:bookmarkStart w:id="630" w:name="DESCRIPTOR433"/>
      <w:bookmarkStart w:id="631" w:name="DESCRIPTOR434"/>
      <w:bookmarkStart w:id="632" w:name="DESCRIPTOR435"/>
      <w:bookmarkStart w:id="633" w:name="DESCRIPTOR436"/>
      <w:bookmarkStart w:id="634" w:name="DESCRIPTOR437"/>
      <w:bookmarkStart w:id="635" w:name="DESCRIPTOR438"/>
      <w:bookmarkStart w:id="636" w:name="DESCRIPTOR439"/>
      <w:bookmarkStart w:id="637" w:name="DESCRIPTOR440"/>
      <w:bookmarkStart w:id="638" w:name="DESCRIPTOR441"/>
      <w:bookmarkStart w:id="639" w:name="DESCRIPTOR442"/>
      <w:bookmarkStart w:id="640" w:name="DESCRIPTOR443"/>
      <w:bookmarkStart w:id="641" w:name="DESCRIPTOR444"/>
      <w:bookmarkStart w:id="642" w:name="DESCRIPTOR445"/>
      <w:bookmarkStart w:id="643" w:name="DESCRIPTOR446"/>
      <w:bookmarkStart w:id="644" w:name="DESCRIPTOR447"/>
      <w:bookmarkStart w:id="645" w:name="DESCRIPTOR448"/>
      <w:bookmarkStart w:id="646" w:name="DESCRIPTOR449"/>
      <w:bookmarkStart w:id="647" w:name="DESCRIPTOR450"/>
      <w:bookmarkStart w:id="648" w:name="DESCRIPTOR451"/>
      <w:bookmarkStart w:id="649" w:name="DESCRIPTOR452"/>
      <w:bookmarkStart w:id="650" w:name="DESCRIPTOR453"/>
      <w:bookmarkStart w:id="651" w:name="DESCRIPTOR454"/>
      <w:bookmarkStart w:id="652" w:name="DESCRIPTOR455"/>
      <w:bookmarkStart w:id="653" w:name="DESCRIPTOR456"/>
      <w:bookmarkStart w:id="654" w:name="DESCRIPTOR457"/>
      <w:bookmarkStart w:id="655" w:name="DESCRIPTOR458"/>
      <w:bookmarkStart w:id="656" w:name="DESCRIPTOR459"/>
      <w:bookmarkStart w:id="657" w:name="DESCRIPTOR460"/>
      <w:bookmarkStart w:id="658" w:name="DESCRIPTOR461"/>
      <w:bookmarkStart w:id="659" w:name="DESCRIPTOR462"/>
      <w:bookmarkStart w:id="660" w:name="DESCRIPTOR463"/>
      <w:bookmarkStart w:id="661" w:name="DESCRIPTOR464"/>
      <w:bookmarkStart w:id="662" w:name="DESCRIPTOR465"/>
      <w:bookmarkStart w:id="663" w:name="DESCRIPTOR466"/>
      <w:bookmarkStart w:id="664" w:name="DESCRIPTOR467"/>
      <w:bookmarkStart w:id="665" w:name="DESCRIPTOR468"/>
      <w:bookmarkStart w:id="666" w:name="DESCRIPTOR469"/>
      <w:bookmarkStart w:id="667" w:name="DESCRIPTOR470"/>
      <w:bookmarkStart w:id="668" w:name="DESCRIPTOR471"/>
      <w:bookmarkStart w:id="669" w:name="DESCRIPTOR472"/>
      <w:bookmarkStart w:id="670" w:name="DESCRIPTOR473"/>
      <w:bookmarkStart w:id="671" w:name="DESCRIPTOR474"/>
      <w:bookmarkStart w:id="672" w:name="DESCRIPTOR475"/>
      <w:bookmarkStart w:id="673" w:name="DESCRIPTOR476"/>
      <w:bookmarkStart w:id="674" w:name="DESCRIPTOR477"/>
      <w:bookmarkStart w:id="675" w:name="DESCRIPTOR478"/>
      <w:bookmarkStart w:id="676" w:name="DESCRIPTOR479"/>
      <w:bookmarkStart w:id="677" w:name="DESCRIPTOR480"/>
      <w:bookmarkStart w:id="678" w:name="DESCRIPTOR481"/>
      <w:bookmarkStart w:id="679" w:name="DESCRIPTOR482"/>
      <w:bookmarkStart w:id="680" w:name="DESCRIPTOR483"/>
      <w:bookmarkStart w:id="681" w:name="DESCRIPTOR484"/>
      <w:bookmarkStart w:id="682" w:name="DESCRIPTOR485"/>
      <w:bookmarkStart w:id="683" w:name="DESCRIPTOR486"/>
      <w:bookmarkStart w:id="684" w:name="DESCRIPTOR487"/>
      <w:bookmarkStart w:id="685" w:name="DESCRIPTOR488"/>
      <w:bookmarkStart w:id="686" w:name="DESCRIPTOR489"/>
      <w:bookmarkStart w:id="687" w:name="DESCRIPTOR490"/>
      <w:bookmarkStart w:id="688" w:name="DESCRIPTOR491"/>
      <w:bookmarkStart w:id="689" w:name="DESCRIPTOR492"/>
      <w:bookmarkStart w:id="690" w:name="DESCRIPTOR493"/>
      <w:bookmarkStart w:id="691" w:name="DESCRIPTOR494"/>
      <w:bookmarkStart w:id="692" w:name="DESCRIPTOR495"/>
      <w:bookmarkStart w:id="693" w:name="DESCRIPTOR496"/>
      <w:bookmarkStart w:id="694" w:name="DESCRIPTOR497"/>
      <w:bookmarkStart w:id="695" w:name="DESCRIPTOR498"/>
      <w:bookmarkStart w:id="696" w:name="DESCRIPTOR499"/>
      <w:bookmarkStart w:id="697" w:name="DESCRIPTOR500"/>
      <w:bookmarkStart w:id="698" w:name="DESCRIPTOR501"/>
      <w:bookmarkStart w:id="699" w:name="DESCRIPTOR502"/>
      <w:bookmarkStart w:id="700" w:name="DESCRIPTOR503"/>
      <w:bookmarkStart w:id="701" w:name="DESCRIPTOR504"/>
      <w:bookmarkStart w:id="702" w:name="DESCRIPTOR505"/>
      <w:bookmarkStart w:id="703" w:name="DESCRIPTOR506"/>
      <w:bookmarkStart w:id="704" w:name="DESCRIPTOR507"/>
      <w:bookmarkStart w:id="705" w:name="DESCRIPTOR508"/>
      <w:bookmarkStart w:id="706" w:name="DESCRIPTOR509"/>
      <w:bookmarkStart w:id="707" w:name="DESCRIPTOR510"/>
      <w:bookmarkStart w:id="708" w:name="DESCRIPTOR511"/>
      <w:bookmarkStart w:id="709" w:name="DESCRIPTOR512"/>
      <w:bookmarkStart w:id="710" w:name="DESCRIPTOR513"/>
      <w:bookmarkStart w:id="711" w:name="DESCRIPTOR514"/>
      <w:bookmarkStart w:id="712" w:name="DESCRIPTOR515"/>
      <w:bookmarkStart w:id="713" w:name="DESCRIPTOR516"/>
      <w:bookmarkStart w:id="714" w:name="DESCRIPTOR517"/>
      <w:bookmarkStart w:id="715" w:name="DESCRIPTOR518"/>
      <w:bookmarkStart w:id="716" w:name="DESCRIPTOR519"/>
      <w:bookmarkStart w:id="717" w:name="DESCRIPTOR520"/>
      <w:bookmarkStart w:id="718" w:name="DESCRIPTOR521"/>
      <w:bookmarkStart w:id="719" w:name="DESCRIPTOR522"/>
      <w:bookmarkStart w:id="720" w:name="DESCRIPTOR523"/>
      <w:bookmarkStart w:id="721" w:name="DESCRIPTOR524"/>
      <w:bookmarkStart w:id="722" w:name="DESCRIPTOR525"/>
      <w:bookmarkStart w:id="723" w:name="DESCRIPTOR526"/>
      <w:bookmarkStart w:id="724" w:name="DESCRIPTOR527"/>
      <w:bookmarkStart w:id="725" w:name="DESCRIPTOR528"/>
      <w:bookmarkStart w:id="726" w:name="DESCRIPTOR529"/>
      <w:bookmarkStart w:id="727" w:name="DESCRIPTOR530"/>
      <w:bookmarkStart w:id="728" w:name="DESCRIPTOR531"/>
      <w:bookmarkStart w:id="729" w:name="DESCRIPTOR532"/>
      <w:bookmarkStart w:id="730" w:name="DESCRIPTOR533"/>
      <w:bookmarkStart w:id="731" w:name="DESCRIPTOR534"/>
      <w:bookmarkStart w:id="732" w:name="DESCRIPTOR535"/>
      <w:bookmarkStart w:id="733" w:name="DESCRIPTOR536"/>
      <w:bookmarkStart w:id="734" w:name="DESCRIPTOR537"/>
      <w:bookmarkStart w:id="735" w:name="DESCRIPTOR538"/>
      <w:bookmarkStart w:id="736" w:name="DESCRIPTOR539"/>
      <w:bookmarkStart w:id="737" w:name="DESCRIPTOR540"/>
      <w:bookmarkStart w:id="738" w:name="DESCRIPTOR541"/>
      <w:bookmarkStart w:id="739" w:name="DESCRIPTOR542"/>
      <w:bookmarkStart w:id="740" w:name="DESCRIPTOR543"/>
      <w:bookmarkStart w:id="741" w:name="DESCRIPTOR544"/>
      <w:bookmarkStart w:id="742" w:name="DESCRIPTOR545"/>
      <w:bookmarkStart w:id="743" w:name="DESCRIPTOR546"/>
      <w:bookmarkStart w:id="744" w:name="DESCRIPTOR547"/>
      <w:bookmarkStart w:id="745" w:name="DESCRIPTOR548"/>
      <w:bookmarkStart w:id="746" w:name="DESCRIPTOR549"/>
      <w:bookmarkStart w:id="747" w:name="DESCRIPTOR550"/>
      <w:bookmarkStart w:id="748" w:name="DESCRIPTOR551"/>
      <w:bookmarkStart w:id="749" w:name="DESCRIPTOR552"/>
      <w:bookmarkStart w:id="750" w:name="DESCRIPTOR553"/>
      <w:bookmarkStart w:id="751" w:name="DESCRIPTOR554"/>
      <w:bookmarkStart w:id="752" w:name="DESCRIPTOR555"/>
      <w:bookmarkStart w:id="753" w:name="DESCRIPTOR556"/>
      <w:bookmarkStart w:id="754" w:name="DESCRIPTOR557"/>
      <w:bookmarkStart w:id="755" w:name="DESCRIPTOR558"/>
      <w:bookmarkStart w:id="756" w:name="DESCRIPTOR559"/>
      <w:bookmarkStart w:id="757" w:name="DESCRIPTOR560"/>
      <w:bookmarkStart w:id="758" w:name="DESCRIPTOR561"/>
      <w:bookmarkStart w:id="759" w:name="DESCRIPTOR562"/>
      <w:bookmarkStart w:id="760" w:name="DESCRIPTOR563"/>
      <w:bookmarkStart w:id="761" w:name="DESCRIPTOR564"/>
      <w:bookmarkStart w:id="762" w:name="DESCRIPTOR565"/>
      <w:bookmarkStart w:id="763" w:name="DESCRIPTOR566"/>
      <w:bookmarkStart w:id="764" w:name="DESCRIPTOR567"/>
      <w:bookmarkStart w:id="765" w:name="DESCRIPTOR568"/>
      <w:bookmarkStart w:id="766" w:name="DESCRIPTOR569"/>
      <w:bookmarkStart w:id="767" w:name="DESCRIPTOR570"/>
      <w:bookmarkStart w:id="768" w:name="DESCRIPTOR571"/>
      <w:bookmarkStart w:id="769" w:name="DESCRIPTOR572"/>
      <w:bookmarkStart w:id="770" w:name="DESCRIPTOR573"/>
      <w:bookmarkStart w:id="771" w:name="DESCRIPTOR574"/>
      <w:bookmarkStart w:id="772" w:name="DESCRIPTOR575"/>
      <w:bookmarkStart w:id="773" w:name="DESCRIPTOR576"/>
      <w:bookmarkStart w:id="774" w:name="DESCRIPTOR577"/>
      <w:bookmarkStart w:id="775" w:name="DESCRIPTOR578"/>
      <w:bookmarkStart w:id="776" w:name="DESCRIPTOR579"/>
      <w:bookmarkStart w:id="777" w:name="DESCRIPTOR580"/>
      <w:bookmarkStart w:id="778" w:name="DESCRIPTOR581"/>
      <w:bookmarkStart w:id="779" w:name="DESCRIPTOR582"/>
      <w:bookmarkStart w:id="780" w:name="DESCRIPTOR583"/>
      <w:bookmarkStart w:id="781" w:name="DESCRIPTOR584"/>
      <w:bookmarkStart w:id="782" w:name="DESCRIPTOR585"/>
      <w:bookmarkStart w:id="783" w:name="DESCRIPTOR586"/>
      <w:bookmarkStart w:id="784" w:name="DESCRIPTOR587"/>
      <w:bookmarkStart w:id="785" w:name="DESCRIPTOR588"/>
      <w:bookmarkStart w:id="786" w:name="DESCRIPTOR589"/>
      <w:bookmarkStart w:id="787" w:name="DESCRIPTOR590"/>
      <w:bookmarkStart w:id="788" w:name="DESCRIPTOR591"/>
      <w:bookmarkStart w:id="789" w:name="DESCRIPTOR592"/>
      <w:bookmarkStart w:id="790" w:name="DESCRIPTOR593"/>
      <w:bookmarkStart w:id="791" w:name="DESCRIPTOR594"/>
      <w:bookmarkStart w:id="792" w:name="INDICE5ALFABETICO"/>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rsidR="0050129A" w:rsidRDefault="0050129A" w:rsidP="0050129A">
      <w:pPr>
        <w:pStyle w:val="TextoNormal"/>
      </w:pPr>
    </w:p>
    <w:p w:rsidR="0050129A" w:rsidRDefault="0050129A" w:rsidP="0050129A">
      <w:pPr>
        <w:pStyle w:val="TextoNormal"/>
      </w:pPr>
    </w:p>
    <w:p w:rsidR="0050129A" w:rsidRDefault="0050129A" w:rsidP="0050129A">
      <w:pPr>
        <w:pStyle w:val="TextoNormal"/>
      </w:pPr>
    </w:p>
    <w:p w:rsidR="0050129A" w:rsidRDefault="0050129A" w:rsidP="0050129A">
      <w:pPr>
        <w:pStyle w:val="Ttulondice"/>
      </w:pPr>
      <w:r>
        <w:t>6. ÍNDICE ANALÍTICO</w:t>
      </w:r>
    </w:p>
    <w:p w:rsidR="0050129A" w:rsidRDefault="0050129A" w:rsidP="0050129A">
      <w:pPr>
        <w:pStyle w:val="TextoNormal"/>
      </w:pPr>
    </w:p>
    <w:p w:rsidR="0050129A" w:rsidRDefault="0050129A" w:rsidP="0050129A">
      <w:pPr>
        <w:pStyle w:val="Ttulondice"/>
      </w:pPr>
    </w:p>
    <w:p w:rsidR="0050129A" w:rsidRDefault="0050129A" w:rsidP="0050129A">
      <w:pPr>
        <w:pStyle w:val="Ttulondice"/>
      </w:pPr>
    </w:p>
    <w:p w:rsidR="0050129A" w:rsidRDefault="0050129A" w:rsidP="0050129A">
      <w:pPr>
        <w:pStyle w:val="Ttulondice"/>
      </w:pPr>
    </w:p>
    <w:p w:rsidR="0050129A" w:rsidRDefault="0050129A" w:rsidP="0050129A">
      <w:pPr>
        <w:pStyle w:val="Ttulondice"/>
      </w:pPr>
    </w:p>
    <w:p w:rsidR="0050129A" w:rsidRDefault="0050129A" w:rsidP="0050129A">
      <w:pPr>
        <w:pStyle w:val="Ttulondice"/>
      </w:pPr>
    </w:p>
    <w:p w:rsidR="0050129A" w:rsidRDefault="0050129A" w:rsidP="0050129A">
      <w:pPr>
        <w:pStyle w:val="Ttulondice"/>
      </w:pPr>
    </w:p>
    <w:p w:rsidR="0050129A" w:rsidRDefault="0050129A" w:rsidP="0050129A">
      <w:pPr>
        <w:pStyle w:val="Ttulondice"/>
      </w:pPr>
    </w:p>
    <w:p w:rsidR="0050129A" w:rsidRDefault="0050129A" w:rsidP="0050129A">
      <w:pPr>
        <w:pStyle w:val="TextoNormalNegritaCentrado"/>
      </w:pPr>
      <w:r>
        <w:t>A</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793" w:name="DESCRIPTORALFABETICO586"/>
      <w:r w:rsidRPr="0050129A">
        <w:rPr>
          <w:rStyle w:val="TextoNormalNegritaCaracter"/>
        </w:rPr>
        <w:t>Abono de prisión provisional</w:t>
      </w:r>
      <w:bookmarkEnd w:id="793"/>
      <w:r w:rsidRPr="0050129A">
        <w:rPr>
          <w:rStyle w:val="TextoNormalCaracter"/>
        </w:rPr>
        <w:t xml:space="preserve">, Sentencia </w:t>
      </w:r>
      <w:hyperlink w:anchor="SENTENCIA_2008_57" w:history="1">
        <w:r w:rsidRPr="0050129A">
          <w:rPr>
            <w:rStyle w:val="TextoNormalCaracter"/>
          </w:rPr>
          <w:t>57/2008</w:t>
        </w:r>
      </w:hyperlink>
      <w:r w:rsidRPr="0050129A">
        <w:rPr>
          <w:rStyle w:val="TextoNormalCaracter"/>
        </w:rPr>
        <w:t>, ff. 2, 4 a 8.</w:t>
      </w:r>
    </w:p>
    <w:p w:rsidR="0050129A" w:rsidRPr="0050129A" w:rsidRDefault="0050129A" w:rsidP="0050129A">
      <w:pPr>
        <w:pStyle w:val="TextoNormalSangraFrancesa"/>
        <w:rPr>
          <w:rStyle w:val="TextoNormalCaracter"/>
        </w:rPr>
      </w:pPr>
      <w:bookmarkStart w:id="794" w:name="DESCRIPTORALFABETICO178"/>
      <w:r w:rsidRPr="0050129A">
        <w:rPr>
          <w:rStyle w:val="TextoNormalNegritaCaracter"/>
        </w:rPr>
        <w:t>Abstención de magistrados del Tribunal Constitucional</w:t>
      </w:r>
      <w:bookmarkEnd w:id="794"/>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Acepta, </w:t>
      </w:r>
      <w:r w:rsidRPr="0050129A">
        <w:rPr>
          <w:rStyle w:val="TextoNormalCaracter"/>
        </w:rPr>
        <w:t xml:space="preserve">Autos </w:t>
      </w:r>
      <w:hyperlink w:anchor="AUTO_2008_25" w:history="1">
        <w:r w:rsidRPr="0050129A">
          <w:rPr>
            <w:rStyle w:val="TextoNormalCaracter"/>
          </w:rPr>
          <w:t>25/2008</w:t>
        </w:r>
      </w:hyperlink>
      <w:r w:rsidRPr="0050129A">
        <w:rPr>
          <w:rStyle w:val="TextoNormalCaracter"/>
        </w:rPr>
        <w:t xml:space="preserve">; </w:t>
      </w:r>
      <w:hyperlink w:anchor="AUTO_2008_113" w:history="1">
        <w:r w:rsidRPr="0050129A">
          <w:rPr>
            <w:rStyle w:val="TextoNormalCaracter"/>
          </w:rPr>
          <w:t>113/2008</w:t>
        </w:r>
      </w:hyperlink>
      <w:r w:rsidRPr="0050129A">
        <w:rPr>
          <w:rStyle w:val="TextoNormalCaracter"/>
        </w:rPr>
        <w:t xml:space="preserve">; </w:t>
      </w:r>
      <w:hyperlink w:anchor="AUTO_2008_114" w:history="1">
        <w:r w:rsidRPr="0050129A">
          <w:rPr>
            <w:rStyle w:val="TextoNormalCaracter"/>
          </w:rPr>
          <w:t>114/2008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Deniega, </w:t>
      </w:r>
      <w:r w:rsidRPr="0050129A">
        <w:rPr>
          <w:rStyle w:val="TextoNormalCaracter"/>
        </w:rPr>
        <w:t xml:space="preserve">Auto </w:t>
      </w:r>
      <w:hyperlink w:anchor="AUTO_2008_20" w:history="1">
        <w:r w:rsidRPr="0050129A">
          <w:rPr>
            <w:rStyle w:val="TextoNormalCaracter"/>
          </w:rPr>
          <w:t>20/2008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Abuso de jurisdicción</w:t>
      </w:r>
      <w:r>
        <w:t xml:space="preserve"> véase </w:t>
      </w:r>
      <w:hyperlink w:anchor="DESCRIPTORALFABETICO443" w:history="1">
        <w:r w:rsidRPr="0050129A">
          <w:rPr>
            <w:rStyle w:val="TextoNormalNegritaCaracter"/>
          </w:rPr>
          <w:t>Exceso de jurisdicción</w:t>
        </w:r>
      </w:hyperlink>
    </w:p>
    <w:p w:rsidR="0050129A" w:rsidRPr="0050129A" w:rsidRDefault="0050129A" w:rsidP="0050129A">
      <w:pPr>
        <w:pStyle w:val="TextoNormalSangraFrancesa"/>
        <w:rPr>
          <w:rStyle w:val="TextoNormalCaracter"/>
        </w:rPr>
      </w:pPr>
      <w:bookmarkStart w:id="795" w:name="DESCRIPTORALFABETICO66"/>
      <w:r w:rsidRPr="0050129A">
        <w:rPr>
          <w:rStyle w:val="TextoNormalNegritaCaracter"/>
        </w:rPr>
        <w:t>Acceso a la justicia</w:t>
      </w:r>
      <w:bookmarkEnd w:id="795"/>
      <w:r w:rsidRPr="0050129A">
        <w:rPr>
          <w:rStyle w:val="TextoNormalCaracter"/>
        </w:rPr>
        <w:t xml:space="preserve">, Sentencias </w:t>
      </w:r>
      <w:hyperlink w:anchor="SENTENCIA_2008_3" w:history="1">
        <w:r w:rsidRPr="0050129A">
          <w:rPr>
            <w:rStyle w:val="TextoNormalCaracter"/>
          </w:rPr>
          <w:t>3/2008</w:t>
        </w:r>
      </w:hyperlink>
      <w:r w:rsidRPr="0050129A">
        <w:rPr>
          <w:rStyle w:val="TextoNormalCaracter"/>
        </w:rPr>
        <w:t xml:space="preserve">, ff. 3, 4; </w:t>
      </w:r>
      <w:hyperlink w:anchor="SENTENCIA_2008_8" w:history="1">
        <w:r w:rsidRPr="0050129A">
          <w:rPr>
            <w:rStyle w:val="TextoNormalCaracter"/>
          </w:rPr>
          <w:t>8/2008</w:t>
        </w:r>
      </w:hyperlink>
      <w:r w:rsidRPr="0050129A">
        <w:rPr>
          <w:rStyle w:val="TextoNormalCaracter"/>
        </w:rPr>
        <w:t xml:space="preserve">, f. 3, VP; </w:t>
      </w:r>
      <w:hyperlink w:anchor="SENTENCIA_2008_9" w:history="1">
        <w:r w:rsidRPr="0050129A">
          <w:rPr>
            <w:rStyle w:val="TextoNormalCaracter"/>
          </w:rPr>
          <w:t>9/2008</w:t>
        </w:r>
      </w:hyperlink>
      <w:r w:rsidRPr="0050129A">
        <w:rPr>
          <w:rStyle w:val="TextoNormalCaracter"/>
        </w:rPr>
        <w:t xml:space="preserve">, ff. 2, 4; </w:t>
      </w:r>
      <w:hyperlink w:anchor="SENTENCIA_2008_10" w:history="1">
        <w:r w:rsidRPr="0050129A">
          <w:rPr>
            <w:rStyle w:val="TextoNormalCaracter"/>
          </w:rPr>
          <w:t>10/2008</w:t>
        </w:r>
      </w:hyperlink>
      <w:r w:rsidRPr="0050129A">
        <w:rPr>
          <w:rStyle w:val="TextoNormalCaracter"/>
        </w:rPr>
        <w:t xml:space="preserve">, ff. 2, 3; </w:t>
      </w:r>
      <w:hyperlink w:anchor="SENTENCIA_2008_14" w:history="1">
        <w:r w:rsidRPr="0050129A">
          <w:rPr>
            <w:rStyle w:val="TextoNormalCaracter"/>
          </w:rPr>
          <w:t>14/2008</w:t>
        </w:r>
      </w:hyperlink>
      <w:r w:rsidRPr="0050129A">
        <w:rPr>
          <w:rStyle w:val="TextoNormalCaracter"/>
        </w:rPr>
        <w:t xml:space="preserve">, ff. 3, 4; </w:t>
      </w:r>
      <w:hyperlink w:anchor="SENTENCIA_2008_17" w:history="1">
        <w:r w:rsidRPr="0050129A">
          <w:rPr>
            <w:rStyle w:val="TextoNormalCaracter"/>
          </w:rPr>
          <w:t>17/2008</w:t>
        </w:r>
      </w:hyperlink>
      <w:r w:rsidRPr="0050129A">
        <w:rPr>
          <w:rStyle w:val="TextoNormalCaracter"/>
        </w:rPr>
        <w:t xml:space="preserve">, ff. 4, 5; </w:t>
      </w:r>
      <w:hyperlink w:anchor="SENTENCIA_2008_128" w:history="1">
        <w:r w:rsidRPr="0050129A">
          <w:rPr>
            <w:rStyle w:val="TextoNormalCaracter"/>
          </w:rPr>
          <w:t>18/2008</w:t>
        </w:r>
      </w:hyperlink>
      <w:r w:rsidRPr="0050129A">
        <w:rPr>
          <w:rStyle w:val="TextoNormalCaracter"/>
        </w:rPr>
        <w:t xml:space="preserve">, f. único; </w:t>
      </w:r>
      <w:hyperlink w:anchor="SENTENCIA_2008_24" w:history="1">
        <w:r w:rsidRPr="0050129A">
          <w:rPr>
            <w:rStyle w:val="TextoNormalCaracter"/>
          </w:rPr>
          <w:t>24/2008</w:t>
        </w:r>
      </w:hyperlink>
      <w:r w:rsidRPr="0050129A">
        <w:rPr>
          <w:rStyle w:val="TextoNormalCaracter"/>
        </w:rPr>
        <w:t xml:space="preserve">, f. 3; </w:t>
      </w:r>
      <w:hyperlink w:anchor="SENTENCIA_2008_25" w:history="1">
        <w:r w:rsidRPr="0050129A">
          <w:rPr>
            <w:rStyle w:val="TextoNormalCaracter"/>
          </w:rPr>
          <w:t>25/2008</w:t>
        </w:r>
      </w:hyperlink>
      <w:r w:rsidRPr="0050129A">
        <w:rPr>
          <w:rStyle w:val="TextoNormalCaracter"/>
        </w:rPr>
        <w:t xml:space="preserve">, f. 6; </w:t>
      </w:r>
      <w:hyperlink w:anchor="SENTENCIA_2008_45" w:history="1">
        <w:r w:rsidRPr="0050129A">
          <w:rPr>
            <w:rStyle w:val="TextoNormalCaracter"/>
          </w:rPr>
          <w:t>45/2008</w:t>
        </w:r>
      </w:hyperlink>
      <w:r w:rsidRPr="0050129A">
        <w:rPr>
          <w:rStyle w:val="TextoNormalCaracter"/>
        </w:rPr>
        <w:t>, f. 3.</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61" w:history="1">
        <w:r w:rsidRPr="0050129A">
          <w:rPr>
            <w:rStyle w:val="TextoNormalCaracter"/>
          </w:rPr>
          <w:t>61/2008</w:t>
        </w:r>
      </w:hyperlink>
      <w:r w:rsidRPr="0050129A">
        <w:rPr>
          <w:rStyle w:val="TextoNormalCaracter"/>
        </w:rPr>
        <w:t xml:space="preserve">; </w:t>
      </w:r>
      <w:hyperlink w:anchor="AUTO_2008_77" w:history="1">
        <w:r w:rsidRPr="0050129A">
          <w:rPr>
            <w:rStyle w:val="TextoNormalCaracter"/>
          </w:rPr>
          <w:t>77/2008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Sentencias </w:t>
      </w:r>
      <w:hyperlink w:anchor="SENTENCIA_2008_14" w:history="1">
        <w:r w:rsidRPr="0050129A">
          <w:rPr>
            <w:rStyle w:val="TextoNormalCaracter"/>
          </w:rPr>
          <w:t>14/2008</w:t>
        </w:r>
      </w:hyperlink>
      <w:r w:rsidRPr="0050129A">
        <w:rPr>
          <w:rStyle w:val="TextoNormalCaracter"/>
        </w:rPr>
        <w:t xml:space="preserve">, ff. 3, 4; </w:t>
      </w:r>
      <w:hyperlink w:anchor="SENTENCIA_2008_30" w:history="1">
        <w:r w:rsidRPr="0050129A">
          <w:rPr>
            <w:rStyle w:val="TextoNormalCaracter"/>
          </w:rPr>
          <w:t>30/2008</w:t>
        </w:r>
      </w:hyperlink>
      <w:r w:rsidRPr="0050129A">
        <w:rPr>
          <w:rStyle w:val="TextoNormalCaracter"/>
        </w:rPr>
        <w:t>, f. 8.</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Sentencias </w:t>
      </w:r>
      <w:hyperlink w:anchor="SENTENCIA_2008_3" w:history="1">
        <w:r w:rsidRPr="0050129A">
          <w:rPr>
            <w:rStyle w:val="TextoNormalCaracter"/>
          </w:rPr>
          <w:t>3/2008</w:t>
        </w:r>
      </w:hyperlink>
      <w:r w:rsidRPr="0050129A">
        <w:rPr>
          <w:rStyle w:val="TextoNormalCaracter"/>
        </w:rPr>
        <w:t xml:space="preserve">, ff. 3, 4; </w:t>
      </w:r>
      <w:hyperlink w:anchor="SENTENCIA_2008_17" w:history="1">
        <w:r w:rsidRPr="0050129A">
          <w:rPr>
            <w:rStyle w:val="TextoNormalCaracter"/>
          </w:rPr>
          <w:t>17/2008</w:t>
        </w:r>
      </w:hyperlink>
      <w:r w:rsidRPr="0050129A">
        <w:rPr>
          <w:rStyle w:val="TextoNormalCaracter"/>
        </w:rPr>
        <w:t xml:space="preserve">, ff. 3 a 5; </w:t>
      </w:r>
      <w:hyperlink w:anchor="SENTENCIA_2008_18" w:history="1">
        <w:r w:rsidRPr="0050129A">
          <w:rPr>
            <w:rStyle w:val="TextoNormalCaracter"/>
          </w:rPr>
          <w:t>18/2008</w:t>
        </w:r>
      </w:hyperlink>
      <w:r w:rsidRPr="0050129A">
        <w:rPr>
          <w:rStyle w:val="TextoNormalCaracter"/>
        </w:rPr>
        <w:t xml:space="preserve">, f. único; </w:t>
      </w:r>
      <w:hyperlink w:anchor="SENTENCIA_2008_24" w:history="1">
        <w:r w:rsidRPr="0050129A">
          <w:rPr>
            <w:rStyle w:val="TextoNormalCaracter"/>
          </w:rPr>
          <w:t>24/2008</w:t>
        </w:r>
      </w:hyperlink>
      <w:r w:rsidRPr="0050129A">
        <w:rPr>
          <w:rStyle w:val="TextoNormalCaracter"/>
        </w:rPr>
        <w:t xml:space="preserve">, f. 3; </w:t>
      </w:r>
      <w:hyperlink w:anchor="SENTENCIA_2008_25" w:history="1">
        <w:r w:rsidRPr="0050129A">
          <w:rPr>
            <w:rStyle w:val="TextoNormalCaracter"/>
          </w:rPr>
          <w:t>25/2008</w:t>
        </w:r>
      </w:hyperlink>
      <w:r w:rsidRPr="0050129A">
        <w:rPr>
          <w:rStyle w:val="TextoNormalCaracter"/>
        </w:rPr>
        <w:t xml:space="preserve">, f. 6; </w:t>
      </w:r>
      <w:hyperlink w:anchor="SENTENCIA_2008_45" w:history="1">
        <w:r w:rsidRPr="0050129A">
          <w:rPr>
            <w:rStyle w:val="TextoNormalCaracter"/>
          </w:rPr>
          <w:t>45/2008</w:t>
        </w:r>
      </w:hyperlink>
      <w:r w:rsidRPr="0050129A">
        <w:rPr>
          <w:rStyle w:val="TextoNormalCaracter"/>
        </w:rPr>
        <w:t xml:space="preserve">, f. 3; </w:t>
      </w:r>
      <w:hyperlink w:anchor="SENTENCIA_2008_46" w:history="1">
        <w:r w:rsidRPr="0050129A">
          <w:rPr>
            <w:rStyle w:val="TextoNormalCaracter"/>
          </w:rPr>
          <w:t>46/2008</w:t>
        </w:r>
      </w:hyperlink>
      <w:r w:rsidRPr="0050129A">
        <w:rPr>
          <w:rStyle w:val="TextoNormalCaracter"/>
        </w:rPr>
        <w:t>, f. 3.</w:t>
      </w:r>
    </w:p>
    <w:p w:rsidR="0050129A" w:rsidRPr="0050129A" w:rsidRDefault="0050129A" w:rsidP="0050129A">
      <w:pPr>
        <w:pStyle w:val="TextoNormalSangraFrancesa"/>
        <w:rPr>
          <w:rStyle w:val="TextoNormalCaracter"/>
        </w:rPr>
      </w:pPr>
      <w:bookmarkStart w:id="796" w:name="DESCRIPTORALFABETICO67"/>
      <w:r w:rsidRPr="0050129A">
        <w:rPr>
          <w:rStyle w:val="TextoNormalNegritaCaracter"/>
        </w:rPr>
        <w:t>Acceso a la justicia penal</w:t>
      </w:r>
      <w:bookmarkEnd w:id="796"/>
      <w:r w:rsidRPr="0050129A">
        <w:rPr>
          <w:rStyle w:val="TextoNormalCaracter"/>
        </w:rPr>
        <w:t xml:space="preserve">, Sentencias </w:t>
      </w:r>
      <w:hyperlink w:anchor="SENTENCIA_2008_7" w:history="1">
        <w:r w:rsidRPr="0050129A">
          <w:rPr>
            <w:rStyle w:val="TextoNormalCaracter"/>
          </w:rPr>
          <w:t>7/2008</w:t>
        </w:r>
      </w:hyperlink>
      <w:r w:rsidRPr="0050129A">
        <w:rPr>
          <w:rStyle w:val="TextoNormalCaracter"/>
        </w:rPr>
        <w:t xml:space="preserve">, f. 2; </w:t>
      </w:r>
      <w:hyperlink w:anchor="SENTENCIA_2008_52" w:history="1">
        <w:r w:rsidRPr="0050129A">
          <w:rPr>
            <w:rStyle w:val="TextoNormalCaracter"/>
          </w:rPr>
          <w:t>52/2008</w:t>
        </w:r>
      </w:hyperlink>
      <w:r w:rsidRPr="0050129A">
        <w:rPr>
          <w:rStyle w:val="TextoNormalCaracter"/>
        </w:rPr>
        <w:t>, ff. 3, 6.</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Sentencias </w:t>
      </w:r>
      <w:hyperlink w:anchor="SENTENCIA_2008_8" w:history="1">
        <w:r w:rsidRPr="0050129A">
          <w:rPr>
            <w:rStyle w:val="TextoNormalCaracter"/>
          </w:rPr>
          <w:t>8/2008</w:t>
        </w:r>
      </w:hyperlink>
      <w:r w:rsidRPr="0050129A">
        <w:rPr>
          <w:rStyle w:val="TextoNormalCaracter"/>
        </w:rPr>
        <w:t xml:space="preserve">, f. 3; </w:t>
      </w:r>
      <w:hyperlink w:anchor="SENTENCIA_2008_9" w:history="1">
        <w:r w:rsidRPr="0050129A">
          <w:rPr>
            <w:rStyle w:val="TextoNormalCaracter"/>
          </w:rPr>
          <w:t>9/2008</w:t>
        </w:r>
      </w:hyperlink>
      <w:r w:rsidRPr="0050129A">
        <w:rPr>
          <w:rStyle w:val="TextoNormalCaracter"/>
        </w:rPr>
        <w:t xml:space="preserve">, ff. 3, 4; </w:t>
      </w:r>
      <w:hyperlink w:anchor="SENTENCIA_2008_18" w:history="1">
        <w:r w:rsidRPr="0050129A">
          <w:rPr>
            <w:rStyle w:val="TextoNormalCaracter"/>
          </w:rPr>
          <w:t>18/2008</w:t>
        </w:r>
      </w:hyperlink>
      <w:r w:rsidRPr="0050129A">
        <w:rPr>
          <w:rStyle w:val="TextoNormalCaracter"/>
        </w:rPr>
        <w:t>, f. único.</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7" w:history="1">
        <w:r w:rsidRPr="0050129A">
          <w:rPr>
            <w:rStyle w:val="TextoNormalCaracter"/>
          </w:rPr>
          <w:t>7/2008</w:t>
        </w:r>
      </w:hyperlink>
      <w:r w:rsidRPr="0050129A">
        <w:rPr>
          <w:rStyle w:val="TextoNormalCaracter"/>
        </w:rPr>
        <w:t>, f. 4.</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Sentencias </w:t>
      </w:r>
      <w:hyperlink w:anchor="SENTENCIA_2008_8" w:history="1">
        <w:r w:rsidRPr="0050129A">
          <w:rPr>
            <w:rStyle w:val="TextoNormalCaracter"/>
          </w:rPr>
          <w:t>8/2008</w:t>
        </w:r>
      </w:hyperlink>
      <w:r w:rsidRPr="0050129A">
        <w:rPr>
          <w:rStyle w:val="TextoNormalCaracter"/>
        </w:rPr>
        <w:t xml:space="preserve">, f. 3; </w:t>
      </w:r>
      <w:hyperlink w:anchor="SENTENCIA_2008_9" w:history="1">
        <w:r w:rsidRPr="0050129A">
          <w:rPr>
            <w:rStyle w:val="TextoNormalCaracter"/>
          </w:rPr>
          <w:t>9/2008</w:t>
        </w:r>
      </w:hyperlink>
      <w:r w:rsidRPr="0050129A">
        <w:rPr>
          <w:rStyle w:val="TextoNormalCaracter"/>
        </w:rPr>
        <w:t xml:space="preserve">, ff. 2 a 4; </w:t>
      </w:r>
      <w:hyperlink w:anchor="SENTENCIA_2008_52" w:history="1">
        <w:r w:rsidRPr="0050129A">
          <w:rPr>
            <w:rStyle w:val="TextoNormalCaracter"/>
          </w:rPr>
          <w:t>52/2008</w:t>
        </w:r>
      </w:hyperlink>
      <w:r w:rsidRPr="0050129A">
        <w:rPr>
          <w:rStyle w:val="TextoNormalCaracter"/>
        </w:rPr>
        <w:t>, ff. 3, 6.</w:t>
      </w:r>
    </w:p>
    <w:p w:rsidR="0050129A" w:rsidRPr="0050129A" w:rsidRDefault="0050129A" w:rsidP="0050129A">
      <w:pPr>
        <w:pStyle w:val="TextoNormalSangraFrancesa"/>
        <w:rPr>
          <w:rStyle w:val="TextoNormalCaracter"/>
        </w:rPr>
      </w:pPr>
      <w:bookmarkStart w:id="797" w:name="DESCRIPTORALFABETICO72"/>
      <w:r w:rsidRPr="0050129A">
        <w:rPr>
          <w:rStyle w:val="TextoNormalNegritaCaracter"/>
        </w:rPr>
        <w:t>Acceso al proceso</w:t>
      </w:r>
      <w:bookmarkEnd w:id="797"/>
      <w:r w:rsidRPr="0050129A">
        <w:rPr>
          <w:rStyle w:val="TextoNormalCaracter"/>
        </w:rPr>
        <w:t xml:space="preserve">, Sentencia </w:t>
      </w:r>
      <w:hyperlink w:anchor="SENTENCIA_2008_10" w:history="1">
        <w:r w:rsidRPr="0050129A">
          <w:rPr>
            <w:rStyle w:val="TextoNormalCaracter"/>
          </w:rPr>
          <w:t>10/2008</w:t>
        </w:r>
      </w:hyperlink>
      <w:r w:rsidRPr="0050129A">
        <w:rPr>
          <w:rStyle w:val="TextoNormalCaracter"/>
        </w:rPr>
        <w:t>, ff. 2, 3.</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6" w:history="1">
        <w:r w:rsidRPr="0050129A">
          <w:rPr>
            <w:rStyle w:val="TextoNormalCaracter"/>
          </w:rPr>
          <w:t>6/2008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Auto </w:t>
      </w:r>
      <w:hyperlink w:anchor="AUTO_2008_77" w:history="1">
        <w:r w:rsidRPr="0050129A">
          <w:rPr>
            <w:rStyle w:val="TextoNormalCaracter"/>
          </w:rPr>
          <w:t>77/2008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Sentencias </w:t>
      </w:r>
      <w:hyperlink w:anchor="SENTENCIA_2008_10" w:history="1">
        <w:r w:rsidRPr="0050129A">
          <w:rPr>
            <w:rStyle w:val="TextoNormalCaracter"/>
          </w:rPr>
          <w:t>10/2008</w:t>
        </w:r>
      </w:hyperlink>
      <w:r w:rsidRPr="0050129A">
        <w:rPr>
          <w:rStyle w:val="TextoNormalCaracter"/>
        </w:rPr>
        <w:t xml:space="preserve">, f. 3; </w:t>
      </w:r>
      <w:hyperlink w:anchor="SENTENCIA_2008_58" w:history="1">
        <w:r w:rsidRPr="0050129A">
          <w:rPr>
            <w:rStyle w:val="TextoNormalCaracter"/>
          </w:rPr>
          <w:t>58/2008</w:t>
        </w:r>
      </w:hyperlink>
      <w:r w:rsidRPr="0050129A">
        <w:rPr>
          <w:rStyle w:val="TextoNormalCaracter"/>
        </w:rPr>
        <w:t>, ff. 3, 4.</w:t>
      </w:r>
    </w:p>
    <w:p w:rsidR="0050129A" w:rsidRPr="0050129A" w:rsidRDefault="0050129A" w:rsidP="0050129A">
      <w:pPr>
        <w:pStyle w:val="TextoNormalSangraFrancesa"/>
        <w:rPr>
          <w:rStyle w:val="TextoNormalNegritaCaracter"/>
        </w:rPr>
      </w:pPr>
      <w:r w:rsidRPr="0050129A">
        <w:rPr>
          <w:rStyle w:val="TextoNormalCursivaCaracter"/>
        </w:rPr>
        <w:t>Acceso al proceso legalmente debido</w:t>
      </w:r>
      <w:r>
        <w:t xml:space="preserve"> véase </w:t>
      </w:r>
      <w:hyperlink w:anchor="DESCRIPTORALFABETICO72" w:history="1">
        <w:r w:rsidRPr="0050129A">
          <w:rPr>
            <w:rStyle w:val="TextoNormalNegritaCaracter"/>
          </w:rPr>
          <w:t>Acceso al proceso</w:t>
        </w:r>
      </w:hyperlink>
    </w:p>
    <w:p w:rsidR="0050129A" w:rsidRPr="0050129A" w:rsidRDefault="0050129A" w:rsidP="0050129A">
      <w:pPr>
        <w:pStyle w:val="TextoNormalSangraFrancesa"/>
        <w:rPr>
          <w:rStyle w:val="TextoNormalCaracter"/>
        </w:rPr>
      </w:pPr>
      <w:bookmarkStart w:id="798" w:name="DESCRIPTORALFABETICO73"/>
      <w:r w:rsidRPr="0050129A">
        <w:rPr>
          <w:rStyle w:val="TextoNormalNegritaCaracter"/>
        </w:rPr>
        <w:t>Acceso al recurso legal</w:t>
      </w:r>
      <w:bookmarkEnd w:id="798"/>
      <w:r w:rsidRPr="0050129A">
        <w:rPr>
          <w:rStyle w:val="TextoNormalCaracter"/>
        </w:rPr>
        <w:t xml:space="preserve">, Sentencias </w:t>
      </w:r>
      <w:hyperlink w:anchor="SENTENCIA_2008_33" w:history="1">
        <w:r w:rsidRPr="0050129A">
          <w:rPr>
            <w:rStyle w:val="TextoNormalCaracter"/>
          </w:rPr>
          <w:t>33/2008</w:t>
        </w:r>
      </w:hyperlink>
      <w:r w:rsidRPr="0050129A">
        <w:rPr>
          <w:rStyle w:val="TextoNormalCaracter"/>
        </w:rPr>
        <w:t xml:space="preserve">, ff. 3, 4; </w:t>
      </w:r>
      <w:hyperlink w:anchor="SENTENCIA_2008_55" w:history="1">
        <w:r w:rsidRPr="0050129A">
          <w:rPr>
            <w:rStyle w:val="TextoNormalCaracter"/>
          </w:rPr>
          <w:t>55/2008</w:t>
        </w:r>
      </w:hyperlink>
      <w:r w:rsidRPr="0050129A">
        <w:rPr>
          <w:rStyle w:val="TextoNormalCaracter"/>
        </w:rPr>
        <w:t>, ff. 4, 6.</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30" w:history="1">
        <w:r w:rsidRPr="0050129A">
          <w:rPr>
            <w:rStyle w:val="TextoNormalCaracter"/>
          </w:rPr>
          <w:t>30/2008</w:t>
        </w:r>
      </w:hyperlink>
      <w:r w:rsidRPr="0050129A">
        <w:rPr>
          <w:rStyle w:val="TextoNormalCaracter"/>
        </w:rPr>
        <w:t xml:space="preserve">; </w:t>
      </w:r>
      <w:hyperlink w:anchor="AUTO_2008_83" w:history="1">
        <w:r w:rsidRPr="0050129A">
          <w:rPr>
            <w:rStyle w:val="TextoNormalCaracter"/>
          </w:rPr>
          <w:t>83/2008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33" w:history="1">
        <w:r w:rsidRPr="0050129A">
          <w:rPr>
            <w:rStyle w:val="TextoNormalCaracter"/>
          </w:rPr>
          <w:t>33/2008</w:t>
        </w:r>
      </w:hyperlink>
      <w:r w:rsidRPr="0050129A">
        <w:rPr>
          <w:rStyle w:val="TextoNormalCaracter"/>
        </w:rPr>
        <w:t>, ff. 3, 4.</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 </w:t>
      </w:r>
      <w:hyperlink w:anchor="SENTENCIA_2008_55" w:history="1">
        <w:r w:rsidRPr="0050129A">
          <w:rPr>
            <w:rStyle w:val="TextoNormalCaracter"/>
          </w:rPr>
          <w:t>55/2008</w:t>
        </w:r>
      </w:hyperlink>
      <w:r w:rsidRPr="0050129A">
        <w:rPr>
          <w:rStyle w:val="TextoNormalCaracter"/>
        </w:rPr>
        <w:t>, f. 6.</w:t>
      </w:r>
    </w:p>
    <w:p w:rsidR="0050129A" w:rsidRPr="0050129A" w:rsidRDefault="0050129A" w:rsidP="0050129A">
      <w:pPr>
        <w:pStyle w:val="TextoNormalSangraFrancesa"/>
        <w:rPr>
          <w:rStyle w:val="TextoNormalCaracter"/>
        </w:rPr>
      </w:pPr>
      <w:bookmarkStart w:id="799" w:name="DESCRIPTORALFABETICO74"/>
      <w:r w:rsidRPr="0050129A">
        <w:rPr>
          <w:rStyle w:val="TextoNormalNegritaCaracter"/>
        </w:rPr>
        <w:lastRenderedPageBreak/>
        <w:t>Acceso al recurso penal</w:t>
      </w:r>
      <w:bookmarkEnd w:id="799"/>
      <w:r w:rsidRPr="0050129A">
        <w:rPr>
          <w:rStyle w:val="TextoNormalCaracter"/>
        </w:rPr>
        <w:t xml:space="preserve">, Sentencia </w:t>
      </w:r>
      <w:hyperlink w:anchor="SENTENCIA_2008_48" w:history="1">
        <w:r w:rsidRPr="0050129A">
          <w:rPr>
            <w:rStyle w:val="TextoNormalCaracter"/>
          </w:rPr>
          <w:t>48/2008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48" w:history="1">
        <w:r w:rsidRPr="0050129A">
          <w:rPr>
            <w:rStyle w:val="TextoNormalCaracter"/>
          </w:rPr>
          <w:t>48/2008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48" w:history="1">
        <w:r w:rsidRPr="0050129A">
          <w:rPr>
            <w:rStyle w:val="TextoNormalCaracter"/>
          </w:rPr>
          <w:t>48/2008</w:t>
        </w:r>
      </w:hyperlink>
      <w:r w:rsidRPr="0050129A">
        <w:rPr>
          <w:rStyle w:val="TextoNormalCaracter"/>
        </w:rPr>
        <w:t>, f. 2.</w:t>
      </w:r>
    </w:p>
    <w:p w:rsidR="0050129A" w:rsidRPr="0050129A" w:rsidRDefault="0050129A" w:rsidP="0050129A">
      <w:pPr>
        <w:pStyle w:val="TextoNormalSangraFrancesa"/>
        <w:rPr>
          <w:rStyle w:val="TextoNormalCaracter"/>
        </w:rPr>
      </w:pPr>
      <w:bookmarkStart w:id="800" w:name="DESCRIPTORALFABETICO566"/>
      <w:r w:rsidRPr="0050129A">
        <w:rPr>
          <w:rStyle w:val="TextoNormalNegritaCaracter"/>
        </w:rPr>
        <w:t>Acción civil en el proceso penal</w:t>
      </w:r>
      <w:bookmarkEnd w:id="800"/>
      <w:r w:rsidRPr="0050129A">
        <w:rPr>
          <w:rStyle w:val="TextoNormalCaracter"/>
        </w:rPr>
        <w:t xml:space="preserve">, Sentencia </w:t>
      </w:r>
      <w:hyperlink w:anchor="SENTENCIA_2008_17" w:history="1">
        <w:r w:rsidRPr="0050129A">
          <w:rPr>
            <w:rStyle w:val="TextoNormalCaracter"/>
          </w:rPr>
          <w:t>17/2008</w:t>
        </w:r>
      </w:hyperlink>
      <w:r w:rsidRPr="0050129A">
        <w:rPr>
          <w:rStyle w:val="TextoNormalCaracter"/>
        </w:rPr>
        <w:t>, f. 4.</w:t>
      </w:r>
    </w:p>
    <w:p w:rsidR="0050129A" w:rsidRPr="0050129A" w:rsidRDefault="0050129A" w:rsidP="0050129A">
      <w:pPr>
        <w:pStyle w:val="TextoNormalSangraFrancesa"/>
        <w:rPr>
          <w:rStyle w:val="TextoNormalCaracter"/>
        </w:rPr>
      </w:pPr>
      <w:bookmarkStart w:id="801" w:name="DESCRIPTORALFABETICO567"/>
      <w:r w:rsidRPr="0050129A">
        <w:rPr>
          <w:rStyle w:val="TextoNormalNegritaCaracter"/>
        </w:rPr>
        <w:t>Acción popular</w:t>
      </w:r>
      <w:bookmarkEnd w:id="801"/>
      <w:r w:rsidRPr="0050129A">
        <w:rPr>
          <w:rStyle w:val="TextoNormalCaracter"/>
        </w:rPr>
        <w:t xml:space="preserve">, Sentencia </w:t>
      </w:r>
      <w:hyperlink w:anchor="SENTENCIA_2008_8" w:history="1">
        <w:r w:rsidRPr="0050129A">
          <w:rPr>
            <w:rStyle w:val="TextoNormalCaracter"/>
          </w:rPr>
          <w:t>8/2008</w:t>
        </w:r>
      </w:hyperlink>
      <w:r w:rsidRPr="0050129A">
        <w:rPr>
          <w:rStyle w:val="TextoNormalCaracter"/>
        </w:rPr>
        <w:t>, f. 3.</w:t>
      </w:r>
    </w:p>
    <w:p w:rsidR="0050129A" w:rsidRPr="0050129A" w:rsidRDefault="0050129A" w:rsidP="0050129A">
      <w:pPr>
        <w:pStyle w:val="TextoNormalSangraFrancesa"/>
        <w:rPr>
          <w:rStyle w:val="TextoNormalNegritaCaracter"/>
        </w:rPr>
      </w:pPr>
      <w:r w:rsidRPr="0050129A">
        <w:rPr>
          <w:rStyle w:val="TextoNormalCursivaCaracter"/>
        </w:rPr>
        <w:t>Actos administrativos firmes y consentidos</w:t>
      </w:r>
      <w:r>
        <w:t xml:space="preserve"> véase </w:t>
      </w:r>
      <w:hyperlink w:anchor="DESCRIPTORALFABETICO335" w:history="1">
        <w:r w:rsidRPr="0050129A">
          <w:rPr>
            <w:rStyle w:val="TextoNormalNegritaCaracter"/>
          </w:rPr>
          <w:t>Actos firmes y consentidos</w:t>
        </w:r>
      </w:hyperlink>
    </w:p>
    <w:p w:rsidR="0050129A" w:rsidRPr="0050129A" w:rsidRDefault="0050129A" w:rsidP="0050129A">
      <w:pPr>
        <w:pStyle w:val="TextoNormalSangraFrancesa"/>
        <w:rPr>
          <w:rStyle w:val="TextoNormalCaracter"/>
        </w:rPr>
      </w:pPr>
      <w:bookmarkStart w:id="802" w:name="DESCRIPTORALFABETICO334"/>
      <w:r w:rsidRPr="0050129A">
        <w:rPr>
          <w:rStyle w:val="TextoNormalNegritaCaracter"/>
        </w:rPr>
        <w:t>Actos de trámite</w:t>
      </w:r>
      <w:bookmarkEnd w:id="802"/>
      <w:r w:rsidRPr="0050129A">
        <w:rPr>
          <w:rStyle w:val="TextoNormalCaracter"/>
        </w:rPr>
        <w:t xml:space="preserve">, Auto </w:t>
      </w:r>
      <w:hyperlink w:anchor="AUTO_2008_61" w:history="1">
        <w:r w:rsidRPr="0050129A">
          <w:rPr>
            <w:rStyle w:val="TextoNormalCaracter"/>
          </w:rPr>
          <w:t>61/2008</w:t>
        </w:r>
      </w:hyperlink>
      <w:r w:rsidRPr="0050129A">
        <w:rPr>
          <w:rStyle w:val="TextoNormalCaracter"/>
        </w:rPr>
        <w:t>.</w:t>
      </w:r>
    </w:p>
    <w:p w:rsidR="0050129A" w:rsidRPr="0050129A" w:rsidRDefault="0050129A" w:rsidP="0050129A">
      <w:pPr>
        <w:pStyle w:val="TextoNormalSangraFrancesa"/>
        <w:rPr>
          <w:rStyle w:val="TextoNormalCaracter"/>
        </w:rPr>
      </w:pPr>
      <w:bookmarkStart w:id="803" w:name="DESCRIPTORALFABETICO335"/>
      <w:r w:rsidRPr="0050129A">
        <w:rPr>
          <w:rStyle w:val="TextoNormalNegritaCaracter"/>
        </w:rPr>
        <w:t>Actos firmes y consentidos</w:t>
      </w:r>
      <w:bookmarkEnd w:id="803"/>
      <w:r w:rsidRPr="0050129A">
        <w:rPr>
          <w:rStyle w:val="TextoNormalCaracter"/>
        </w:rPr>
        <w:t xml:space="preserve">, Sentencia </w:t>
      </w:r>
      <w:hyperlink w:anchor="SENTENCIA_2008_3" w:history="1">
        <w:r w:rsidRPr="0050129A">
          <w:rPr>
            <w:rStyle w:val="TextoNormalCaracter"/>
          </w:rPr>
          <w:t>3/2008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804" w:name="DESCRIPTORALFABETICO283"/>
      <w:r w:rsidRPr="0050129A">
        <w:rPr>
          <w:rStyle w:val="TextoNormalNegritaCaracter"/>
        </w:rPr>
        <w:t>Actos parlamentarios</w:t>
      </w:r>
      <w:bookmarkEnd w:id="804"/>
      <w:r w:rsidRPr="0050129A">
        <w:rPr>
          <w:rStyle w:val="TextoNormalCaracter"/>
        </w:rPr>
        <w:t xml:space="preserve">, Sentencias </w:t>
      </w:r>
      <w:hyperlink w:anchor="SENTENCIA_2008_39" w:history="1">
        <w:r w:rsidRPr="0050129A">
          <w:rPr>
            <w:rStyle w:val="TextoNormalCaracter"/>
          </w:rPr>
          <w:t>39/2008</w:t>
        </w:r>
      </w:hyperlink>
      <w:r w:rsidRPr="0050129A">
        <w:rPr>
          <w:rStyle w:val="TextoNormalCaracter"/>
        </w:rPr>
        <w:t xml:space="preserve">, f. 4; </w:t>
      </w:r>
      <w:hyperlink w:anchor="SENTENCIA_2008_50" w:history="1">
        <w:r w:rsidRPr="0050129A">
          <w:rPr>
            <w:rStyle w:val="TextoNormalCaracter"/>
          </w:rPr>
          <w:t>50/2008</w:t>
        </w:r>
      </w:hyperlink>
      <w:r w:rsidRPr="0050129A">
        <w:rPr>
          <w:rStyle w:val="TextoNormalCaracter"/>
        </w:rPr>
        <w:t>, f. 3.</w:t>
      </w:r>
    </w:p>
    <w:p w:rsidR="0050129A" w:rsidRPr="0050129A" w:rsidRDefault="0050129A" w:rsidP="0050129A">
      <w:pPr>
        <w:pStyle w:val="TextoNormalSangraFrancesa"/>
        <w:rPr>
          <w:rStyle w:val="TextoNormalCaracter"/>
        </w:rPr>
      </w:pPr>
      <w:bookmarkStart w:id="805" w:name="DESCRIPTORALFABETICO455"/>
      <w:r w:rsidRPr="0050129A">
        <w:rPr>
          <w:rStyle w:val="TextoNormalNegritaCaracter"/>
        </w:rPr>
        <w:t>Actos procesales de comunicación</w:t>
      </w:r>
      <w:bookmarkEnd w:id="805"/>
      <w:r w:rsidRPr="0050129A">
        <w:rPr>
          <w:rStyle w:val="TextoNormalCaracter"/>
        </w:rPr>
        <w:t xml:space="preserve">, Sentencia </w:t>
      </w:r>
      <w:hyperlink w:anchor="SENTENCIA_2008_2" w:history="1">
        <w:r w:rsidRPr="0050129A">
          <w:rPr>
            <w:rStyle w:val="TextoNormalCaracter"/>
          </w:rPr>
          <w:t>2/2008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Actos recurribles en amparo</w:t>
      </w:r>
      <w:r>
        <w:t xml:space="preserve"> véase </w:t>
      </w:r>
      <w:hyperlink w:anchor="DESCRIPTORALFABETICO221" w:history="1">
        <w:r w:rsidRPr="0050129A">
          <w:rPr>
            <w:rStyle w:val="TextoNormalNegritaCaracter"/>
          </w:rPr>
          <w:t>Actos susceptibles de amparo</w:t>
        </w:r>
      </w:hyperlink>
    </w:p>
    <w:p w:rsidR="0050129A" w:rsidRPr="0050129A" w:rsidRDefault="0050129A" w:rsidP="0050129A">
      <w:pPr>
        <w:pStyle w:val="TextoNormalSangraFrancesa"/>
        <w:rPr>
          <w:rStyle w:val="TextoNormalCaracter"/>
        </w:rPr>
      </w:pPr>
      <w:bookmarkStart w:id="806" w:name="DESCRIPTORALFABETICO421"/>
      <w:r w:rsidRPr="0050129A">
        <w:rPr>
          <w:rStyle w:val="TextoNormalNegritaCaracter"/>
        </w:rPr>
        <w:t>Actos registrales de comunicación</w:t>
      </w:r>
      <w:bookmarkEnd w:id="806"/>
      <w:r w:rsidRPr="0050129A">
        <w:rPr>
          <w:rStyle w:val="TextoNormalCaracter"/>
        </w:rPr>
        <w:t xml:space="preserve">, Sentencia </w:t>
      </w:r>
      <w:hyperlink w:anchor="SENTENCIA_2008_6" w:history="1">
        <w:r w:rsidRPr="0050129A">
          <w:rPr>
            <w:rStyle w:val="TextoNormalCaracter"/>
          </w:rPr>
          <w:t>6/2008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807" w:name="DESCRIPTORALFABETICO336"/>
      <w:r w:rsidRPr="0050129A">
        <w:rPr>
          <w:rStyle w:val="TextoNormalNegritaCaracter"/>
        </w:rPr>
        <w:t>Actos resolutorios</w:t>
      </w:r>
      <w:bookmarkEnd w:id="807"/>
      <w:r w:rsidRPr="0050129A">
        <w:rPr>
          <w:rStyle w:val="TextoNormalCaracter"/>
        </w:rPr>
        <w:t xml:space="preserve">, Auto </w:t>
      </w:r>
      <w:hyperlink w:anchor="AUTO_2008_61" w:history="1">
        <w:r w:rsidRPr="0050129A">
          <w:rPr>
            <w:rStyle w:val="TextoNormalCaracter"/>
          </w:rPr>
          <w:t>61/2008</w:t>
        </w:r>
      </w:hyperlink>
      <w:r w:rsidRPr="0050129A">
        <w:rPr>
          <w:rStyle w:val="TextoNormalCaracter"/>
        </w:rPr>
        <w:t>.</w:t>
      </w:r>
    </w:p>
    <w:p w:rsidR="0050129A" w:rsidRPr="0050129A" w:rsidRDefault="0050129A" w:rsidP="0050129A">
      <w:pPr>
        <w:pStyle w:val="TextoNormalSangraFrancesa"/>
        <w:rPr>
          <w:rStyle w:val="TextoNormalCaracter"/>
        </w:rPr>
      </w:pPr>
      <w:bookmarkStart w:id="808" w:name="DESCRIPTORALFABETICO221"/>
      <w:r w:rsidRPr="0050129A">
        <w:rPr>
          <w:rStyle w:val="TextoNormalNegritaCaracter"/>
        </w:rPr>
        <w:t>Actos susceptibles de amparo</w:t>
      </w:r>
      <w:bookmarkEnd w:id="808"/>
      <w:r w:rsidRPr="0050129A">
        <w:rPr>
          <w:rStyle w:val="TextoNormalCaracter"/>
        </w:rPr>
        <w:t xml:space="preserve">, Auto </w:t>
      </w:r>
      <w:hyperlink w:anchor="AUTO_2008_61" w:history="1">
        <w:r w:rsidRPr="0050129A">
          <w:rPr>
            <w:rStyle w:val="TextoNormalCaracter"/>
          </w:rPr>
          <w:t>61/2008</w:t>
        </w:r>
      </w:hyperlink>
      <w:r w:rsidRPr="0050129A">
        <w:rPr>
          <w:rStyle w:val="TextoNormalCaracter"/>
        </w:rPr>
        <w:t>.</w:t>
      </w:r>
    </w:p>
    <w:p w:rsidR="0050129A" w:rsidRPr="0050129A" w:rsidRDefault="0050129A" w:rsidP="0050129A">
      <w:pPr>
        <w:pStyle w:val="TextoNormalSangraFrancesa"/>
        <w:rPr>
          <w:rStyle w:val="TextoNormalCaracter"/>
        </w:rPr>
      </w:pPr>
      <w:bookmarkStart w:id="809" w:name="DESCRIPTORALFABETICO291"/>
      <w:r w:rsidRPr="0050129A">
        <w:rPr>
          <w:rStyle w:val="TextoNormalNegritaCaracter"/>
        </w:rPr>
        <w:t>Acuerdos de las Mesas parlamentarias</w:t>
      </w:r>
      <w:bookmarkEnd w:id="809"/>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bookmarkStart w:id="810" w:name="DESCRIPTORALFABETICO255"/>
      <w:r w:rsidRPr="0050129A">
        <w:rPr>
          <w:rStyle w:val="TextoNormalNegritaCaracter"/>
        </w:rPr>
        <w:t>Acuerdos del Tribunal Constitucional</w:t>
      </w:r>
      <w:bookmarkEnd w:id="810"/>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21, VP III.</w:t>
      </w:r>
    </w:p>
    <w:p w:rsidR="0050129A" w:rsidRPr="0050129A" w:rsidRDefault="0050129A" w:rsidP="0050129A">
      <w:pPr>
        <w:pStyle w:val="TextoNormalSangraFrancesa"/>
        <w:rPr>
          <w:rStyle w:val="TextoNormalCaracter"/>
        </w:rPr>
      </w:pPr>
      <w:bookmarkStart w:id="811" w:name="DESCRIPTORALFABETICO569"/>
      <w:r w:rsidRPr="0050129A">
        <w:rPr>
          <w:rStyle w:val="TextoNormalNegritaCaracter"/>
        </w:rPr>
        <w:t>Acusación particular</w:t>
      </w:r>
      <w:bookmarkEnd w:id="811"/>
      <w:r w:rsidRPr="0050129A">
        <w:rPr>
          <w:rStyle w:val="TextoNormalCaracter"/>
        </w:rPr>
        <w:t xml:space="preserve">, Sentencia </w:t>
      </w:r>
      <w:hyperlink w:anchor="SENTENCIA_2008_9" w:history="1">
        <w:r w:rsidRPr="0050129A">
          <w:rPr>
            <w:rStyle w:val="TextoNormalCaracter"/>
          </w:rPr>
          <w:t>9/2008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812" w:name="DESCRIPTORALFABETICO349"/>
      <w:r w:rsidRPr="0050129A">
        <w:rPr>
          <w:rStyle w:val="TextoNormalNegritaCaracter"/>
        </w:rPr>
        <w:t>Adopción</w:t>
      </w:r>
      <w:bookmarkEnd w:id="812"/>
      <w:r w:rsidRPr="0050129A">
        <w:rPr>
          <w:rStyle w:val="TextoNormalCaracter"/>
        </w:rPr>
        <w:t xml:space="preserve">, Sentencia </w:t>
      </w:r>
      <w:hyperlink w:anchor="SENTENCIA_2008_58" w:history="1">
        <w:r w:rsidRPr="0050129A">
          <w:rPr>
            <w:rStyle w:val="TextoNormalCaracter"/>
          </w:rPr>
          <w:t>58/2008</w:t>
        </w:r>
      </w:hyperlink>
      <w:r w:rsidRPr="0050129A">
        <w:rPr>
          <w:rStyle w:val="TextoNormalCaracter"/>
        </w:rPr>
        <w:t>, ff. 1 a 5.</w:t>
      </w:r>
    </w:p>
    <w:p w:rsidR="0050129A" w:rsidRPr="0050129A" w:rsidRDefault="0050129A" w:rsidP="0050129A">
      <w:pPr>
        <w:pStyle w:val="TextoNormalSangraFrancesa"/>
        <w:rPr>
          <w:rStyle w:val="TextoNormalCaracter"/>
        </w:rPr>
      </w:pPr>
      <w:bookmarkStart w:id="813" w:name="DESCRIPTORALFABETICO234"/>
      <w:r w:rsidRPr="0050129A">
        <w:rPr>
          <w:rStyle w:val="TextoNormalNegritaCaracter"/>
        </w:rPr>
        <w:t>Agotamiento de la vía judicial</w:t>
      </w:r>
      <w:bookmarkEnd w:id="813"/>
      <w:r w:rsidRPr="0050129A">
        <w:rPr>
          <w:rStyle w:val="TextoNormalCaracter"/>
        </w:rPr>
        <w:t xml:space="preserve">, Sentencias </w:t>
      </w:r>
      <w:hyperlink w:anchor="SENTENCIA_2008_1" w:history="1">
        <w:r w:rsidRPr="0050129A">
          <w:rPr>
            <w:rStyle w:val="TextoNormalCaracter"/>
          </w:rPr>
          <w:t>1/2008</w:t>
        </w:r>
      </w:hyperlink>
      <w:r w:rsidRPr="0050129A">
        <w:rPr>
          <w:rStyle w:val="TextoNormalCaracter"/>
        </w:rPr>
        <w:t xml:space="preserve">, f. 2; </w:t>
      </w:r>
      <w:hyperlink w:anchor="SENTENCIA_2008_4" w:history="1">
        <w:r w:rsidRPr="0050129A">
          <w:rPr>
            <w:rStyle w:val="TextoNormalCaracter"/>
          </w:rPr>
          <w:t>4/2008</w:t>
        </w:r>
      </w:hyperlink>
      <w:r w:rsidRPr="0050129A">
        <w:rPr>
          <w:rStyle w:val="TextoNormalCaracter"/>
        </w:rPr>
        <w:t xml:space="preserve">, f. 2; </w:t>
      </w:r>
      <w:hyperlink w:anchor="SENTENCIA_2008_5" w:history="1">
        <w:r w:rsidRPr="0050129A">
          <w:rPr>
            <w:rStyle w:val="TextoNormalCaracter"/>
          </w:rPr>
          <w:t>5/2008</w:t>
        </w:r>
      </w:hyperlink>
      <w:r w:rsidRPr="0050129A">
        <w:rPr>
          <w:rStyle w:val="TextoNormalCaracter"/>
        </w:rPr>
        <w:t xml:space="preserve">, f. 3; </w:t>
      </w:r>
      <w:hyperlink w:anchor="SENTENCIA_2008_14" w:history="1">
        <w:r w:rsidRPr="0050129A">
          <w:rPr>
            <w:rStyle w:val="TextoNormalCaracter"/>
          </w:rPr>
          <w:t>14/2008</w:t>
        </w:r>
      </w:hyperlink>
      <w:r w:rsidRPr="0050129A">
        <w:rPr>
          <w:rStyle w:val="TextoNormalCaracter"/>
        </w:rPr>
        <w:t xml:space="preserve">, f. 2; </w:t>
      </w:r>
      <w:hyperlink w:anchor="SENTENCIA_2008_15" w:history="1">
        <w:r w:rsidRPr="0050129A">
          <w:rPr>
            <w:rStyle w:val="TextoNormalCaracter"/>
          </w:rPr>
          <w:t>15/2008</w:t>
        </w:r>
      </w:hyperlink>
      <w:r w:rsidRPr="0050129A">
        <w:rPr>
          <w:rStyle w:val="TextoNormalCaracter"/>
        </w:rPr>
        <w:t xml:space="preserve">, f. 2; </w:t>
      </w:r>
      <w:hyperlink w:anchor="SENTENCIA_2008_17" w:history="1">
        <w:r w:rsidRPr="0050129A">
          <w:rPr>
            <w:rStyle w:val="TextoNormalCaracter"/>
          </w:rPr>
          <w:t>17/2008</w:t>
        </w:r>
      </w:hyperlink>
      <w:r w:rsidRPr="0050129A">
        <w:rPr>
          <w:rStyle w:val="TextoNormalCaracter"/>
        </w:rPr>
        <w:t xml:space="preserve">, f. 2; </w:t>
      </w:r>
      <w:hyperlink w:anchor="SENTENCIA_2008_25" w:history="1">
        <w:r w:rsidRPr="0050129A">
          <w:rPr>
            <w:rStyle w:val="TextoNormalCaracter"/>
          </w:rPr>
          <w:t>25/2008</w:t>
        </w:r>
      </w:hyperlink>
      <w:r w:rsidRPr="0050129A">
        <w:rPr>
          <w:rStyle w:val="TextoNormalCaracter"/>
        </w:rPr>
        <w:t xml:space="preserve">, f. 3; </w:t>
      </w:r>
      <w:hyperlink w:anchor="SENTENCIA_2008_43" w:history="1">
        <w:r w:rsidRPr="0050129A">
          <w:rPr>
            <w:rStyle w:val="TextoNormalCaracter"/>
          </w:rPr>
          <w:t>43/2008</w:t>
        </w:r>
      </w:hyperlink>
      <w:r w:rsidRPr="0050129A">
        <w:rPr>
          <w:rStyle w:val="TextoNormalCaracter"/>
        </w:rPr>
        <w:t xml:space="preserve">, f. 2; </w:t>
      </w:r>
      <w:hyperlink w:anchor="SENTENCIA_2008_56" w:history="1">
        <w:r w:rsidRPr="0050129A">
          <w:rPr>
            <w:rStyle w:val="TextoNormalCaracter"/>
          </w:rPr>
          <w:t>56/2008</w:t>
        </w:r>
      </w:hyperlink>
      <w:r w:rsidRPr="0050129A">
        <w:rPr>
          <w:rStyle w:val="TextoNormalCaracter"/>
        </w:rPr>
        <w:t>, f. 2, VP.</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41" w:history="1">
        <w:r w:rsidRPr="0050129A">
          <w:rPr>
            <w:rStyle w:val="TextoNormalCaracter"/>
          </w:rPr>
          <w:t>41/2008</w:t>
        </w:r>
      </w:hyperlink>
      <w:r w:rsidRPr="0050129A">
        <w:rPr>
          <w:rStyle w:val="TextoNormalCaracter"/>
        </w:rPr>
        <w:t xml:space="preserve">; </w:t>
      </w:r>
      <w:hyperlink w:anchor="AUTO_2008_70" w:history="1">
        <w:r w:rsidRPr="0050129A">
          <w:rPr>
            <w:rStyle w:val="TextoNormalCaracter"/>
          </w:rPr>
          <w:t>70/2008</w:t>
        </w:r>
      </w:hyperlink>
      <w:r w:rsidRPr="0050129A">
        <w:rPr>
          <w:rStyle w:val="TextoNormalCaracter"/>
        </w:rPr>
        <w:t>.</w:t>
      </w:r>
    </w:p>
    <w:p w:rsidR="0050129A" w:rsidRPr="0050129A" w:rsidRDefault="0050129A" w:rsidP="0050129A">
      <w:pPr>
        <w:pStyle w:val="TextoNormalSangraFrancesa"/>
        <w:rPr>
          <w:rStyle w:val="TextoNormalCaracter"/>
        </w:rPr>
      </w:pPr>
      <w:bookmarkStart w:id="814" w:name="DESCRIPTORALFABETICO237"/>
      <w:r w:rsidRPr="0050129A">
        <w:rPr>
          <w:rStyle w:val="TextoNormalNegritaCaracter"/>
        </w:rPr>
        <w:t>Agotamiento de la vía parlamentaria</w:t>
      </w:r>
      <w:bookmarkEnd w:id="814"/>
      <w:r w:rsidRPr="0050129A">
        <w:rPr>
          <w:rStyle w:val="TextoNormalCaracter"/>
        </w:rPr>
        <w:t xml:space="preserve">, Sentencia </w:t>
      </w:r>
      <w:hyperlink w:anchor="SENTENCIA_2008_20" w:history="1">
        <w:r w:rsidRPr="0050129A">
          <w:rPr>
            <w:rStyle w:val="TextoNormalCaracter"/>
          </w:rPr>
          <w:t>20/2008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Agotamiento de recursos en la vía judicial</w:t>
      </w:r>
      <w:r>
        <w:t xml:space="preserve"> véase </w:t>
      </w:r>
      <w:hyperlink w:anchor="DESCRIPTORALFABETICO234" w:history="1">
        <w:r w:rsidRPr="0050129A">
          <w:rPr>
            <w:rStyle w:val="TextoNormalNegritaCaracter"/>
          </w:rPr>
          <w:t>Agotamiento de la vía judicial</w:t>
        </w:r>
      </w:hyperlink>
    </w:p>
    <w:p w:rsidR="0050129A" w:rsidRPr="0050129A" w:rsidRDefault="0050129A" w:rsidP="0050129A">
      <w:pPr>
        <w:pStyle w:val="TextoNormalSangraFrancesa"/>
        <w:rPr>
          <w:rStyle w:val="TextoNormalCaracter"/>
        </w:rPr>
      </w:pPr>
      <w:bookmarkStart w:id="815" w:name="DESCRIPTORALFABETICO18"/>
      <w:r w:rsidRPr="0050129A">
        <w:rPr>
          <w:rStyle w:val="TextoNormalNegritaCaracter"/>
        </w:rPr>
        <w:t>Agrupaciones electorales</w:t>
      </w:r>
      <w:bookmarkEnd w:id="815"/>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6, 7.</w:t>
      </w:r>
    </w:p>
    <w:p w:rsidR="0050129A" w:rsidRPr="0050129A" w:rsidRDefault="0050129A" w:rsidP="0050129A">
      <w:pPr>
        <w:pStyle w:val="TextoNormalSangraFrancesa"/>
        <w:rPr>
          <w:rStyle w:val="TextoNormalCaracter"/>
        </w:rPr>
      </w:pPr>
      <w:bookmarkStart w:id="816" w:name="DESCRIPTORALFABETICO206"/>
      <w:r w:rsidRPr="0050129A">
        <w:rPr>
          <w:rStyle w:val="TextoNormalNegritaCaracter"/>
        </w:rPr>
        <w:t>Alcance de la declaración de inconstitucionalidad</w:t>
      </w:r>
      <w:bookmarkEnd w:id="816"/>
      <w:r w:rsidRPr="0050129A">
        <w:rPr>
          <w:rStyle w:val="TextoNormalCaracter"/>
        </w:rPr>
        <w:t xml:space="preserve">, Sentencia </w:t>
      </w:r>
      <w:hyperlink w:anchor="SENTENCIA_2008_46" w:history="1">
        <w:r w:rsidRPr="0050129A">
          <w:rPr>
            <w:rStyle w:val="TextoNormalCaracter"/>
          </w:rPr>
          <w:t>46/2008</w:t>
        </w:r>
      </w:hyperlink>
      <w:r w:rsidRPr="0050129A">
        <w:rPr>
          <w:rStyle w:val="TextoNormalCaracter"/>
        </w:rPr>
        <w:t>, f. 2.</w:t>
      </w:r>
    </w:p>
    <w:p w:rsidR="0050129A" w:rsidRPr="0050129A" w:rsidRDefault="0050129A" w:rsidP="0050129A">
      <w:pPr>
        <w:pStyle w:val="TextoNormalSangraFrancesa"/>
        <w:rPr>
          <w:rStyle w:val="TextoNormalCaracter"/>
        </w:rPr>
      </w:pPr>
      <w:bookmarkStart w:id="817" w:name="DESCRIPTORALFABETICO248"/>
      <w:r w:rsidRPr="0050129A">
        <w:rPr>
          <w:rStyle w:val="TextoNormalNegritaCaracter"/>
        </w:rPr>
        <w:t>Alcance del fallo en recurso de amparo</w:t>
      </w:r>
      <w:bookmarkEnd w:id="817"/>
      <w:r w:rsidRPr="0050129A">
        <w:rPr>
          <w:rStyle w:val="TextoNormalCaracter"/>
        </w:rPr>
        <w:t xml:space="preserve">, Sentencias </w:t>
      </w:r>
      <w:hyperlink w:anchor="SENTENCIA_2008_5" w:history="1">
        <w:r w:rsidRPr="0050129A">
          <w:rPr>
            <w:rStyle w:val="TextoNormalCaracter"/>
          </w:rPr>
          <w:t>5/2008</w:t>
        </w:r>
      </w:hyperlink>
      <w:r w:rsidRPr="0050129A">
        <w:rPr>
          <w:rStyle w:val="TextoNormalCaracter"/>
        </w:rPr>
        <w:t xml:space="preserve">, f. 6; </w:t>
      </w:r>
      <w:hyperlink w:anchor="SENTENCIA_2008_6" w:history="1">
        <w:r w:rsidRPr="0050129A">
          <w:rPr>
            <w:rStyle w:val="TextoNormalCaracter"/>
          </w:rPr>
          <w:t>6/2008</w:t>
        </w:r>
      </w:hyperlink>
      <w:r w:rsidRPr="0050129A">
        <w:rPr>
          <w:rStyle w:val="TextoNormalCaracter"/>
        </w:rPr>
        <w:t xml:space="preserve">, f. 5; </w:t>
      </w:r>
      <w:hyperlink w:anchor="SENTENCIA_2008_16" w:history="1">
        <w:r w:rsidRPr="0050129A">
          <w:rPr>
            <w:rStyle w:val="TextoNormalCaracter"/>
          </w:rPr>
          <w:t>16/2008</w:t>
        </w:r>
      </w:hyperlink>
      <w:r w:rsidRPr="0050129A">
        <w:rPr>
          <w:rStyle w:val="TextoNormalCaracter"/>
        </w:rPr>
        <w:t xml:space="preserve">, f. 4; </w:t>
      </w:r>
      <w:hyperlink w:anchor="SENTENCIA_2008_26" w:history="1">
        <w:r w:rsidRPr="0050129A">
          <w:rPr>
            <w:rStyle w:val="TextoNormalCaracter"/>
          </w:rPr>
          <w:t>26/2008</w:t>
        </w:r>
      </w:hyperlink>
      <w:r w:rsidRPr="0050129A">
        <w:rPr>
          <w:rStyle w:val="TextoNormalCaracter"/>
        </w:rPr>
        <w:t>, f. 11.</w:t>
      </w:r>
    </w:p>
    <w:p w:rsidR="0050129A" w:rsidRPr="0050129A" w:rsidRDefault="0050129A" w:rsidP="0050129A">
      <w:pPr>
        <w:pStyle w:val="TextoNormalSangraFrancesa"/>
        <w:rPr>
          <w:rStyle w:val="TextoNormalCaracter"/>
        </w:rPr>
      </w:pPr>
      <w:bookmarkStart w:id="818" w:name="DESCRIPTORALFABETICO242"/>
      <w:r w:rsidRPr="0050129A">
        <w:rPr>
          <w:rStyle w:val="TextoNormalNegritaCaracter"/>
        </w:rPr>
        <w:t>Alegación de inconstitucionalidad de la ley</w:t>
      </w:r>
      <w:bookmarkEnd w:id="818"/>
      <w:r w:rsidRPr="0050129A">
        <w:rPr>
          <w:rStyle w:val="TextoNormalCaracter"/>
        </w:rPr>
        <w:t xml:space="preserve">, Auto </w:t>
      </w:r>
      <w:hyperlink w:anchor="AUTO_2008_28" w:history="1">
        <w:r w:rsidRPr="0050129A">
          <w:rPr>
            <w:rStyle w:val="TextoNormalCaracter"/>
          </w:rPr>
          <w:t>28/2008</w:t>
        </w:r>
      </w:hyperlink>
      <w:r w:rsidRPr="0050129A">
        <w:rPr>
          <w:rStyle w:val="TextoNormalCaracter"/>
        </w:rPr>
        <w:t>.</w:t>
      </w:r>
    </w:p>
    <w:p w:rsidR="0050129A" w:rsidRPr="0050129A" w:rsidRDefault="0050129A" w:rsidP="0050129A">
      <w:pPr>
        <w:pStyle w:val="TextoNormalSangraFrancesa"/>
        <w:rPr>
          <w:rStyle w:val="TextoNormalCaracter"/>
        </w:rPr>
      </w:pPr>
      <w:bookmarkStart w:id="819" w:name="DESCRIPTORALFABETICO37"/>
      <w:r w:rsidRPr="0050129A">
        <w:rPr>
          <w:rStyle w:val="TextoNormalNegritaCaracter"/>
        </w:rPr>
        <w:t>Alteridad</w:t>
      </w:r>
      <w:bookmarkEnd w:id="819"/>
      <w:r w:rsidRPr="0050129A">
        <w:rPr>
          <w:rStyle w:val="TextoNormalCaracter"/>
        </w:rPr>
        <w:t xml:space="preserve">, Auto </w:t>
      </w:r>
      <w:hyperlink w:anchor="AUTO_2008_50" w:history="1">
        <w:r w:rsidRPr="0050129A">
          <w:rPr>
            <w:rStyle w:val="TextoNormalCaracter"/>
          </w:rPr>
          <w:t>50/2008</w:t>
        </w:r>
      </w:hyperlink>
      <w:r w:rsidRPr="0050129A">
        <w:rPr>
          <w:rStyle w:val="TextoNormalCaracter"/>
        </w:rPr>
        <w:t>.</w:t>
      </w:r>
    </w:p>
    <w:p w:rsidR="0050129A" w:rsidRPr="0050129A" w:rsidRDefault="0050129A" w:rsidP="0050129A">
      <w:pPr>
        <w:pStyle w:val="TextoNormalSangraFrancesa"/>
        <w:rPr>
          <w:rStyle w:val="TextoNormalCaracter"/>
        </w:rPr>
      </w:pPr>
      <w:bookmarkStart w:id="820" w:name="DESCRIPTORALFABETICO354"/>
      <w:r w:rsidRPr="0050129A">
        <w:rPr>
          <w:rStyle w:val="TextoNormalNegritaCaracter"/>
        </w:rPr>
        <w:t>Amenazas</w:t>
      </w:r>
      <w:bookmarkEnd w:id="820"/>
      <w:r w:rsidRPr="0050129A">
        <w:rPr>
          <w:rStyle w:val="TextoNormalCaracter"/>
        </w:rPr>
        <w:t xml:space="preserve">, Sentencia </w:t>
      </w:r>
      <w:hyperlink w:anchor="SENTENCIA_2008_28" w:history="1">
        <w:r w:rsidRPr="0050129A">
          <w:rPr>
            <w:rStyle w:val="TextoNormalCaracter"/>
          </w:rPr>
          <w:t>28/2008</w:t>
        </w:r>
      </w:hyperlink>
      <w:r w:rsidRPr="0050129A">
        <w:rPr>
          <w:rStyle w:val="TextoNormalCaracter"/>
        </w:rPr>
        <w:t>, f. 1.</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4" w:history="1">
        <w:r w:rsidRPr="0050129A">
          <w:rPr>
            <w:rStyle w:val="TextoNormalCaracter"/>
          </w:rPr>
          <w:t>4/2008</w:t>
        </w:r>
      </w:hyperlink>
      <w:r w:rsidRPr="0050129A">
        <w:rPr>
          <w:rStyle w:val="TextoNormalCaracter"/>
        </w:rPr>
        <w:t>.</w:t>
      </w:r>
    </w:p>
    <w:p w:rsidR="0050129A" w:rsidRPr="0050129A" w:rsidRDefault="0050129A" w:rsidP="0050129A">
      <w:pPr>
        <w:pStyle w:val="TextoNormalSangraFrancesa"/>
        <w:rPr>
          <w:rStyle w:val="TextoNormalCaracter"/>
        </w:rPr>
      </w:pPr>
      <w:bookmarkStart w:id="821" w:name="DESCRIPTORALFABETICO212"/>
      <w:r w:rsidRPr="0050129A">
        <w:rPr>
          <w:rStyle w:val="TextoNormalNegritaCaracter"/>
        </w:rPr>
        <w:t>Ampliación de la demanda de amparo</w:t>
      </w:r>
      <w:bookmarkEnd w:id="821"/>
      <w:r w:rsidRPr="0050129A">
        <w:rPr>
          <w:rStyle w:val="TextoNormalCaracter"/>
        </w:rPr>
        <w:t xml:space="preserve">, Sentencia </w:t>
      </w:r>
      <w:hyperlink w:anchor="SENTENCIA_2008_13" w:history="1">
        <w:r w:rsidRPr="0050129A">
          <w:rPr>
            <w:rStyle w:val="TextoNormalCaracter"/>
          </w:rPr>
          <w:t>13/2008</w:t>
        </w:r>
      </w:hyperlink>
      <w:r w:rsidRPr="0050129A">
        <w:rPr>
          <w:rStyle w:val="TextoNormalCaracter"/>
        </w:rPr>
        <w:t>, f. 3.</w:t>
      </w:r>
    </w:p>
    <w:p w:rsidR="0050129A" w:rsidRPr="0050129A" w:rsidRDefault="0050129A" w:rsidP="0050129A">
      <w:pPr>
        <w:pStyle w:val="TextoNormalSangraFrancesa"/>
        <w:rPr>
          <w:rStyle w:val="TextoNormalCaracter"/>
        </w:rPr>
      </w:pPr>
      <w:bookmarkStart w:id="822" w:name="DESCRIPTORALFABETICO592"/>
      <w:r w:rsidRPr="0050129A">
        <w:rPr>
          <w:rStyle w:val="TextoNormalNegritaCaracter"/>
        </w:rPr>
        <w:t>Andalucía</w:t>
      </w:r>
      <w:bookmarkEnd w:id="822"/>
      <w:r w:rsidRPr="0050129A">
        <w:rPr>
          <w:rStyle w:val="TextoNormalCaracter"/>
        </w:rPr>
        <w:t xml:space="preserve">, Auto </w:t>
      </w:r>
      <w:hyperlink w:anchor="AUTO_2008_51" w:history="1">
        <w:r w:rsidRPr="0050129A">
          <w:rPr>
            <w:rStyle w:val="TextoNormalCaracter"/>
          </w:rPr>
          <w:t>51/2008</w:t>
        </w:r>
      </w:hyperlink>
      <w:r w:rsidRPr="0050129A">
        <w:rPr>
          <w:rStyle w:val="TextoNormalCaracter"/>
        </w:rPr>
        <w:t>.</w:t>
      </w:r>
    </w:p>
    <w:p w:rsidR="0050129A" w:rsidRPr="0050129A" w:rsidRDefault="0050129A" w:rsidP="0050129A">
      <w:pPr>
        <w:pStyle w:val="TextoNormalSangraFrancesa"/>
        <w:rPr>
          <w:rStyle w:val="TextoNormalCaracter"/>
        </w:rPr>
      </w:pPr>
      <w:bookmarkStart w:id="823" w:name="DESCRIPTORALFABETICO512"/>
      <w:r w:rsidRPr="0050129A">
        <w:rPr>
          <w:rStyle w:val="TextoNormalNegritaCaracter"/>
        </w:rPr>
        <w:t>Anotación preventiva de demanda</w:t>
      </w:r>
      <w:bookmarkEnd w:id="823"/>
      <w:r w:rsidRPr="0050129A">
        <w:rPr>
          <w:rStyle w:val="TextoNormalCaracter"/>
        </w:rPr>
        <w:t xml:space="preserve">, Sentencia </w:t>
      </w:r>
      <w:hyperlink w:anchor="SENTENCIA_2008_4" w:history="1">
        <w:r w:rsidRPr="0050129A">
          <w:rPr>
            <w:rStyle w:val="TextoNormalCaracter"/>
          </w:rPr>
          <w:t>4/2008</w:t>
        </w:r>
      </w:hyperlink>
      <w:r w:rsidRPr="0050129A">
        <w:rPr>
          <w:rStyle w:val="TextoNormalCaracter"/>
        </w:rPr>
        <w:t>, f. 3.</w:t>
      </w:r>
    </w:p>
    <w:p w:rsidR="0050129A" w:rsidRPr="0050129A" w:rsidRDefault="0050129A" w:rsidP="0050129A">
      <w:pPr>
        <w:pStyle w:val="TextoNormalSangraFrancesa"/>
        <w:rPr>
          <w:rStyle w:val="TextoNormalCaracter"/>
        </w:rPr>
      </w:pPr>
      <w:bookmarkStart w:id="824" w:name="DESCRIPTORALFABETICO572"/>
      <w:r w:rsidRPr="0050129A">
        <w:rPr>
          <w:rStyle w:val="TextoNormalNegritaCaracter"/>
        </w:rPr>
        <w:t>Anulación del juicio oral</w:t>
      </w:r>
      <w:bookmarkEnd w:id="824"/>
      <w:r w:rsidRPr="0050129A">
        <w:rPr>
          <w:rStyle w:val="TextoNormalCaracter"/>
        </w:rPr>
        <w:t xml:space="preserve">, Sentencia </w:t>
      </w:r>
      <w:hyperlink w:anchor="SENTENCIA_2008_23" w:history="1">
        <w:r w:rsidRPr="0050129A">
          <w:rPr>
            <w:rStyle w:val="TextoNormalCaracter"/>
          </w:rPr>
          <w:t>23/2008</w:t>
        </w:r>
      </w:hyperlink>
      <w:r w:rsidRPr="0050129A">
        <w:rPr>
          <w:rStyle w:val="TextoNormalCaracter"/>
        </w:rPr>
        <w:t>, ff. 2 a 5.</w:t>
      </w:r>
    </w:p>
    <w:p w:rsidR="0050129A" w:rsidRPr="0050129A" w:rsidRDefault="0050129A" w:rsidP="0050129A">
      <w:pPr>
        <w:pStyle w:val="TextoNormalSangraFrancesa"/>
        <w:rPr>
          <w:rStyle w:val="TextoNormalCaracter"/>
        </w:rPr>
      </w:pPr>
      <w:bookmarkStart w:id="825" w:name="DESCRIPTORALFABETICO376"/>
      <w:r w:rsidRPr="0050129A">
        <w:rPr>
          <w:rStyle w:val="TextoNormalNegritaCaracter"/>
        </w:rPr>
        <w:t>Aplicación de normas derogadas</w:t>
      </w:r>
      <w:bookmarkEnd w:id="825"/>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 4, VP.</w:t>
      </w:r>
    </w:p>
    <w:p w:rsidR="0050129A" w:rsidRPr="0050129A" w:rsidRDefault="0050129A" w:rsidP="0050129A">
      <w:pPr>
        <w:pStyle w:val="TextoNormalSangraFrancesa"/>
        <w:rPr>
          <w:rStyle w:val="TextoNormalCaracter"/>
        </w:rPr>
      </w:pPr>
      <w:bookmarkStart w:id="826" w:name="DESCRIPTORALFABETICO360"/>
      <w:r w:rsidRPr="0050129A">
        <w:rPr>
          <w:rStyle w:val="TextoNormalNegritaCaracter"/>
        </w:rPr>
        <w:t>Apología del terrorismo</w:t>
      </w:r>
      <w:bookmarkEnd w:id="826"/>
      <w:r w:rsidRPr="0050129A">
        <w:rPr>
          <w:rStyle w:val="TextoNormalCaracter"/>
        </w:rPr>
        <w:t xml:space="preserve">, Auto </w:t>
      </w:r>
      <w:hyperlink w:anchor="AUTO_2008_4" w:history="1">
        <w:r w:rsidRPr="0050129A">
          <w:rPr>
            <w:rStyle w:val="TextoNormalCaracter"/>
          </w:rPr>
          <w:t>4/2008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Apreciación de la prueba</w:t>
      </w:r>
      <w:r>
        <w:t xml:space="preserve"> véase </w:t>
      </w:r>
      <w:hyperlink w:anchor="DESCRIPTORALFABETICO497" w:history="1">
        <w:r w:rsidRPr="0050129A">
          <w:rPr>
            <w:rStyle w:val="TextoNormalNegritaCaracter"/>
          </w:rPr>
          <w:t>Valoración de la prueba</w:t>
        </w:r>
      </w:hyperlink>
    </w:p>
    <w:p w:rsidR="0050129A" w:rsidRPr="0050129A" w:rsidRDefault="0050129A" w:rsidP="0050129A">
      <w:pPr>
        <w:pStyle w:val="TextoNormalSangraFrancesa"/>
        <w:rPr>
          <w:rStyle w:val="TextoNormalCaracter"/>
        </w:rPr>
      </w:pPr>
      <w:bookmarkStart w:id="827" w:name="DESCRIPTORALFABETICO452"/>
      <w:r w:rsidRPr="0050129A">
        <w:rPr>
          <w:rStyle w:val="TextoNormalNegritaCaracter"/>
        </w:rPr>
        <w:t>Apreciación de prescripción de la acción</w:t>
      </w:r>
      <w:bookmarkEnd w:id="827"/>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 4, VP.</w:t>
      </w:r>
    </w:p>
    <w:p w:rsidR="0050129A" w:rsidRPr="0050129A" w:rsidRDefault="0050129A" w:rsidP="0050129A">
      <w:pPr>
        <w:pStyle w:val="TextoNormalSangraFrancesa"/>
        <w:rPr>
          <w:rStyle w:val="TextoNormalCaracter"/>
        </w:rPr>
      </w:pPr>
      <w:bookmarkStart w:id="828" w:name="DESCRIPTORALFABETICO308"/>
      <w:r w:rsidRPr="0050129A">
        <w:rPr>
          <w:rStyle w:val="TextoNormalNegritaCaracter"/>
        </w:rPr>
        <w:t>Arbitrariedad del legislador</w:t>
      </w:r>
      <w:bookmarkEnd w:id="828"/>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5.</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71" w:history="1">
        <w:r w:rsidRPr="0050129A">
          <w:rPr>
            <w:rStyle w:val="TextoNormalCaracter"/>
          </w:rPr>
          <w:t>71/2008</w:t>
        </w:r>
      </w:hyperlink>
      <w:r w:rsidRPr="0050129A">
        <w:rPr>
          <w:rStyle w:val="TextoNormalCaracter"/>
        </w:rPr>
        <w:t>.</w:t>
      </w:r>
    </w:p>
    <w:p w:rsidR="0050129A" w:rsidRPr="0050129A" w:rsidRDefault="0050129A" w:rsidP="0050129A">
      <w:pPr>
        <w:pStyle w:val="TextoNormalSangraFrancesa"/>
        <w:rPr>
          <w:rStyle w:val="TextoNormalCaracter"/>
        </w:rPr>
      </w:pPr>
      <w:bookmarkStart w:id="829" w:name="DESCRIPTORALFABETICO463"/>
      <w:r w:rsidRPr="0050129A">
        <w:rPr>
          <w:rStyle w:val="TextoNormalNegritaCaracter"/>
        </w:rPr>
        <w:t>Archivo de actuaciones</w:t>
      </w:r>
      <w:bookmarkEnd w:id="829"/>
      <w:r w:rsidRPr="0050129A">
        <w:rPr>
          <w:rStyle w:val="TextoNormalCaracter"/>
        </w:rPr>
        <w:t xml:space="preserve">, Sentencia </w:t>
      </w:r>
      <w:hyperlink w:anchor="SENTENCIA_2008_55" w:history="1">
        <w:r w:rsidRPr="0050129A">
          <w:rPr>
            <w:rStyle w:val="TextoNormalCaracter"/>
          </w:rPr>
          <w:t>55/2008</w:t>
        </w:r>
      </w:hyperlink>
      <w:r w:rsidRPr="0050129A">
        <w:rPr>
          <w:rStyle w:val="TextoNormalCaracter"/>
        </w:rPr>
        <w:t>, ff. 4 a 6.</w:t>
      </w:r>
    </w:p>
    <w:p w:rsidR="0050129A" w:rsidRPr="0050129A" w:rsidRDefault="0050129A" w:rsidP="0050129A">
      <w:pPr>
        <w:pStyle w:val="TextoNormalSangraFrancesa"/>
        <w:rPr>
          <w:rStyle w:val="TextoNormalCaracter"/>
        </w:rPr>
      </w:pPr>
      <w:bookmarkStart w:id="830" w:name="DESCRIPTORALFABETICO464"/>
      <w:r w:rsidRPr="0050129A">
        <w:rPr>
          <w:rStyle w:val="TextoNormalNegritaCaracter"/>
        </w:rPr>
        <w:t>Archivo de causa penal</w:t>
      </w:r>
      <w:bookmarkEnd w:id="830"/>
      <w:r w:rsidRPr="0050129A">
        <w:rPr>
          <w:rStyle w:val="TextoNormalCaracter"/>
        </w:rPr>
        <w:t xml:space="preserve">, Sentencia </w:t>
      </w:r>
      <w:hyperlink w:anchor="SENTENCIA_2008_52" w:history="1">
        <w:r w:rsidRPr="0050129A">
          <w:rPr>
            <w:rStyle w:val="TextoNormalCaracter"/>
          </w:rPr>
          <w:t>52/2008</w:t>
        </w:r>
      </w:hyperlink>
      <w:r w:rsidRPr="0050129A">
        <w:rPr>
          <w:rStyle w:val="TextoNormalCaracter"/>
        </w:rPr>
        <w:t>, ff. 3, 6.</w:t>
      </w:r>
    </w:p>
    <w:p w:rsidR="0050129A" w:rsidRPr="0050129A" w:rsidRDefault="0050129A" w:rsidP="0050129A">
      <w:pPr>
        <w:pStyle w:val="TextoNormalSangraFrancesa"/>
        <w:rPr>
          <w:rStyle w:val="TextoNormalCaracter"/>
        </w:rPr>
      </w:pPr>
      <w:bookmarkStart w:id="831" w:name="DESCRIPTORALFABETICO561"/>
      <w:r w:rsidRPr="0050129A">
        <w:rPr>
          <w:rStyle w:val="TextoNormalNegritaCaracter"/>
        </w:rPr>
        <w:t>Archivo de demanda por despido</w:t>
      </w:r>
      <w:bookmarkEnd w:id="831"/>
      <w:r w:rsidRPr="0050129A">
        <w:rPr>
          <w:rStyle w:val="TextoNormalCaracter"/>
        </w:rPr>
        <w:t xml:space="preserve">, Auto </w:t>
      </w:r>
      <w:hyperlink w:anchor="AUTO_2008_77" w:history="1">
        <w:r w:rsidRPr="0050129A">
          <w:rPr>
            <w:rStyle w:val="TextoNormalCaracter"/>
          </w:rPr>
          <w:t>77/2008</w:t>
        </w:r>
      </w:hyperlink>
      <w:r w:rsidRPr="0050129A">
        <w:rPr>
          <w:rStyle w:val="TextoNormalCaracter"/>
        </w:rPr>
        <w:t>.</w:t>
      </w:r>
    </w:p>
    <w:p w:rsidR="0050129A" w:rsidRPr="0050129A" w:rsidRDefault="0050129A" w:rsidP="0050129A">
      <w:pPr>
        <w:pStyle w:val="TextoNormalSangraFrancesa"/>
        <w:rPr>
          <w:rStyle w:val="TextoNormalCaracter"/>
        </w:rPr>
      </w:pPr>
      <w:bookmarkStart w:id="832" w:name="DESCRIPTORALFABETICO332"/>
      <w:r w:rsidRPr="0050129A">
        <w:rPr>
          <w:rStyle w:val="TextoNormalNegritaCaracter"/>
        </w:rPr>
        <w:t>Áreas metropolitanas</w:t>
      </w:r>
      <w:bookmarkEnd w:id="832"/>
      <w:r w:rsidRPr="0050129A">
        <w:rPr>
          <w:rStyle w:val="TextoNormalCaracter"/>
        </w:rPr>
        <w:t xml:space="preserve">, Sentencia </w:t>
      </w:r>
      <w:hyperlink w:anchor="SENTENCIA_2008_47" w:history="1">
        <w:r w:rsidRPr="0050129A">
          <w:rPr>
            <w:rStyle w:val="TextoNormalCaracter"/>
          </w:rPr>
          <w:t>47/2008</w:t>
        </w:r>
      </w:hyperlink>
      <w:r w:rsidRPr="0050129A">
        <w:rPr>
          <w:rStyle w:val="TextoNormalCaracter"/>
        </w:rPr>
        <w:t>, f. 2.</w:t>
      </w:r>
    </w:p>
    <w:p w:rsidR="0050129A" w:rsidRPr="0050129A" w:rsidRDefault="0050129A" w:rsidP="0050129A">
      <w:pPr>
        <w:pStyle w:val="TextoNormalSangraFrancesa"/>
        <w:rPr>
          <w:rStyle w:val="TextoNormalCaracter"/>
        </w:rPr>
      </w:pPr>
      <w:bookmarkStart w:id="833" w:name="DESCRIPTORALFABETICO396"/>
      <w:r w:rsidRPr="0050129A">
        <w:rPr>
          <w:rStyle w:val="TextoNormalNegritaCaracter"/>
        </w:rPr>
        <w:t>Arresto de fin de semana</w:t>
      </w:r>
      <w:bookmarkEnd w:id="833"/>
      <w:r w:rsidRPr="0050129A">
        <w:rPr>
          <w:rStyle w:val="TextoNormalCaracter"/>
        </w:rPr>
        <w:t xml:space="preserve">, Auto </w:t>
      </w:r>
      <w:hyperlink w:anchor="AUTO_2008_111" w:history="1">
        <w:r w:rsidRPr="0050129A">
          <w:rPr>
            <w:rStyle w:val="TextoNormalCaracter"/>
          </w:rPr>
          <w:t>111/2008</w:t>
        </w:r>
      </w:hyperlink>
      <w:r w:rsidRPr="0050129A">
        <w:rPr>
          <w:rStyle w:val="TextoNormalCaracter"/>
        </w:rPr>
        <w:t>.</w:t>
      </w:r>
    </w:p>
    <w:p w:rsidR="0050129A" w:rsidRPr="0050129A" w:rsidRDefault="0050129A" w:rsidP="0050129A">
      <w:pPr>
        <w:pStyle w:val="TextoNormalSangraFrancesa"/>
        <w:rPr>
          <w:rStyle w:val="TextoNormalCaracter"/>
        </w:rPr>
      </w:pPr>
      <w:bookmarkStart w:id="834" w:name="DESCRIPTORALFABETICO295"/>
      <w:r w:rsidRPr="0050129A">
        <w:rPr>
          <w:rStyle w:val="TextoNormalNegritaCaracter"/>
        </w:rPr>
        <w:t>Asamblea de Madrid</w:t>
      </w:r>
      <w:bookmarkEnd w:id="834"/>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ff. 1, 2, 3, 4, 5, 6, 7.</w:t>
      </w:r>
    </w:p>
    <w:p w:rsidR="0050129A" w:rsidRPr="0050129A" w:rsidRDefault="0050129A" w:rsidP="0050129A">
      <w:pPr>
        <w:pStyle w:val="TextoNormalSangraFrancesa"/>
        <w:rPr>
          <w:rStyle w:val="TextoNormalCaracter"/>
        </w:rPr>
      </w:pPr>
      <w:bookmarkStart w:id="835" w:name="DESCRIPTORALFABETICO111"/>
      <w:r w:rsidRPr="0050129A">
        <w:rPr>
          <w:rStyle w:val="TextoNormalNegritaCaracter"/>
        </w:rPr>
        <w:t>Asesoramiento de criminólogo</w:t>
      </w:r>
      <w:bookmarkEnd w:id="835"/>
      <w:r w:rsidRPr="0050129A">
        <w:rPr>
          <w:rStyle w:val="TextoNormalCaracter"/>
        </w:rPr>
        <w:t xml:space="preserve">, Sentencia </w:t>
      </w:r>
      <w:hyperlink w:anchor="SENTENCIA_2008_5" w:history="1">
        <w:r w:rsidRPr="0050129A">
          <w:rPr>
            <w:rStyle w:val="TextoNormalCaracter"/>
          </w:rPr>
          <w:t>5/2008</w:t>
        </w:r>
      </w:hyperlink>
      <w:r w:rsidRPr="0050129A">
        <w:rPr>
          <w:rStyle w:val="TextoNormalCaracter"/>
        </w:rPr>
        <w:t>, f. 4.</w:t>
      </w:r>
    </w:p>
    <w:p w:rsidR="0050129A" w:rsidRPr="0050129A" w:rsidRDefault="0050129A" w:rsidP="0050129A">
      <w:pPr>
        <w:pStyle w:val="TextoNormalSangraFrancesa"/>
        <w:rPr>
          <w:rStyle w:val="TextoNormalCaracter"/>
        </w:rPr>
      </w:pPr>
      <w:bookmarkStart w:id="836" w:name="DESCRIPTORALFABETICO110"/>
      <w:r w:rsidRPr="0050129A">
        <w:rPr>
          <w:rStyle w:val="TextoNormalNegritaCaracter"/>
        </w:rPr>
        <w:lastRenderedPageBreak/>
        <w:t>Asesoramiento legal</w:t>
      </w:r>
      <w:bookmarkEnd w:id="836"/>
      <w:r w:rsidRPr="0050129A">
        <w:rPr>
          <w:rStyle w:val="TextoNormalCaracter"/>
        </w:rPr>
        <w:t xml:space="preserve">, Sentencias </w:t>
      </w:r>
      <w:hyperlink w:anchor="SENTENCIA_2008_5" w:history="1">
        <w:r w:rsidRPr="0050129A">
          <w:rPr>
            <w:rStyle w:val="TextoNormalCaracter"/>
          </w:rPr>
          <w:t>5/2008</w:t>
        </w:r>
      </w:hyperlink>
      <w:r w:rsidRPr="0050129A">
        <w:rPr>
          <w:rStyle w:val="TextoNormalCaracter"/>
        </w:rPr>
        <w:t xml:space="preserve">, f. 4; </w:t>
      </w:r>
      <w:hyperlink w:anchor="SENTENCIA_2008_42" w:history="1">
        <w:r w:rsidRPr="0050129A">
          <w:rPr>
            <w:rStyle w:val="TextoNormalCaracter"/>
          </w:rPr>
          <w:t>42/2008</w:t>
        </w:r>
      </w:hyperlink>
      <w:r w:rsidRPr="0050129A">
        <w:rPr>
          <w:rStyle w:val="TextoNormalCaracter"/>
        </w:rPr>
        <w:t>, ff. 3, 4.</w:t>
      </w:r>
    </w:p>
    <w:p w:rsidR="0050129A" w:rsidRPr="0050129A" w:rsidRDefault="0050129A" w:rsidP="0050129A">
      <w:pPr>
        <w:pStyle w:val="TextoNormalSangraFrancesa"/>
        <w:rPr>
          <w:rStyle w:val="TextoNormalNegritaCaracter"/>
        </w:rPr>
      </w:pPr>
      <w:r w:rsidRPr="0050129A">
        <w:rPr>
          <w:rStyle w:val="TextoNormalCursivaCaracter"/>
        </w:rPr>
        <w:t>Asistencia jurídica gratuita</w:t>
      </w:r>
      <w:r>
        <w:t xml:space="preserve"> véase </w:t>
      </w:r>
      <w:hyperlink w:anchor="DESCRIPTORALFABETICO506" w:history="1">
        <w:r w:rsidRPr="0050129A">
          <w:rPr>
            <w:rStyle w:val="TextoNormalNegritaCaracter"/>
          </w:rPr>
          <w:t>Justicia gratuita</w:t>
        </w:r>
      </w:hyperlink>
    </w:p>
    <w:p w:rsidR="0050129A" w:rsidRPr="0050129A" w:rsidRDefault="0050129A" w:rsidP="0050129A">
      <w:pPr>
        <w:pStyle w:val="TextoNormalSangraFrancesa"/>
        <w:rPr>
          <w:rStyle w:val="TextoNormalCaracter"/>
        </w:rPr>
      </w:pPr>
      <w:bookmarkStart w:id="837" w:name="DESCRIPTORALFABETICO196"/>
      <w:r w:rsidRPr="0050129A">
        <w:rPr>
          <w:rStyle w:val="TextoNormalNegritaCaracter"/>
        </w:rPr>
        <w:t>Audiencia previa a las partes</w:t>
      </w:r>
      <w:bookmarkEnd w:id="837"/>
      <w:r w:rsidRPr="0050129A">
        <w:rPr>
          <w:rStyle w:val="TextoNormalCaracter"/>
        </w:rPr>
        <w:t xml:space="preserve">, Autos </w:t>
      </w:r>
      <w:hyperlink w:anchor="AUTO_2008_8" w:history="1">
        <w:r w:rsidRPr="0050129A">
          <w:rPr>
            <w:rStyle w:val="TextoNormalCaracter"/>
          </w:rPr>
          <w:t>8/2008</w:t>
        </w:r>
      </w:hyperlink>
      <w:r w:rsidRPr="0050129A">
        <w:rPr>
          <w:rStyle w:val="TextoNormalCaracter"/>
        </w:rPr>
        <w:t xml:space="preserve">; </w:t>
      </w:r>
      <w:hyperlink w:anchor="AUTO_2008_13" w:history="1">
        <w:r w:rsidRPr="0050129A">
          <w:rPr>
            <w:rStyle w:val="TextoNormalCaracter"/>
          </w:rPr>
          <w:t>13/2008</w:t>
        </w:r>
      </w:hyperlink>
      <w:r w:rsidRPr="0050129A">
        <w:rPr>
          <w:rStyle w:val="TextoNormalCaracter"/>
        </w:rPr>
        <w:t xml:space="preserve">; </w:t>
      </w:r>
      <w:hyperlink w:anchor="AUTO_2008_54" w:history="1">
        <w:r w:rsidRPr="0050129A">
          <w:rPr>
            <w:rStyle w:val="TextoNormalCaracter"/>
          </w:rPr>
          <w:t>54/2008</w:t>
        </w:r>
      </w:hyperlink>
      <w:r w:rsidRPr="0050129A">
        <w:rPr>
          <w:rStyle w:val="TextoNormalCaracter"/>
        </w:rPr>
        <w:t>.</w:t>
      </w:r>
    </w:p>
    <w:p w:rsidR="0050129A" w:rsidRPr="0050129A" w:rsidRDefault="0050129A" w:rsidP="0050129A">
      <w:pPr>
        <w:pStyle w:val="TextoNormalSangraFrancesa"/>
        <w:rPr>
          <w:rStyle w:val="TextoNormalCaracter"/>
        </w:rPr>
      </w:pPr>
      <w:bookmarkStart w:id="838" w:name="DESCRIPTORALFABETICO197"/>
      <w:r w:rsidRPr="0050129A">
        <w:rPr>
          <w:rStyle w:val="TextoNormalNegritaCaracter"/>
        </w:rPr>
        <w:t>Audiencia previa al Ministerio Fiscal</w:t>
      </w:r>
      <w:bookmarkEnd w:id="838"/>
      <w:r w:rsidRPr="0050129A">
        <w:rPr>
          <w:rStyle w:val="TextoNormalCaracter"/>
        </w:rPr>
        <w:t xml:space="preserve">, Auto </w:t>
      </w:r>
      <w:hyperlink w:anchor="AUTO_2008_8" w:history="1">
        <w:r w:rsidRPr="0050129A">
          <w:rPr>
            <w:rStyle w:val="TextoNormalCaracter"/>
          </w:rPr>
          <w:t>8/2008</w:t>
        </w:r>
      </w:hyperlink>
      <w:r w:rsidRPr="0050129A">
        <w:rPr>
          <w:rStyle w:val="TextoNormalCaracter"/>
        </w:rPr>
        <w:t>.</w:t>
      </w:r>
    </w:p>
    <w:p w:rsidR="0050129A" w:rsidRPr="0050129A" w:rsidRDefault="0050129A" w:rsidP="0050129A">
      <w:pPr>
        <w:pStyle w:val="TextoNormalSangraFrancesa"/>
        <w:rPr>
          <w:rStyle w:val="TextoNormalCaracter"/>
        </w:rPr>
      </w:pPr>
      <w:bookmarkStart w:id="839" w:name="DESCRIPTORALFABETICO540"/>
      <w:r w:rsidRPr="0050129A">
        <w:rPr>
          <w:rStyle w:val="TextoNormalNegritaCaracter"/>
        </w:rPr>
        <w:t>Auto de prisión provisional</w:t>
      </w:r>
      <w:bookmarkEnd w:id="839"/>
      <w:r w:rsidRPr="0050129A">
        <w:rPr>
          <w:rStyle w:val="TextoNormalCaracter"/>
        </w:rPr>
        <w:t xml:space="preserve">, Sentencia </w:t>
      </w:r>
      <w:hyperlink w:anchor="SENTENCIA_2008_27" w:history="1">
        <w:r w:rsidRPr="0050129A">
          <w:rPr>
            <w:rStyle w:val="TextoNormalCaracter"/>
          </w:rPr>
          <w:t>27/2008</w:t>
        </w:r>
      </w:hyperlink>
      <w:r w:rsidRPr="0050129A">
        <w:rPr>
          <w:rStyle w:val="TextoNormalCaracter"/>
        </w:rPr>
        <w:t>, f. 6.</w:t>
      </w:r>
    </w:p>
    <w:p w:rsidR="0050129A" w:rsidRPr="0050129A" w:rsidRDefault="0050129A" w:rsidP="0050129A">
      <w:pPr>
        <w:pStyle w:val="TextoNormalSangraFrancesa"/>
        <w:rPr>
          <w:rStyle w:val="TextoNormalCaracter"/>
        </w:rPr>
      </w:pPr>
      <w:bookmarkStart w:id="840" w:name="DESCRIPTORALFABETICO530"/>
      <w:r w:rsidRPr="0050129A">
        <w:rPr>
          <w:rStyle w:val="TextoNormalNegritaCaracter"/>
        </w:rPr>
        <w:t>Auto declarando desierto el recurso de apelación</w:t>
      </w:r>
      <w:bookmarkEnd w:id="840"/>
      <w:r w:rsidRPr="0050129A">
        <w:rPr>
          <w:rStyle w:val="TextoNormalCaracter"/>
        </w:rPr>
        <w:t xml:space="preserve">, Sentencia </w:t>
      </w:r>
      <w:hyperlink w:anchor="SENTENCIA_2008_55" w:history="1">
        <w:r w:rsidRPr="0050129A">
          <w:rPr>
            <w:rStyle w:val="TextoNormalCaracter"/>
          </w:rPr>
          <w:t>55/2008</w:t>
        </w:r>
      </w:hyperlink>
      <w:r w:rsidRPr="0050129A">
        <w:rPr>
          <w:rStyle w:val="TextoNormalCaracter"/>
        </w:rPr>
        <w:t>, f. 4.</w:t>
      </w:r>
    </w:p>
    <w:p w:rsidR="0050129A" w:rsidRPr="0050129A" w:rsidRDefault="0050129A" w:rsidP="0050129A">
      <w:pPr>
        <w:pStyle w:val="TextoNormalSangraFrancesa"/>
        <w:rPr>
          <w:rStyle w:val="TextoNormalCaracter"/>
        </w:rPr>
      </w:pPr>
      <w:bookmarkStart w:id="841" w:name="DESCRIPTORALFABETICO301"/>
      <w:r w:rsidRPr="0050129A">
        <w:rPr>
          <w:rStyle w:val="TextoNormalNegritaCaracter"/>
        </w:rPr>
        <w:t>Autonomía reglamentaria</w:t>
      </w:r>
      <w:bookmarkEnd w:id="841"/>
      <w:r w:rsidRPr="0050129A">
        <w:rPr>
          <w:rStyle w:val="TextoNormalCaracter"/>
        </w:rPr>
        <w:t xml:space="preserve">, Sentencias </w:t>
      </w:r>
      <w:hyperlink w:anchor="SENTENCIA_2008_39" w:history="1">
        <w:r w:rsidRPr="0050129A">
          <w:rPr>
            <w:rStyle w:val="TextoNormalCaracter"/>
          </w:rPr>
          <w:t>39/2008</w:t>
        </w:r>
      </w:hyperlink>
      <w:r w:rsidRPr="0050129A">
        <w:rPr>
          <w:rStyle w:val="TextoNormalCaracter"/>
        </w:rPr>
        <w:t xml:space="preserve">, ff. 5, 6; </w:t>
      </w:r>
      <w:hyperlink w:anchor="SENTENCIA_2008_49" w:history="1">
        <w:r w:rsidRPr="0050129A">
          <w:rPr>
            <w:rStyle w:val="TextoNormalCaracter"/>
          </w:rPr>
          <w:t>49/2008</w:t>
        </w:r>
      </w:hyperlink>
      <w:r w:rsidRPr="0050129A">
        <w:rPr>
          <w:rStyle w:val="TextoNormalCaracter"/>
        </w:rPr>
        <w:t>, f. 15.</w:t>
      </w:r>
    </w:p>
    <w:p w:rsidR="0050129A" w:rsidRPr="0050129A" w:rsidRDefault="0050129A" w:rsidP="0050129A">
      <w:pPr>
        <w:pStyle w:val="TextoNormalSangraFrancesa"/>
        <w:rPr>
          <w:rStyle w:val="TextoNormalCaracter"/>
        </w:rPr>
      </w:pPr>
      <w:bookmarkStart w:id="842" w:name="DESCRIPTORALFABETICO269"/>
      <w:r w:rsidRPr="0050129A">
        <w:rPr>
          <w:rStyle w:val="TextoNormalNegritaCaracter"/>
        </w:rPr>
        <w:t>Autoorganización de partidos políticos</w:t>
      </w:r>
      <w:bookmarkEnd w:id="842"/>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5, VP.</w:t>
      </w:r>
    </w:p>
    <w:p w:rsidR="0050129A" w:rsidRPr="0050129A" w:rsidRDefault="0050129A" w:rsidP="0050129A">
      <w:pPr>
        <w:pStyle w:val="TextoNormalSangraFrancesa"/>
        <w:rPr>
          <w:rStyle w:val="TextoNormalCaracter"/>
        </w:rPr>
      </w:pPr>
      <w:bookmarkStart w:id="843" w:name="DESCRIPTORALFABETICO243"/>
      <w:r w:rsidRPr="0050129A">
        <w:rPr>
          <w:rStyle w:val="TextoNormalNegritaCaracter"/>
        </w:rPr>
        <w:t>Autos del Tribunal Constitucional</w:t>
      </w:r>
      <w:bookmarkEnd w:id="843"/>
      <w:r w:rsidRPr="0050129A">
        <w:rPr>
          <w:rStyle w:val="TextoNormalCaracter"/>
        </w:rPr>
        <w:t xml:space="preserve">, Auto </w:t>
      </w:r>
      <w:hyperlink w:anchor="AUTO_2008_50" w:history="1">
        <w:r w:rsidRPr="0050129A">
          <w:rPr>
            <w:rStyle w:val="TextoNormalCaracter"/>
          </w:rPr>
          <w:t>50/2008</w:t>
        </w:r>
      </w:hyperlink>
      <w:r w:rsidRPr="0050129A">
        <w:rPr>
          <w:rStyle w:val="TextoNormalCaracter"/>
        </w:rPr>
        <w:t>.</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B</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844" w:name="DESCRIPTORALFABETICO416"/>
      <w:r w:rsidRPr="0050129A">
        <w:rPr>
          <w:rStyle w:val="TextoNormalNegritaCaracter"/>
        </w:rPr>
        <w:t>Beneficios penitenciarios</w:t>
      </w:r>
      <w:bookmarkEnd w:id="844"/>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ff. 4, 5.</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C</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845" w:name="DESCRIPTORALFABETICO297"/>
      <w:r w:rsidRPr="0050129A">
        <w:rPr>
          <w:rStyle w:val="TextoNormalNegritaCaracter"/>
        </w:rPr>
        <w:t>Cámara de representación territorial</w:t>
      </w:r>
      <w:bookmarkEnd w:id="845"/>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12, 13, VP I, VP II.</w:t>
      </w:r>
    </w:p>
    <w:p w:rsidR="0050129A" w:rsidRPr="0050129A" w:rsidRDefault="0050129A" w:rsidP="0050129A">
      <w:pPr>
        <w:pStyle w:val="TextoNormalSangraFrancesa"/>
        <w:rPr>
          <w:rStyle w:val="TextoNormalCaracter"/>
        </w:rPr>
      </w:pPr>
      <w:bookmarkStart w:id="846" w:name="DESCRIPTORALFABETICO38"/>
      <w:r w:rsidRPr="0050129A">
        <w:rPr>
          <w:rStyle w:val="TextoNormalNegritaCaracter"/>
        </w:rPr>
        <w:t>Cambio de criterio del órgano judicial</w:t>
      </w:r>
      <w:bookmarkEnd w:id="846"/>
      <w:r w:rsidRPr="0050129A">
        <w:rPr>
          <w:rStyle w:val="TextoNormalCaracter"/>
        </w:rPr>
        <w:t xml:space="preserve">, Sentencias </w:t>
      </w:r>
      <w:hyperlink w:anchor="SENTENCIA_2008_30" w:history="1">
        <w:r w:rsidRPr="0050129A">
          <w:rPr>
            <w:rStyle w:val="TextoNormalCaracter"/>
          </w:rPr>
          <w:t>30/2008</w:t>
        </w:r>
      </w:hyperlink>
      <w:r w:rsidRPr="0050129A">
        <w:rPr>
          <w:rStyle w:val="TextoNormalCaracter"/>
        </w:rPr>
        <w:t xml:space="preserve">, f. 9; </w:t>
      </w:r>
      <w:hyperlink w:anchor="SENTENCIA_2008_31" w:history="1">
        <w:r w:rsidRPr="0050129A">
          <w:rPr>
            <w:rStyle w:val="TextoNormalCaracter"/>
          </w:rPr>
          <w:t>31/2008</w:t>
        </w:r>
      </w:hyperlink>
      <w:r w:rsidRPr="0050129A">
        <w:rPr>
          <w:rStyle w:val="TextoNormalCaracter"/>
        </w:rPr>
        <w:t>, ff. 2, 3.</w:t>
      </w:r>
    </w:p>
    <w:p w:rsidR="0050129A" w:rsidRPr="0050129A" w:rsidRDefault="0050129A" w:rsidP="0050129A">
      <w:pPr>
        <w:pStyle w:val="TextoNormalSangraFrancesa"/>
        <w:rPr>
          <w:rStyle w:val="TextoNormalCaracter"/>
        </w:rPr>
      </w:pPr>
      <w:bookmarkStart w:id="847" w:name="DESCRIPTORALFABETICO19"/>
      <w:r w:rsidRPr="0050129A">
        <w:rPr>
          <w:rStyle w:val="TextoNormalNegritaCaracter"/>
        </w:rPr>
        <w:t>Candidaturas electorales</w:t>
      </w:r>
      <w:bookmarkEnd w:id="847"/>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2, 3, 4, 5, 6, 7, 8, 9, 10.</w:t>
      </w:r>
    </w:p>
    <w:p w:rsidR="0050129A" w:rsidRPr="0050129A" w:rsidRDefault="0050129A" w:rsidP="0050129A">
      <w:pPr>
        <w:pStyle w:val="TextoNormalSangraFrancesa"/>
        <w:rPr>
          <w:rStyle w:val="TextoNormalCaracter"/>
        </w:rPr>
      </w:pPr>
      <w:bookmarkStart w:id="848" w:name="DESCRIPTORALFABETICO337"/>
      <w:r w:rsidRPr="0050129A">
        <w:rPr>
          <w:rStyle w:val="TextoNormalNegritaCaracter"/>
        </w:rPr>
        <w:t>Canon concesional</w:t>
      </w:r>
      <w:bookmarkEnd w:id="848"/>
      <w:r w:rsidRPr="0050129A">
        <w:rPr>
          <w:rStyle w:val="TextoNormalCaracter"/>
        </w:rPr>
        <w:t xml:space="preserve">, Sentencia </w:t>
      </w:r>
      <w:hyperlink w:anchor="SENTENCIA_2008_31" w:history="1">
        <w:r w:rsidRPr="0050129A">
          <w:rPr>
            <w:rStyle w:val="TextoNormalCaracter"/>
          </w:rPr>
          <w:t>31/2008</w:t>
        </w:r>
      </w:hyperlink>
      <w:r w:rsidRPr="0050129A">
        <w:rPr>
          <w:rStyle w:val="TextoNormalCaracter"/>
        </w:rPr>
        <w:t>, f. 3.</w:t>
      </w:r>
    </w:p>
    <w:p w:rsidR="0050129A" w:rsidRPr="0050129A" w:rsidRDefault="0050129A" w:rsidP="0050129A">
      <w:pPr>
        <w:pStyle w:val="TextoNormalSangraFrancesa"/>
        <w:rPr>
          <w:rStyle w:val="TextoNormalCaracter"/>
        </w:rPr>
      </w:pPr>
      <w:bookmarkStart w:id="849" w:name="DESCRIPTORALFABETICO151"/>
      <w:r w:rsidRPr="0050129A">
        <w:rPr>
          <w:rStyle w:val="TextoNormalNegritaCaracter"/>
        </w:rPr>
        <w:t>Canon de constitucionalidad reforzado</w:t>
      </w:r>
      <w:bookmarkEnd w:id="849"/>
      <w:r w:rsidRPr="0050129A">
        <w:rPr>
          <w:rStyle w:val="TextoNormalCaracter"/>
        </w:rPr>
        <w:t xml:space="preserve">, Sentencia </w:t>
      </w:r>
      <w:hyperlink w:anchor="SENTENCIA_2008_25" w:history="1">
        <w:r w:rsidRPr="0050129A">
          <w:rPr>
            <w:rStyle w:val="TextoNormalCaracter"/>
          </w:rPr>
          <w:t>25/2008</w:t>
        </w:r>
      </w:hyperlink>
      <w:r w:rsidRPr="0050129A">
        <w:rPr>
          <w:rStyle w:val="TextoNormalCaracter"/>
        </w:rPr>
        <w:t>, f. 6.</w:t>
      </w:r>
    </w:p>
    <w:p w:rsidR="0050129A" w:rsidRPr="0050129A" w:rsidRDefault="0050129A" w:rsidP="0050129A">
      <w:pPr>
        <w:pStyle w:val="TextoNormalSangraFrancesa"/>
        <w:rPr>
          <w:rStyle w:val="TextoNormalCaracter"/>
        </w:rPr>
      </w:pPr>
      <w:bookmarkStart w:id="850" w:name="DESCRIPTORALFABETICO90"/>
      <w:r w:rsidRPr="0050129A">
        <w:rPr>
          <w:rStyle w:val="TextoNormalNegritaCaracter"/>
        </w:rPr>
        <w:t>Canon de motivación reforzado cuando afecta a la libertad personal</w:t>
      </w:r>
      <w:bookmarkEnd w:id="850"/>
      <w:r w:rsidRPr="0050129A">
        <w:rPr>
          <w:rStyle w:val="TextoNormalCaracter"/>
        </w:rPr>
        <w:t xml:space="preserve">, Sentencias </w:t>
      </w:r>
      <w:hyperlink w:anchor="SENTENCIA_2008_21" w:history="1">
        <w:r w:rsidRPr="0050129A">
          <w:rPr>
            <w:rStyle w:val="TextoNormalCaracter"/>
          </w:rPr>
          <w:t>21/2008</w:t>
        </w:r>
      </w:hyperlink>
      <w:r w:rsidRPr="0050129A">
        <w:rPr>
          <w:rStyle w:val="TextoNormalCaracter"/>
        </w:rPr>
        <w:t xml:space="preserve">, f. 3; </w:t>
      </w:r>
      <w:hyperlink w:anchor="SENTENCIA_2008_43" w:history="1">
        <w:r w:rsidRPr="0050129A">
          <w:rPr>
            <w:rStyle w:val="TextoNormalCaracter"/>
          </w:rPr>
          <w:t>43/2008</w:t>
        </w:r>
      </w:hyperlink>
      <w:r w:rsidRPr="0050129A">
        <w:rPr>
          <w:rStyle w:val="TextoNormalCaracter"/>
        </w:rPr>
        <w:t>, f. 4.</w:t>
      </w:r>
    </w:p>
    <w:p w:rsidR="0050129A" w:rsidRPr="0050129A" w:rsidRDefault="0050129A" w:rsidP="0050129A">
      <w:pPr>
        <w:pStyle w:val="TextoNormalSangraFrancesa"/>
        <w:rPr>
          <w:rStyle w:val="TextoNormalCaracter"/>
        </w:rPr>
      </w:pPr>
      <w:bookmarkStart w:id="851" w:name="DESCRIPTORALFABETICO48"/>
      <w:r w:rsidRPr="0050129A">
        <w:rPr>
          <w:rStyle w:val="TextoNormalNegritaCaracter"/>
        </w:rPr>
        <w:t>Canon reforzado de investigación</w:t>
      </w:r>
      <w:bookmarkEnd w:id="851"/>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ff. 3 a 8; </w:t>
      </w:r>
      <w:hyperlink w:anchor="SENTENCIA_2008_52" w:history="1">
        <w:r w:rsidRPr="0050129A">
          <w:rPr>
            <w:rStyle w:val="TextoNormalCaracter"/>
          </w:rPr>
          <w:t>52/2008</w:t>
        </w:r>
      </w:hyperlink>
      <w:r w:rsidRPr="0050129A">
        <w:rPr>
          <w:rStyle w:val="TextoNormalCaracter"/>
        </w:rPr>
        <w:t>, ff. 2, 3, 5, VP.</w:t>
      </w:r>
    </w:p>
    <w:p w:rsidR="0050129A" w:rsidRPr="0050129A" w:rsidRDefault="0050129A" w:rsidP="0050129A">
      <w:pPr>
        <w:pStyle w:val="TextoNormalSangraFrancesa"/>
        <w:rPr>
          <w:rStyle w:val="TextoNormalCaracter"/>
        </w:rPr>
      </w:pPr>
      <w:bookmarkStart w:id="852" w:name="DESCRIPTORALFABETICO387"/>
      <w:r w:rsidRPr="0050129A">
        <w:rPr>
          <w:rStyle w:val="TextoNormalNegritaCaracter"/>
        </w:rPr>
        <w:t>Carácter excepcional de la reserva de ley orgánica</w:t>
      </w:r>
      <w:bookmarkEnd w:id="852"/>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16, VP I.</w:t>
      </w:r>
    </w:p>
    <w:p w:rsidR="0050129A" w:rsidRPr="0050129A" w:rsidRDefault="0050129A" w:rsidP="0050129A">
      <w:pPr>
        <w:pStyle w:val="TextoNormalSangraFrancesa"/>
        <w:rPr>
          <w:rStyle w:val="TextoNormalCaracter"/>
        </w:rPr>
      </w:pPr>
      <w:bookmarkStart w:id="853" w:name="DESCRIPTORALFABETICO218"/>
      <w:r w:rsidRPr="0050129A">
        <w:rPr>
          <w:rStyle w:val="TextoNormalNegritaCaracter"/>
        </w:rPr>
        <w:t>Carácter subsidiario del recurso de amparo</w:t>
      </w:r>
      <w:bookmarkEnd w:id="853"/>
      <w:r w:rsidRPr="0050129A">
        <w:rPr>
          <w:rStyle w:val="TextoNormalCaracter"/>
        </w:rPr>
        <w:t xml:space="preserve">, Sentencia </w:t>
      </w:r>
      <w:hyperlink w:anchor="SENTENCIA_2008_1" w:history="1">
        <w:r w:rsidRPr="0050129A">
          <w:rPr>
            <w:rStyle w:val="TextoNormalCaracter"/>
          </w:rPr>
          <w:t>1/2008</w:t>
        </w:r>
      </w:hyperlink>
      <w:r w:rsidRPr="0050129A">
        <w:rPr>
          <w:rStyle w:val="TextoNormalCaracter"/>
        </w:rPr>
        <w:t>, f. 2.</w:t>
      </w:r>
    </w:p>
    <w:p w:rsidR="0050129A" w:rsidRPr="0050129A" w:rsidRDefault="0050129A" w:rsidP="0050129A">
      <w:pPr>
        <w:pStyle w:val="TextoNormalSangraFrancesa"/>
        <w:rPr>
          <w:rStyle w:val="TextoNormalNegritaCaracter"/>
        </w:rPr>
      </w:pPr>
      <w:r w:rsidRPr="0050129A">
        <w:rPr>
          <w:rStyle w:val="TextoNormalCursivaCaracter"/>
        </w:rPr>
        <w:t>Carencia de contenido constitucional</w:t>
      </w:r>
      <w:r>
        <w:t xml:space="preserve"> véase </w:t>
      </w:r>
      <w:hyperlink w:anchor="DESCRIPTORALFABETICO239" w:history="1">
        <w:r w:rsidRPr="0050129A">
          <w:rPr>
            <w:rStyle w:val="TextoNormalNegritaCaracter"/>
          </w:rPr>
          <w:t>Carencia de contenido que justifique una decisión sobre el fondo del asunto</w:t>
        </w:r>
      </w:hyperlink>
    </w:p>
    <w:p w:rsidR="0050129A" w:rsidRPr="0050129A" w:rsidRDefault="0050129A" w:rsidP="0050129A">
      <w:pPr>
        <w:pStyle w:val="TextoNormalSangraFrancesa"/>
        <w:rPr>
          <w:rStyle w:val="TextoNormalCaracter"/>
        </w:rPr>
      </w:pPr>
      <w:bookmarkStart w:id="854" w:name="DESCRIPTORALFABETICO239"/>
      <w:r w:rsidRPr="0050129A">
        <w:rPr>
          <w:rStyle w:val="TextoNormalNegritaCaracter"/>
        </w:rPr>
        <w:t>Carencia de contenido que justifique una decisión sobre el fondo del asunto</w:t>
      </w:r>
      <w:bookmarkEnd w:id="854"/>
      <w:r w:rsidRPr="0050129A">
        <w:rPr>
          <w:rStyle w:val="TextoNormalCaracter"/>
        </w:rPr>
        <w:t xml:space="preserve">, Autos </w:t>
      </w:r>
      <w:hyperlink w:anchor="AUTO_2008_4" w:history="1">
        <w:r w:rsidRPr="0050129A">
          <w:rPr>
            <w:rStyle w:val="TextoNormalCaracter"/>
          </w:rPr>
          <w:t>4/2008</w:t>
        </w:r>
      </w:hyperlink>
      <w:r w:rsidRPr="0050129A">
        <w:rPr>
          <w:rStyle w:val="TextoNormalCaracter"/>
        </w:rPr>
        <w:t xml:space="preserve">; </w:t>
      </w:r>
      <w:hyperlink w:anchor="AUTO_2008_28" w:history="1">
        <w:r w:rsidRPr="0050129A">
          <w:rPr>
            <w:rStyle w:val="TextoNormalCaracter"/>
          </w:rPr>
          <w:t>28/2008</w:t>
        </w:r>
      </w:hyperlink>
      <w:r w:rsidRPr="0050129A">
        <w:rPr>
          <w:rStyle w:val="TextoNormalCaracter"/>
        </w:rPr>
        <w:t xml:space="preserve">; </w:t>
      </w:r>
      <w:hyperlink w:anchor="AUTO_2008_47" w:history="1">
        <w:r w:rsidRPr="0050129A">
          <w:rPr>
            <w:rStyle w:val="TextoNormalCaracter"/>
          </w:rPr>
          <w:t>47/2008</w:t>
        </w:r>
      </w:hyperlink>
      <w:r w:rsidRPr="0050129A">
        <w:rPr>
          <w:rStyle w:val="TextoNormalCaracter"/>
        </w:rPr>
        <w:t xml:space="preserve">; </w:t>
      </w:r>
      <w:hyperlink w:anchor="AUTO_2008_49" w:history="1">
        <w:r w:rsidRPr="0050129A">
          <w:rPr>
            <w:rStyle w:val="TextoNormalCaracter"/>
          </w:rPr>
          <w:t>49/2008</w:t>
        </w:r>
      </w:hyperlink>
      <w:r w:rsidRPr="0050129A">
        <w:rPr>
          <w:rStyle w:val="TextoNormalCaracter"/>
        </w:rPr>
        <w:t xml:space="preserve">; </w:t>
      </w:r>
      <w:hyperlink w:anchor="AUTO_2008_61" w:history="1">
        <w:r w:rsidRPr="0050129A">
          <w:rPr>
            <w:rStyle w:val="TextoNormalCaracter"/>
          </w:rPr>
          <w:t>61/2008</w:t>
        </w:r>
      </w:hyperlink>
      <w:r w:rsidRPr="0050129A">
        <w:rPr>
          <w:rStyle w:val="TextoNormalCaracter"/>
        </w:rPr>
        <w:t xml:space="preserve">; </w:t>
      </w:r>
      <w:hyperlink w:anchor="AUTO_2008_77" w:history="1">
        <w:r w:rsidRPr="0050129A">
          <w:rPr>
            <w:rStyle w:val="TextoNormalCaracter"/>
          </w:rPr>
          <w:t>77/2008</w:t>
        </w:r>
      </w:hyperlink>
      <w:r w:rsidRPr="0050129A">
        <w:rPr>
          <w:rStyle w:val="TextoNormalCaracter"/>
        </w:rPr>
        <w:t xml:space="preserve">; </w:t>
      </w:r>
      <w:hyperlink w:anchor="AUTO_2008_83" w:history="1">
        <w:r w:rsidRPr="0050129A">
          <w:rPr>
            <w:rStyle w:val="TextoNormalCaracter"/>
          </w:rPr>
          <w:t>83/2008</w:t>
        </w:r>
      </w:hyperlink>
      <w:r w:rsidRPr="0050129A">
        <w:rPr>
          <w:rStyle w:val="TextoNormalCaracter"/>
        </w:rPr>
        <w:t xml:space="preserve">; </w:t>
      </w:r>
      <w:hyperlink w:anchor="AUTO_2008_85" w:history="1">
        <w:r w:rsidRPr="0050129A">
          <w:rPr>
            <w:rStyle w:val="TextoNormalCaracter"/>
          </w:rPr>
          <w:t>85/2008</w:t>
        </w:r>
      </w:hyperlink>
      <w:r w:rsidRPr="0050129A">
        <w:rPr>
          <w:rStyle w:val="TextoNormalCaracter"/>
        </w:rPr>
        <w:t xml:space="preserve">; </w:t>
      </w:r>
      <w:hyperlink w:anchor="AUTO_2008_112" w:history="1">
        <w:r w:rsidRPr="0050129A">
          <w:rPr>
            <w:rStyle w:val="TextoNormalCaracter"/>
          </w:rPr>
          <w:t>112/2008</w:t>
        </w:r>
      </w:hyperlink>
      <w:r w:rsidRPr="0050129A">
        <w:rPr>
          <w:rStyle w:val="TextoNormalCaracter"/>
        </w:rPr>
        <w:t xml:space="preserve">; </w:t>
      </w:r>
      <w:hyperlink w:anchor="AUTO_2008_117" w:history="1">
        <w:r w:rsidRPr="0050129A">
          <w:rPr>
            <w:rStyle w:val="TextoNormalCaracter"/>
          </w:rPr>
          <w:t>117/2008</w:t>
        </w:r>
      </w:hyperlink>
      <w:r w:rsidRPr="0050129A">
        <w:rPr>
          <w:rStyle w:val="TextoNormalCaracter"/>
        </w:rPr>
        <w:t>.</w:t>
      </w:r>
    </w:p>
    <w:p w:rsidR="0050129A" w:rsidRPr="0050129A" w:rsidRDefault="0050129A" w:rsidP="0050129A">
      <w:pPr>
        <w:pStyle w:val="TextoNormalSangraFrancesa"/>
        <w:rPr>
          <w:rStyle w:val="TextoNormalCaracter"/>
        </w:rPr>
      </w:pPr>
      <w:bookmarkStart w:id="855" w:name="DESCRIPTORALFABETICO155"/>
      <w:r w:rsidRPr="0050129A">
        <w:rPr>
          <w:rStyle w:val="TextoNormalNegritaCaracter"/>
        </w:rPr>
        <w:t>Carencia de jurisdicción para revisar el juicio de oportunidad</w:t>
      </w:r>
      <w:bookmarkEnd w:id="855"/>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4.</w:t>
      </w:r>
    </w:p>
    <w:p w:rsidR="0050129A" w:rsidRPr="0050129A" w:rsidRDefault="0050129A" w:rsidP="0050129A">
      <w:pPr>
        <w:pStyle w:val="TextoNormalSangraFrancesa"/>
        <w:rPr>
          <w:rStyle w:val="TextoNormalCaracter"/>
        </w:rPr>
      </w:pPr>
      <w:bookmarkStart w:id="856" w:name="DESCRIPTORALFABETICO39"/>
      <w:r w:rsidRPr="0050129A">
        <w:rPr>
          <w:rStyle w:val="TextoNormalNegritaCaracter"/>
        </w:rPr>
        <w:t>Carga de acreditar el cambio jurisprudencial</w:t>
      </w:r>
      <w:bookmarkEnd w:id="856"/>
      <w:r w:rsidRPr="0050129A">
        <w:rPr>
          <w:rStyle w:val="TextoNormalCaracter"/>
        </w:rPr>
        <w:t xml:space="preserve">, Sentencia </w:t>
      </w:r>
      <w:hyperlink w:anchor="SENTENCIA_2008_31" w:history="1">
        <w:r w:rsidRPr="0050129A">
          <w:rPr>
            <w:rStyle w:val="TextoNormalCaracter"/>
          </w:rPr>
          <w:t>31/2008</w:t>
        </w:r>
      </w:hyperlink>
      <w:r w:rsidRPr="0050129A">
        <w:rPr>
          <w:rStyle w:val="TextoNormalCaracter"/>
        </w:rPr>
        <w:t>, f. 3.</w:t>
      </w:r>
    </w:p>
    <w:p w:rsidR="0050129A" w:rsidRPr="0050129A" w:rsidRDefault="0050129A" w:rsidP="0050129A">
      <w:pPr>
        <w:pStyle w:val="TextoNormalSangraFrancesa"/>
        <w:rPr>
          <w:rStyle w:val="TextoNormalCaracter"/>
        </w:rPr>
      </w:pPr>
      <w:bookmarkStart w:id="857" w:name="DESCRIPTORALFABETICO45"/>
      <w:r w:rsidRPr="0050129A">
        <w:rPr>
          <w:rStyle w:val="TextoNormalNegritaCaracter"/>
        </w:rPr>
        <w:t>Carga de la justificación del tratamiento diferenciado</w:t>
      </w:r>
      <w:bookmarkEnd w:id="857"/>
      <w:r w:rsidRPr="0050129A">
        <w:rPr>
          <w:rStyle w:val="TextoNormalCaracter"/>
        </w:rPr>
        <w:t xml:space="preserve">, Sentencia </w:t>
      </w:r>
      <w:hyperlink w:anchor="SENTENCIA_2008_31" w:history="1">
        <w:r w:rsidRPr="0050129A">
          <w:rPr>
            <w:rStyle w:val="TextoNormalCaracter"/>
          </w:rPr>
          <w:t>31/2008</w:t>
        </w:r>
      </w:hyperlink>
      <w:r w:rsidRPr="0050129A">
        <w:rPr>
          <w:rStyle w:val="TextoNormalCaracter"/>
        </w:rPr>
        <w:t>, f. 3.</w:t>
      </w:r>
    </w:p>
    <w:p w:rsidR="0050129A" w:rsidRPr="0050129A" w:rsidRDefault="0050129A" w:rsidP="0050129A">
      <w:pPr>
        <w:pStyle w:val="TextoNormalSangraFrancesa"/>
        <w:rPr>
          <w:rStyle w:val="TextoNormalCaracter"/>
        </w:rPr>
      </w:pPr>
      <w:bookmarkStart w:id="858" w:name="DESCRIPTORALFABETICO488"/>
      <w:r w:rsidRPr="0050129A">
        <w:rPr>
          <w:rStyle w:val="TextoNormalNegritaCaracter"/>
        </w:rPr>
        <w:t>Carga de la prueba</w:t>
      </w:r>
      <w:bookmarkEnd w:id="858"/>
      <w:r w:rsidRPr="0050129A">
        <w:rPr>
          <w:rStyle w:val="TextoNormalCaracter"/>
        </w:rPr>
        <w:t xml:space="preserve">, Sentencia </w:t>
      </w:r>
      <w:hyperlink w:anchor="SENTENCIA_2008_22" w:history="1">
        <w:r w:rsidRPr="0050129A">
          <w:rPr>
            <w:rStyle w:val="TextoNormalCaracter"/>
          </w:rPr>
          <w:t>22/2008</w:t>
        </w:r>
      </w:hyperlink>
      <w:r w:rsidRPr="0050129A">
        <w:rPr>
          <w:rStyle w:val="TextoNormalCaracter"/>
        </w:rPr>
        <w:t>, f. 5.</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2" w:history="1">
        <w:r w:rsidRPr="0050129A">
          <w:rPr>
            <w:rStyle w:val="TextoNormalCaracter"/>
          </w:rPr>
          <w:t>2/2008</w:t>
        </w:r>
      </w:hyperlink>
      <w:r w:rsidRPr="0050129A">
        <w:rPr>
          <w:rStyle w:val="TextoNormalCaracter"/>
        </w:rPr>
        <w:t>.</w:t>
      </w:r>
    </w:p>
    <w:p w:rsidR="0050129A" w:rsidRPr="0050129A" w:rsidRDefault="0050129A" w:rsidP="0050129A">
      <w:pPr>
        <w:pStyle w:val="TextoNormalSangraFrancesa"/>
        <w:rPr>
          <w:rStyle w:val="TextoNormalCaracter"/>
        </w:rPr>
      </w:pPr>
      <w:bookmarkStart w:id="859" w:name="DESCRIPTORALFABETICO309"/>
      <w:r w:rsidRPr="0050129A">
        <w:rPr>
          <w:rStyle w:val="TextoNormalNegritaCaracter"/>
        </w:rPr>
        <w:t>Carga de razonamiento de la supuesta arbitrariedad</w:t>
      </w:r>
      <w:bookmarkEnd w:id="859"/>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5.</w:t>
      </w:r>
    </w:p>
    <w:p w:rsidR="0050129A" w:rsidRPr="0050129A" w:rsidRDefault="0050129A" w:rsidP="0050129A">
      <w:pPr>
        <w:pStyle w:val="TextoNormalSangraFrancesa"/>
        <w:rPr>
          <w:rStyle w:val="TextoNormalCaracter"/>
        </w:rPr>
      </w:pPr>
      <w:bookmarkStart w:id="860" w:name="DESCRIPTORALFABETICO179"/>
      <w:r w:rsidRPr="0050129A">
        <w:rPr>
          <w:rStyle w:val="TextoNormalNegritaCaracter"/>
        </w:rPr>
        <w:t>Causas de abstención y recusación de magistrados del Tribunal Constitucional</w:t>
      </w:r>
      <w:bookmarkEnd w:id="860"/>
      <w:r w:rsidRPr="0050129A">
        <w:rPr>
          <w:rStyle w:val="TextoNormalCaracter"/>
        </w:rPr>
        <w:t xml:space="preserve">, Auto </w:t>
      </w:r>
      <w:hyperlink w:anchor="AUTO_2008_81" w:history="1">
        <w:r w:rsidRPr="0050129A">
          <w:rPr>
            <w:rStyle w:val="TextoNormalCaracter"/>
          </w:rPr>
          <w:t>81/2008</w:t>
        </w:r>
      </w:hyperlink>
      <w:r w:rsidRPr="0050129A">
        <w:rPr>
          <w:rStyle w:val="TextoNormalCaracter"/>
        </w:rPr>
        <w:t>.</w:t>
      </w:r>
    </w:p>
    <w:p w:rsidR="0050129A" w:rsidRPr="0050129A" w:rsidRDefault="0050129A" w:rsidP="0050129A">
      <w:pPr>
        <w:pStyle w:val="TextoNormalSangraFrancesa"/>
        <w:rPr>
          <w:rStyle w:val="TextoNormalCaracter"/>
        </w:rPr>
      </w:pPr>
      <w:bookmarkStart w:id="861" w:name="DESCRIPTORALFABETICO199"/>
      <w:r w:rsidRPr="0050129A">
        <w:rPr>
          <w:rStyle w:val="TextoNormalNegritaCaracter"/>
        </w:rPr>
        <w:t>Causas de inadmisión de la cuestión de inconstitucionalidad</w:t>
      </w:r>
      <w:bookmarkEnd w:id="861"/>
      <w:r w:rsidRPr="0050129A">
        <w:rPr>
          <w:rStyle w:val="TextoNormalCaracter"/>
        </w:rPr>
        <w:t xml:space="preserve">, Autos </w:t>
      </w:r>
      <w:hyperlink w:anchor="AUTO_2008_8" w:history="1">
        <w:r w:rsidRPr="0050129A">
          <w:rPr>
            <w:rStyle w:val="TextoNormalCaracter"/>
          </w:rPr>
          <w:t>8/2008</w:t>
        </w:r>
      </w:hyperlink>
      <w:r w:rsidRPr="0050129A">
        <w:rPr>
          <w:rStyle w:val="TextoNormalCaracter"/>
        </w:rPr>
        <w:t xml:space="preserve">; </w:t>
      </w:r>
      <w:hyperlink w:anchor="AUTO_2008_12" w:history="1">
        <w:r w:rsidRPr="0050129A">
          <w:rPr>
            <w:rStyle w:val="TextoNormalCaracter"/>
          </w:rPr>
          <w:t>12/2008</w:t>
        </w:r>
      </w:hyperlink>
      <w:r w:rsidRPr="0050129A">
        <w:rPr>
          <w:rStyle w:val="TextoNormalCaracter"/>
        </w:rPr>
        <w:t xml:space="preserve">; </w:t>
      </w:r>
      <w:hyperlink w:anchor="AUTO_2008_13" w:history="1">
        <w:r w:rsidRPr="0050129A">
          <w:rPr>
            <w:rStyle w:val="TextoNormalCaracter"/>
          </w:rPr>
          <w:t>13/2008</w:t>
        </w:r>
      </w:hyperlink>
      <w:r w:rsidRPr="0050129A">
        <w:rPr>
          <w:rStyle w:val="TextoNormalCaracter"/>
        </w:rPr>
        <w:t xml:space="preserve">; </w:t>
      </w:r>
      <w:hyperlink w:anchor="AUTO_2008_51" w:history="1">
        <w:r w:rsidRPr="0050129A">
          <w:rPr>
            <w:rStyle w:val="TextoNormalCaracter"/>
          </w:rPr>
          <w:t>51/2008</w:t>
        </w:r>
      </w:hyperlink>
      <w:r w:rsidRPr="0050129A">
        <w:rPr>
          <w:rStyle w:val="TextoNormalCaracter"/>
        </w:rPr>
        <w:t xml:space="preserve">; </w:t>
      </w:r>
      <w:hyperlink w:anchor="AUTO_2008_54" w:history="1">
        <w:r w:rsidRPr="0050129A">
          <w:rPr>
            <w:rStyle w:val="TextoNormalCaracter"/>
          </w:rPr>
          <w:t>54/2008</w:t>
        </w:r>
      </w:hyperlink>
      <w:r w:rsidRPr="0050129A">
        <w:rPr>
          <w:rStyle w:val="TextoNormalCaracter"/>
        </w:rPr>
        <w:t xml:space="preserve">; </w:t>
      </w:r>
      <w:hyperlink w:anchor="AUTO_2008_57" w:history="1">
        <w:r w:rsidRPr="0050129A">
          <w:rPr>
            <w:rStyle w:val="TextoNormalCaracter"/>
          </w:rPr>
          <w:t>57/2008</w:t>
        </w:r>
      </w:hyperlink>
      <w:r w:rsidRPr="0050129A">
        <w:rPr>
          <w:rStyle w:val="TextoNormalCaracter"/>
        </w:rPr>
        <w:t xml:space="preserve">; </w:t>
      </w:r>
      <w:hyperlink w:anchor="AUTO_2008_72" w:history="1">
        <w:r w:rsidRPr="0050129A">
          <w:rPr>
            <w:rStyle w:val="TextoNormalCaracter"/>
          </w:rPr>
          <w:t>72/2008</w:t>
        </w:r>
      </w:hyperlink>
      <w:r w:rsidRPr="0050129A">
        <w:rPr>
          <w:rStyle w:val="TextoNormalCaracter"/>
        </w:rPr>
        <w:t>.</w:t>
      </w:r>
    </w:p>
    <w:p w:rsidR="0050129A" w:rsidRPr="0050129A" w:rsidRDefault="0050129A" w:rsidP="0050129A">
      <w:pPr>
        <w:pStyle w:val="TextoNormalSangraFrancesa"/>
        <w:rPr>
          <w:rStyle w:val="TextoNormalCaracter"/>
        </w:rPr>
      </w:pPr>
      <w:bookmarkStart w:id="862" w:name="DESCRIPTORALFABETICO29"/>
      <w:r w:rsidRPr="0050129A">
        <w:rPr>
          <w:rStyle w:val="TextoNormalNegritaCaracter"/>
        </w:rPr>
        <w:t>Causas de inelegibilidad</w:t>
      </w:r>
      <w:bookmarkEnd w:id="862"/>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5.</w:t>
      </w:r>
    </w:p>
    <w:p w:rsidR="0050129A" w:rsidRPr="0050129A" w:rsidRDefault="0050129A" w:rsidP="0050129A">
      <w:pPr>
        <w:pStyle w:val="TextoNormalSangraFrancesa"/>
        <w:rPr>
          <w:rStyle w:val="TextoNormalNegritaCaracter"/>
        </w:rPr>
      </w:pPr>
      <w:r w:rsidRPr="0050129A">
        <w:rPr>
          <w:rStyle w:val="TextoNormalCursivaCaracter"/>
        </w:rPr>
        <w:lastRenderedPageBreak/>
        <w:t>Celebración de nuevo juicio oral</w:t>
      </w:r>
      <w:r>
        <w:t xml:space="preserve"> véase </w:t>
      </w:r>
      <w:hyperlink w:anchor="DESCRIPTORALFABETICO573" w:history="1">
        <w:r w:rsidRPr="0050129A">
          <w:rPr>
            <w:rStyle w:val="TextoNormalNegritaCaracter"/>
          </w:rPr>
          <w:t>Repetición del juicio oral</w:t>
        </w:r>
      </w:hyperlink>
    </w:p>
    <w:p w:rsidR="0050129A" w:rsidRPr="0050129A" w:rsidRDefault="0050129A" w:rsidP="0050129A">
      <w:pPr>
        <w:pStyle w:val="TextoNormalSangraFrancesa"/>
        <w:rPr>
          <w:rStyle w:val="TextoNormalCaracter"/>
        </w:rPr>
      </w:pPr>
      <w:bookmarkStart w:id="863" w:name="DESCRIPTORALFABETICO495"/>
      <w:r w:rsidRPr="0050129A">
        <w:rPr>
          <w:rStyle w:val="TextoNormalNegritaCaracter"/>
        </w:rPr>
        <w:t>Cinemómetro</w:t>
      </w:r>
      <w:bookmarkEnd w:id="863"/>
      <w:r w:rsidRPr="0050129A">
        <w:rPr>
          <w:rStyle w:val="TextoNormalCaracter"/>
        </w:rPr>
        <w:t xml:space="preserve">, Sentencia </w:t>
      </w:r>
      <w:hyperlink w:anchor="SENTENCIA_2008_40" w:history="1">
        <w:r w:rsidRPr="0050129A">
          <w:rPr>
            <w:rStyle w:val="TextoNormalCaracter"/>
          </w:rPr>
          <w:t>40/2008</w:t>
        </w:r>
      </w:hyperlink>
      <w:r w:rsidRPr="0050129A">
        <w:rPr>
          <w:rStyle w:val="TextoNormalCaracter"/>
        </w:rPr>
        <w:t>, f. 2.</w:t>
      </w:r>
    </w:p>
    <w:p w:rsidR="0050129A" w:rsidRPr="0050129A" w:rsidRDefault="0050129A" w:rsidP="0050129A">
      <w:pPr>
        <w:pStyle w:val="TextoNormalSangraFrancesa"/>
        <w:rPr>
          <w:rStyle w:val="TextoNormalCaracter"/>
        </w:rPr>
      </w:pPr>
      <w:bookmarkStart w:id="864" w:name="DESCRIPTORALFABETICO425"/>
      <w:r w:rsidRPr="0050129A">
        <w:rPr>
          <w:rStyle w:val="TextoNormalNegritaCaracter"/>
        </w:rPr>
        <w:t>Circunstancias agravantes de la responsabilidad penal</w:t>
      </w:r>
      <w:bookmarkEnd w:id="864"/>
      <w:r w:rsidRPr="0050129A">
        <w:rPr>
          <w:rStyle w:val="TextoNormalCaracter"/>
        </w:rPr>
        <w:t xml:space="preserve">, Auto </w:t>
      </w:r>
      <w:hyperlink w:anchor="AUTO_2008_72" w:history="1">
        <w:r w:rsidRPr="0050129A">
          <w:rPr>
            <w:rStyle w:val="TextoNormalCaracter"/>
          </w:rPr>
          <w:t>72/2008</w:t>
        </w:r>
      </w:hyperlink>
      <w:r w:rsidRPr="0050129A">
        <w:rPr>
          <w:rStyle w:val="TextoNormalCaracter"/>
        </w:rPr>
        <w:t>.</w:t>
      </w:r>
    </w:p>
    <w:p w:rsidR="0050129A" w:rsidRPr="0050129A" w:rsidRDefault="0050129A" w:rsidP="0050129A">
      <w:pPr>
        <w:pStyle w:val="TextoNormalSangraFrancesa"/>
        <w:rPr>
          <w:rStyle w:val="TextoNormalCaracter"/>
        </w:rPr>
      </w:pPr>
      <w:bookmarkStart w:id="865" w:name="DESCRIPTORALFABETICO324"/>
      <w:r w:rsidRPr="0050129A">
        <w:rPr>
          <w:rStyle w:val="TextoNormalNegritaCaracter"/>
        </w:rPr>
        <w:t>Ciudadanía</w:t>
      </w:r>
      <w:bookmarkEnd w:id="865"/>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Concepto, </w:t>
      </w:r>
      <w:r w:rsidRPr="0050129A">
        <w:rPr>
          <w:rStyle w:val="TextoNormalCaracter"/>
        </w:rPr>
        <w:t xml:space="preserve">Sentencia </w:t>
      </w:r>
      <w:hyperlink w:anchor="SENTENCIA_2008_12" w:history="1">
        <w:r w:rsidRPr="0050129A">
          <w:rPr>
            <w:rStyle w:val="TextoNormalCaracter"/>
          </w:rPr>
          <w:t>12/2008</w:t>
        </w:r>
      </w:hyperlink>
      <w:r w:rsidRPr="0050129A">
        <w:rPr>
          <w:rStyle w:val="TextoNormalCaracter"/>
        </w:rPr>
        <w:t>, f. 10, VP.</w:t>
      </w:r>
    </w:p>
    <w:p w:rsidR="0050129A" w:rsidRPr="0050129A" w:rsidRDefault="0050129A" w:rsidP="0050129A">
      <w:pPr>
        <w:pStyle w:val="TextoNormalSangraFrancesa"/>
        <w:rPr>
          <w:rStyle w:val="TextoNormalCaracter"/>
        </w:rPr>
      </w:pPr>
      <w:bookmarkStart w:id="866" w:name="DESCRIPTORALFABETICO289"/>
      <w:r w:rsidRPr="0050129A">
        <w:rPr>
          <w:rStyle w:val="TextoNormalNegritaCaracter"/>
        </w:rPr>
        <w:t>Comisiones de investigación</w:t>
      </w:r>
      <w:bookmarkEnd w:id="866"/>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ff. 6, 7.</w:t>
      </w:r>
    </w:p>
    <w:p w:rsidR="0050129A" w:rsidRPr="0050129A" w:rsidRDefault="0050129A" w:rsidP="0050129A">
      <w:pPr>
        <w:pStyle w:val="TextoNormalSangraFrancesa"/>
        <w:rPr>
          <w:rStyle w:val="TextoNormalCaracter"/>
        </w:rPr>
      </w:pPr>
      <w:bookmarkStart w:id="867" w:name="DESCRIPTORALFABETICO288"/>
      <w:r w:rsidRPr="0050129A">
        <w:rPr>
          <w:rStyle w:val="TextoNormalNegritaCaracter"/>
        </w:rPr>
        <w:t>Comisiones parlamentarias</w:t>
      </w:r>
      <w:bookmarkEnd w:id="867"/>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ff. 6, 7.</w:t>
      </w:r>
    </w:p>
    <w:p w:rsidR="0050129A" w:rsidRPr="0050129A" w:rsidRDefault="0050129A" w:rsidP="0050129A">
      <w:pPr>
        <w:pStyle w:val="TextoNormalSangraFrancesa"/>
        <w:rPr>
          <w:rStyle w:val="TextoNormalCaracter"/>
        </w:rPr>
      </w:pPr>
      <w:bookmarkStart w:id="868" w:name="DESCRIPTORALFABETICO156"/>
      <w:r w:rsidRPr="0050129A">
        <w:rPr>
          <w:rStyle w:val="TextoNormalNegritaCaracter"/>
        </w:rPr>
        <w:t>Competencia en materia de interpretación de normas procesales</w:t>
      </w:r>
      <w:bookmarkEnd w:id="868"/>
      <w:r w:rsidRPr="0050129A">
        <w:rPr>
          <w:rStyle w:val="TextoNormalCaracter"/>
        </w:rPr>
        <w:t xml:space="preserve">, Sentencia </w:t>
      </w:r>
      <w:hyperlink w:anchor="SENTENCIA_2008_48" w:history="1">
        <w:r w:rsidRPr="0050129A">
          <w:rPr>
            <w:rStyle w:val="TextoNormalCaracter"/>
          </w:rPr>
          <w:t>48/2008</w:t>
        </w:r>
      </w:hyperlink>
      <w:r w:rsidRPr="0050129A">
        <w:rPr>
          <w:rStyle w:val="TextoNormalCaracter"/>
        </w:rPr>
        <w:t>, f. 3.</w:t>
      </w:r>
    </w:p>
    <w:p w:rsidR="0050129A" w:rsidRPr="0050129A" w:rsidRDefault="0050129A" w:rsidP="0050129A">
      <w:pPr>
        <w:pStyle w:val="TextoNormalSangraFrancesa"/>
        <w:rPr>
          <w:rStyle w:val="TextoNormalCaracter"/>
        </w:rPr>
      </w:pPr>
      <w:bookmarkStart w:id="869" w:name="DESCRIPTORALFABETICO1"/>
      <w:r w:rsidRPr="0050129A">
        <w:rPr>
          <w:rStyle w:val="TextoNormalNegritaCaracter"/>
        </w:rPr>
        <w:t>Competencias</w:t>
      </w:r>
      <w:bookmarkEnd w:id="869"/>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17, VP II, VP III.</w:t>
      </w:r>
    </w:p>
    <w:p w:rsidR="0050129A" w:rsidRPr="0050129A" w:rsidRDefault="0050129A" w:rsidP="0050129A">
      <w:pPr>
        <w:pStyle w:val="TextoNormalSangraFrancesa"/>
        <w:rPr>
          <w:rStyle w:val="TextoNormalCaracter"/>
        </w:rPr>
      </w:pPr>
      <w:bookmarkStart w:id="870" w:name="DESCRIPTORALFABETICO441"/>
      <w:r w:rsidRPr="0050129A">
        <w:rPr>
          <w:rStyle w:val="TextoNormalNegritaCaracter"/>
        </w:rPr>
        <w:t>Competencias de los órganos judiciales</w:t>
      </w:r>
      <w:bookmarkEnd w:id="870"/>
      <w:r w:rsidRPr="0050129A">
        <w:rPr>
          <w:rStyle w:val="TextoNormalCaracter"/>
        </w:rPr>
        <w:t xml:space="preserve">, Sentencia </w:t>
      </w:r>
      <w:hyperlink w:anchor="SENTENCIA_2008_45" w:history="1">
        <w:r w:rsidRPr="0050129A">
          <w:rPr>
            <w:rStyle w:val="TextoNormalCaracter"/>
          </w:rPr>
          <w:t>45/2008</w:t>
        </w:r>
      </w:hyperlink>
      <w:r w:rsidRPr="0050129A">
        <w:rPr>
          <w:rStyle w:val="TextoNormalCaracter"/>
        </w:rPr>
        <w:t>, f. 3.</w:t>
      </w:r>
    </w:p>
    <w:p w:rsidR="0050129A" w:rsidRPr="0050129A" w:rsidRDefault="0050129A" w:rsidP="0050129A">
      <w:pPr>
        <w:pStyle w:val="TextoNormalSangraFrancesa"/>
        <w:rPr>
          <w:rStyle w:val="TextoNormalCaracter"/>
        </w:rPr>
      </w:pPr>
      <w:bookmarkStart w:id="871" w:name="DESCRIPTORALFABETICO3"/>
      <w:r w:rsidRPr="0050129A">
        <w:rPr>
          <w:rStyle w:val="TextoNormalNegritaCaracter"/>
        </w:rPr>
        <w:t>Competencias en materia tributaria</w:t>
      </w:r>
      <w:bookmarkEnd w:id="871"/>
      <w:r w:rsidRPr="0050129A">
        <w:rPr>
          <w:rStyle w:val="TextoNormalCaracter"/>
        </w:rPr>
        <w:t xml:space="preserve">, Auto </w:t>
      </w:r>
      <w:hyperlink w:anchor="AUTO_2008_51" w:history="1">
        <w:r w:rsidRPr="0050129A">
          <w:rPr>
            <w:rStyle w:val="TextoNormalCaracter"/>
          </w:rPr>
          <w:t>51/2008</w:t>
        </w:r>
      </w:hyperlink>
      <w:r w:rsidRPr="0050129A">
        <w:rPr>
          <w:rStyle w:val="TextoNormalCaracter"/>
        </w:rPr>
        <w:t>.</w:t>
      </w:r>
    </w:p>
    <w:p w:rsidR="0050129A" w:rsidRPr="0050129A" w:rsidRDefault="0050129A" w:rsidP="0050129A">
      <w:pPr>
        <w:pStyle w:val="TextoNormalSangraFrancesa"/>
        <w:rPr>
          <w:rStyle w:val="TextoNormalCaracter"/>
        </w:rPr>
      </w:pPr>
      <w:bookmarkStart w:id="872" w:name="DESCRIPTORALFABETICO182"/>
      <w:r w:rsidRPr="0050129A">
        <w:rPr>
          <w:rStyle w:val="TextoNormalNegritaCaracter"/>
        </w:rPr>
        <w:t>Composición del Tribunal que ha de resolver la recusación</w:t>
      </w:r>
      <w:bookmarkEnd w:id="872"/>
      <w:r w:rsidRPr="0050129A">
        <w:rPr>
          <w:rStyle w:val="TextoNormalCaracter"/>
        </w:rPr>
        <w:t xml:space="preserve">, Auto </w:t>
      </w:r>
      <w:hyperlink w:anchor="AUTO_2008_81" w:history="1">
        <w:r w:rsidRPr="0050129A">
          <w:rPr>
            <w:rStyle w:val="TextoNormalCaracter"/>
          </w:rPr>
          <w:t>81/2008</w:t>
        </w:r>
      </w:hyperlink>
      <w:r w:rsidRPr="0050129A">
        <w:rPr>
          <w:rStyle w:val="TextoNormalCaracter"/>
        </w:rPr>
        <w:t>.</w:t>
      </w:r>
    </w:p>
    <w:p w:rsidR="0050129A" w:rsidRPr="0050129A" w:rsidRDefault="0050129A" w:rsidP="0050129A">
      <w:pPr>
        <w:pStyle w:val="TextoNormalSangraFrancesa"/>
        <w:rPr>
          <w:rStyle w:val="TextoNormalCaracter"/>
        </w:rPr>
      </w:pPr>
      <w:bookmarkStart w:id="873" w:name="DESCRIPTORALFABETICO520"/>
      <w:r w:rsidRPr="0050129A">
        <w:rPr>
          <w:rStyle w:val="TextoNormalNegritaCaracter"/>
        </w:rPr>
        <w:t>Cómputo de plazos para la presentación de escritos</w:t>
      </w:r>
      <w:bookmarkEnd w:id="873"/>
      <w:r w:rsidRPr="0050129A">
        <w:rPr>
          <w:rStyle w:val="TextoNormalCaracter"/>
        </w:rPr>
        <w:t xml:space="preserve">, Sentencia </w:t>
      </w:r>
      <w:hyperlink w:anchor="SENTENCIA_2008_24" w:history="1">
        <w:r w:rsidRPr="0050129A">
          <w:rPr>
            <w:rStyle w:val="TextoNormalCaracter"/>
          </w:rPr>
          <w:t>24/2008</w:t>
        </w:r>
      </w:hyperlink>
      <w:r w:rsidRPr="0050129A">
        <w:rPr>
          <w:rStyle w:val="TextoNormalCaracter"/>
        </w:rPr>
        <w:t>, f. 3.</w:t>
      </w:r>
    </w:p>
    <w:p w:rsidR="0050129A" w:rsidRPr="0050129A" w:rsidRDefault="0050129A" w:rsidP="0050129A">
      <w:pPr>
        <w:pStyle w:val="TextoNormalSangraFrancesa"/>
        <w:rPr>
          <w:rStyle w:val="TextoNormalCaracter"/>
        </w:rPr>
      </w:pPr>
      <w:bookmarkStart w:id="874" w:name="DESCRIPTORALFABETICO593"/>
      <w:r w:rsidRPr="0050129A">
        <w:rPr>
          <w:rStyle w:val="TextoNormalNegritaCaracter"/>
        </w:rPr>
        <w:t>Comunidad Valenciana</w:t>
      </w:r>
      <w:bookmarkEnd w:id="874"/>
      <w:r w:rsidRPr="0050129A">
        <w:rPr>
          <w:rStyle w:val="TextoNormalCaracter"/>
        </w:rPr>
        <w:t xml:space="preserve">, Sentencia </w:t>
      </w:r>
      <w:hyperlink w:anchor="SENTENCIA_2008_47" w:history="1">
        <w:r w:rsidRPr="0050129A">
          <w:rPr>
            <w:rStyle w:val="TextoNormalCaracter"/>
          </w:rPr>
          <w:t>47/2008</w:t>
        </w:r>
      </w:hyperlink>
      <w:r w:rsidRPr="0050129A">
        <w:rPr>
          <w:rStyle w:val="TextoNormalCaracter"/>
        </w:rPr>
        <w:t>, ff. 1, 2.</w:t>
      </w:r>
    </w:p>
    <w:p w:rsidR="0050129A" w:rsidRPr="0050129A" w:rsidRDefault="0050129A" w:rsidP="0050129A">
      <w:pPr>
        <w:pStyle w:val="TextoNormalSangraFrancesa"/>
        <w:rPr>
          <w:rStyle w:val="TextoNormalCaracter"/>
        </w:rPr>
      </w:pPr>
      <w:bookmarkStart w:id="875" w:name="DESCRIPTORALFABETICO331"/>
      <w:r w:rsidRPr="0050129A">
        <w:rPr>
          <w:rStyle w:val="TextoNormalNegritaCaracter"/>
        </w:rPr>
        <w:t>Comunidades Autónomas</w:t>
      </w:r>
      <w:bookmarkEnd w:id="875"/>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f. 3; </w:t>
      </w:r>
      <w:hyperlink w:anchor="SENTENCIA_2008_18" w:history="1">
        <w:r w:rsidRPr="0050129A">
          <w:rPr>
            <w:rStyle w:val="TextoNormalCaracter"/>
          </w:rPr>
          <w:t>18/2008</w:t>
        </w:r>
      </w:hyperlink>
      <w:r w:rsidRPr="0050129A">
        <w:rPr>
          <w:rStyle w:val="TextoNormalCaracter"/>
        </w:rPr>
        <w:t>, f. único.</w:t>
      </w:r>
    </w:p>
    <w:p w:rsidR="0050129A" w:rsidRPr="0050129A" w:rsidRDefault="0050129A" w:rsidP="0050129A">
      <w:pPr>
        <w:pStyle w:val="TextoNormalSangraFrancesa"/>
        <w:rPr>
          <w:rStyle w:val="TextoNormalCaracter"/>
        </w:rPr>
      </w:pPr>
      <w:bookmarkStart w:id="876" w:name="DESCRIPTORALFABETICO4"/>
      <w:r w:rsidRPr="0050129A">
        <w:rPr>
          <w:rStyle w:val="TextoNormalNegritaCaracter"/>
        </w:rPr>
        <w:t>Conciertos económicos</w:t>
      </w:r>
      <w:bookmarkEnd w:id="876"/>
      <w:r w:rsidRPr="0050129A">
        <w:rPr>
          <w:rStyle w:val="TextoNormalCaracter"/>
        </w:rPr>
        <w:t xml:space="preserve">, Sentencia </w:t>
      </w:r>
      <w:hyperlink w:anchor="SENTENCIA_2008_26" w:history="1">
        <w:r w:rsidRPr="0050129A">
          <w:rPr>
            <w:rStyle w:val="TextoNormalCaracter"/>
          </w:rPr>
          <w:t>26/2008</w:t>
        </w:r>
      </w:hyperlink>
      <w:r w:rsidRPr="0050129A">
        <w:rPr>
          <w:rStyle w:val="TextoNormalCaracter"/>
        </w:rPr>
        <w:t>, ff. 1, 2, 3, 4, 5, 6, 7, 8, 9, 10, 11.</w:t>
      </w:r>
    </w:p>
    <w:p w:rsidR="0050129A" w:rsidRPr="0050129A" w:rsidRDefault="0050129A" w:rsidP="0050129A">
      <w:pPr>
        <w:pStyle w:val="TextoNormalSangraFrancesa"/>
        <w:rPr>
          <w:rStyle w:val="TextoNormalCaracter"/>
        </w:rPr>
      </w:pPr>
      <w:bookmarkStart w:id="877" w:name="DESCRIPTORALFABETICO581"/>
      <w:r w:rsidRPr="0050129A">
        <w:rPr>
          <w:rStyle w:val="TextoNormalNegritaCaracter"/>
        </w:rPr>
        <w:t>Concreción de la pena</w:t>
      </w:r>
      <w:bookmarkEnd w:id="877"/>
      <w:r w:rsidRPr="0050129A">
        <w:rPr>
          <w:rStyle w:val="TextoNormalCaracter"/>
        </w:rPr>
        <w:t xml:space="preserve">, Sentencia </w:t>
      </w:r>
      <w:hyperlink w:anchor="SENTENCIA_2008_21" w:history="1">
        <w:r w:rsidRPr="0050129A">
          <w:rPr>
            <w:rStyle w:val="TextoNormalCaracter"/>
          </w:rPr>
          <w:t>21/2008</w:t>
        </w:r>
      </w:hyperlink>
      <w:r w:rsidRPr="0050129A">
        <w:rPr>
          <w:rStyle w:val="TextoNormalCaracter"/>
        </w:rPr>
        <w:t>, ff. 3 a 5.</w:t>
      </w:r>
    </w:p>
    <w:p w:rsidR="0050129A" w:rsidRPr="0050129A" w:rsidRDefault="0050129A" w:rsidP="0050129A">
      <w:pPr>
        <w:pStyle w:val="TextoNormalSangraFrancesa"/>
        <w:rPr>
          <w:rStyle w:val="TextoNormalCaracter"/>
        </w:rPr>
      </w:pPr>
      <w:bookmarkStart w:id="878" w:name="DESCRIPTORALFABETICO355"/>
      <w:r w:rsidRPr="0050129A">
        <w:rPr>
          <w:rStyle w:val="TextoNormalNegritaCaracter"/>
        </w:rPr>
        <w:t>Concurso de delitos</w:t>
      </w:r>
      <w:bookmarkEnd w:id="878"/>
      <w:r w:rsidRPr="0050129A">
        <w:rPr>
          <w:rStyle w:val="TextoNormalCaracter"/>
        </w:rPr>
        <w:t xml:space="preserve">, Sentencia </w:t>
      </w:r>
      <w:hyperlink w:anchor="SENTENCIA_2008_21" w:history="1">
        <w:r w:rsidRPr="0050129A">
          <w:rPr>
            <w:rStyle w:val="TextoNormalCaracter"/>
          </w:rPr>
          <w:t>21/2008</w:t>
        </w:r>
      </w:hyperlink>
      <w:r w:rsidRPr="0050129A">
        <w:rPr>
          <w:rStyle w:val="TextoNormalCaracter"/>
        </w:rPr>
        <w:t>, f. 4.</w:t>
      </w:r>
    </w:p>
    <w:p w:rsidR="0050129A" w:rsidRPr="0050129A" w:rsidRDefault="0050129A" w:rsidP="0050129A">
      <w:pPr>
        <w:pStyle w:val="TextoNormalSangraFrancesa"/>
        <w:rPr>
          <w:rStyle w:val="TextoNormalCaracter"/>
        </w:rPr>
      </w:pPr>
      <w:bookmarkStart w:id="879" w:name="DESCRIPTORALFABETICO582"/>
      <w:r w:rsidRPr="0050129A">
        <w:rPr>
          <w:rStyle w:val="TextoNormalNegritaCaracter"/>
        </w:rPr>
        <w:t>Condena penal en apelación</w:t>
      </w:r>
      <w:bookmarkEnd w:id="879"/>
      <w:r w:rsidRPr="0050129A">
        <w:rPr>
          <w:rStyle w:val="TextoNormalCaracter"/>
        </w:rPr>
        <w:t xml:space="preserve">, Sentencias </w:t>
      </w:r>
      <w:hyperlink w:anchor="SENTENCIA_2008_28" w:history="1">
        <w:r w:rsidRPr="0050129A">
          <w:rPr>
            <w:rStyle w:val="TextoNormalCaracter"/>
          </w:rPr>
          <w:t>28/2008</w:t>
        </w:r>
      </w:hyperlink>
      <w:r w:rsidRPr="0050129A">
        <w:rPr>
          <w:rStyle w:val="TextoNormalCaracter"/>
        </w:rPr>
        <w:t xml:space="preserve">, ff. 2, 3, 4; </w:t>
      </w:r>
      <w:hyperlink w:anchor="SENTENCIA_2008_36" w:history="1">
        <w:r w:rsidRPr="0050129A">
          <w:rPr>
            <w:rStyle w:val="TextoNormalCaracter"/>
          </w:rPr>
          <w:t>36/2008</w:t>
        </w:r>
      </w:hyperlink>
      <w:r w:rsidRPr="0050129A">
        <w:rPr>
          <w:rStyle w:val="TextoNormalCaracter"/>
        </w:rPr>
        <w:t>, f. 5.</w:t>
      </w:r>
    </w:p>
    <w:p w:rsidR="0050129A" w:rsidRPr="0050129A" w:rsidRDefault="0050129A" w:rsidP="0050129A">
      <w:pPr>
        <w:pStyle w:val="TextoNormalSangraFrancesa"/>
        <w:rPr>
          <w:rStyle w:val="TextoNormalCaracter"/>
        </w:rPr>
      </w:pPr>
      <w:bookmarkStart w:id="880" w:name="DESCRIPTORALFABETICO583"/>
      <w:r w:rsidRPr="0050129A">
        <w:rPr>
          <w:rStyle w:val="TextoNormalNegritaCaracter"/>
        </w:rPr>
        <w:t>Condena penal en apelación fundada en pruebas sin garantías</w:t>
      </w:r>
      <w:bookmarkEnd w:id="880"/>
      <w:r w:rsidRPr="0050129A">
        <w:rPr>
          <w:rStyle w:val="TextoNormalCaracter"/>
        </w:rPr>
        <w:t xml:space="preserve">, Sentencia </w:t>
      </w:r>
      <w:hyperlink w:anchor="SENTENCIA_2008_28" w:history="1">
        <w:r w:rsidRPr="0050129A">
          <w:rPr>
            <w:rStyle w:val="TextoNormalCaracter"/>
          </w:rPr>
          <w:t>28/2008</w:t>
        </w:r>
      </w:hyperlink>
      <w:r w:rsidRPr="0050129A">
        <w:rPr>
          <w:rStyle w:val="TextoNormalCaracter"/>
        </w:rPr>
        <w:t>, ff. 2, 4.</w:t>
      </w:r>
    </w:p>
    <w:p w:rsidR="0050129A" w:rsidRPr="0050129A" w:rsidRDefault="0050129A" w:rsidP="0050129A">
      <w:pPr>
        <w:pStyle w:val="TextoNormalSangraFrancesa"/>
        <w:rPr>
          <w:rStyle w:val="TextoNormalCaracter"/>
        </w:rPr>
      </w:pPr>
      <w:bookmarkStart w:id="881" w:name="DESCRIPTORALFABETICO584"/>
      <w:r w:rsidRPr="0050129A">
        <w:rPr>
          <w:rStyle w:val="TextoNormalNegritaCaracter"/>
        </w:rPr>
        <w:t>Condena penal en apelación sin vista pública</w:t>
      </w:r>
      <w:bookmarkEnd w:id="881"/>
      <w:r w:rsidRPr="0050129A">
        <w:rPr>
          <w:rStyle w:val="TextoNormalCaracter"/>
        </w:rPr>
        <w:t xml:space="preserve">, Sentencias </w:t>
      </w:r>
      <w:hyperlink w:anchor="SENTENCIA_2008_28" w:history="1">
        <w:r w:rsidRPr="0050129A">
          <w:rPr>
            <w:rStyle w:val="TextoNormalCaracter"/>
          </w:rPr>
          <w:t>28/2008</w:t>
        </w:r>
      </w:hyperlink>
      <w:r w:rsidRPr="0050129A">
        <w:rPr>
          <w:rStyle w:val="TextoNormalCaracter"/>
        </w:rPr>
        <w:t xml:space="preserve">, ff. 2, 3; </w:t>
      </w:r>
      <w:hyperlink w:anchor="SENTENCIA_2008_36" w:history="1">
        <w:r w:rsidRPr="0050129A">
          <w:rPr>
            <w:rStyle w:val="TextoNormalCaracter"/>
          </w:rPr>
          <w:t>36/2008</w:t>
        </w:r>
      </w:hyperlink>
      <w:r w:rsidRPr="0050129A">
        <w:rPr>
          <w:rStyle w:val="TextoNormalCaracter"/>
        </w:rPr>
        <w:t>, f. 5.</w:t>
      </w:r>
    </w:p>
    <w:p w:rsidR="0050129A" w:rsidRPr="0050129A" w:rsidRDefault="0050129A" w:rsidP="0050129A">
      <w:pPr>
        <w:pStyle w:val="TextoNormalSangraFrancesa"/>
        <w:rPr>
          <w:rStyle w:val="TextoNormalNegritaCaracter"/>
        </w:rPr>
      </w:pPr>
      <w:r w:rsidRPr="0050129A">
        <w:rPr>
          <w:rStyle w:val="TextoNormalCursivaCaracter"/>
        </w:rPr>
        <w:t>Condición femenina</w:t>
      </w:r>
      <w:r>
        <w:t xml:space="preserve"> véase </w:t>
      </w:r>
      <w:hyperlink w:anchor="DESCRIPTORALFABETICO406" w:history="1">
        <w:r w:rsidRPr="0050129A">
          <w:rPr>
            <w:rStyle w:val="TextoNormalNegritaCaracter"/>
          </w:rPr>
          <w:t>Mujer</w:t>
        </w:r>
      </w:hyperlink>
    </w:p>
    <w:p w:rsidR="0050129A" w:rsidRPr="0050129A" w:rsidRDefault="0050129A" w:rsidP="0050129A">
      <w:pPr>
        <w:pStyle w:val="TextoNormalSangraFrancesa"/>
        <w:rPr>
          <w:rStyle w:val="TextoNormalCaracter"/>
        </w:rPr>
      </w:pPr>
      <w:bookmarkStart w:id="882" w:name="DESCRIPTORALFABETICO113"/>
      <w:r w:rsidRPr="0050129A">
        <w:rPr>
          <w:rStyle w:val="TextoNormalNegritaCaracter"/>
        </w:rPr>
        <w:t>Conducta omisiva del órgano judicial</w:t>
      </w:r>
      <w:bookmarkEnd w:id="882"/>
      <w:r w:rsidRPr="0050129A">
        <w:rPr>
          <w:rStyle w:val="TextoNormalCaracter"/>
        </w:rPr>
        <w:t xml:space="preserve">, Sentencia </w:t>
      </w:r>
      <w:hyperlink w:anchor="SENTENCIA_2008_55" w:history="1">
        <w:r w:rsidRPr="0050129A">
          <w:rPr>
            <w:rStyle w:val="TextoNormalCaracter"/>
          </w:rPr>
          <w:t>55/2008</w:t>
        </w:r>
      </w:hyperlink>
      <w:r w:rsidRPr="0050129A">
        <w:rPr>
          <w:rStyle w:val="TextoNormalCaracter"/>
        </w:rPr>
        <w:t>, ff. 4 a 6.</w:t>
      </w:r>
    </w:p>
    <w:p w:rsidR="0050129A" w:rsidRPr="0050129A" w:rsidRDefault="0050129A" w:rsidP="0050129A">
      <w:pPr>
        <w:pStyle w:val="TextoNormalSangraFrancesa"/>
        <w:rPr>
          <w:rStyle w:val="TextoNormalCaracter"/>
        </w:rPr>
      </w:pPr>
      <w:bookmarkStart w:id="883" w:name="DESCRIPTORALFABETICO52"/>
      <w:r w:rsidRPr="0050129A">
        <w:rPr>
          <w:rStyle w:val="TextoNormalNegritaCaracter"/>
        </w:rPr>
        <w:t>Conexión con el desarrollo de la vida privada</w:t>
      </w:r>
      <w:bookmarkEnd w:id="883"/>
      <w:r w:rsidRPr="0050129A">
        <w:rPr>
          <w:rStyle w:val="TextoNormalCaracter"/>
        </w:rPr>
        <w:t xml:space="preserve">, Sentencia </w:t>
      </w:r>
      <w:hyperlink w:anchor="SENTENCIA_2008_25" w:history="1">
        <w:r w:rsidRPr="0050129A">
          <w:rPr>
            <w:rStyle w:val="TextoNormalCaracter"/>
          </w:rPr>
          <w:t>25/2008</w:t>
        </w:r>
      </w:hyperlink>
      <w:r w:rsidRPr="0050129A">
        <w:rPr>
          <w:rStyle w:val="TextoNormalCaracter"/>
        </w:rPr>
        <w:t>, f. 6.</w:t>
      </w:r>
    </w:p>
    <w:p w:rsidR="0050129A" w:rsidRPr="0050129A" w:rsidRDefault="0050129A" w:rsidP="0050129A">
      <w:pPr>
        <w:pStyle w:val="TextoNormalSangraFrancesa"/>
        <w:rPr>
          <w:rStyle w:val="TextoNormalCaracter"/>
        </w:rPr>
      </w:pPr>
      <w:bookmarkStart w:id="884" w:name="DESCRIPTORALFABETICO194"/>
      <w:r w:rsidRPr="0050129A">
        <w:rPr>
          <w:rStyle w:val="TextoNormalNegritaCaracter"/>
        </w:rPr>
        <w:t>Conflictos en defensa de la autonomía local</w:t>
      </w:r>
      <w:bookmarkEnd w:id="884"/>
      <w:r w:rsidRPr="0050129A">
        <w:rPr>
          <w:rStyle w:val="TextoNormalCaracter"/>
        </w:rPr>
        <w:t xml:space="preserve">, Sentencia </w:t>
      </w:r>
      <w:hyperlink w:anchor="SENTENCIA_2008_47" w:history="1">
        <w:r w:rsidRPr="0050129A">
          <w:rPr>
            <w:rStyle w:val="TextoNormalCaracter"/>
          </w:rPr>
          <w:t>47/2008</w:t>
        </w:r>
      </w:hyperlink>
      <w:r w:rsidRPr="0050129A">
        <w:rPr>
          <w:rStyle w:val="TextoNormalCaracter"/>
        </w:rPr>
        <w:t>, ff. 1, 2, VP.</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47" w:history="1">
        <w:r w:rsidRPr="0050129A">
          <w:rPr>
            <w:rStyle w:val="TextoNormalCaracter"/>
          </w:rPr>
          <w:t>47/2008</w:t>
        </w:r>
      </w:hyperlink>
      <w:r w:rsidRPr="0050129A">
        <w:rPr>
          <w:rStyle w:val="TextoNormalCaracter"/>
        </w:rPr>
        <w:t>, f. 1.</w:t>
      </w:r>
    </w:p>
    <w:p w:rsidR="0050129A" w:rsidRPr="0050129A" w:rsidRDefault="0050129A" w:rsidP="0050129A">
      <w:pPr>
        <w:pStyle w:val="TextoNormalSangraFrancesa"/>
        <w:rPr>
          <w:rStyle w:val="TextoNormalCaracter"/>
        </w:rPr>
      </w:pPr>
      <w:bookmarkStart w:id="885" w:name="DESCRIPTORALFABETICO456"/>
      <w:r w:rsidRPr="0050129A">
        <w:rPr>
          <w:rStyle w:val="TextoNormalNegritaCaracter"/>
        </w:rPr>
        <w:t>Conocimiento extraprocesal del proceso</w:t>
      </w:r>
      <w:bookmarkEnd w:id="885"/>
      <w:r w:rsidRPr="0050129A">
        <w:rPr>
          <w:rStyle w:val="TextoNormalCaracter"/>
        </w:rPr>
        <w:t xml:space="preserve">, Sentencia </w:t>
      </w:r>
      <w:hyperlink w:anchor="SENTENCIA_2008_2" w:history="1">
        <w:r w:rsidRPr="0050129A">
          <w:rPr>
            <w:rStyle w:val="TextoNormalCaracter"/>
          </w:rPr>
          <w:t>2/2008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886" w:name="DESCRIPTORALFABETICO466"/>
      <w:r w:rsidRPr="0050129A">
        <w:rPr>
          <w:rStyle w:val="TextoNormalNegritaCaracter"/>
        </w:rPr>
        <w:t>Consignación insuficiente</w:t>
      </w:r>
      <w:bookmarkEnd w:id="886"/>
      <w:r w:rsidRPr="0050129A">
        <w:rPr>
          <w:rStyle w:val="TextoNormalCaracter"/>
        </w:rPr>
        <w:t xml:space="preserve">, Sentencia </w:t>
      </w:r>
      <w:hyperlink w:anchor="SENTENCIA_2008_33" w:history="1">
        <w:r w:rsidRPr="0050129A">
          <w:rPr>
            <w:rStyle w:val="TextoNormalCaracter"/>
          </w:rPr>
          <w:t>33/2008</w:t>
        </w:r>
      </w:hyperlink>
      <w:r w:rsidRPr="0050129A">
        <w:rPr>
          <w:rStyle w:val="TextoNormalCaracter"/>
        </w:rPr>
        <w:t>, f. 4.</w:t>
      </w:r>
    </w:p>
    <w:p w:rsidR="0050129A" w:rsidRPr="0050129A" w:rsidRDefault="0050129A" w:rsidP="0050129A">
      <w:pPr>
        <w:pStyle w:val="TextoNormalSangraFrancesa"/>
        <w:rPr>
          <w:rStyle w:val="TextoNormalCaracter"/>
        </w:rPr>
      </w:pPr>
      <w:bookmarkStart w:id="887" w:name="DESCRIPTORALFABETICO429"/>
      <w:r w:rsidRPr="0050129A">
        <w:rPr>
          <w:rStyle w:val="TextoNormalNegritaCaracter"/>
        </w:rPr>
        <w:t>Consorcio de Compensación de Seguros</w:t>
      </w:r>
      <w:bookmarkEnd w:id="887"/>
      <w:r w:rsidRPr="0050129A">
        <w:rPr>
          <w:rStyle w:val="TextoNormalCaracter"/>
        </w:rPr>
        <w:t xml:space="preserve">, Sentencia </w:t>
      </w:r>
      <w:hyperlink w:anchor="SENTENCIA_2008_33" w:history="1">
        <w:r w:rsidRPr="0050129A">
          <w:rPr>
            <w:rStyle w:val="TextoNormalCaracter"/>
          </w:rPr>
          <w:t>33/2008</w:t>
        </w:r>
      </w:hyperlink>
      <w:r w:rsidRPr="0050129A">
        <w:rPr>
          <w:rStyle w:val="TextoNormalCaracter"/>
        </w:rPr>
        <w:t>, f. 3.</w:t>
      </w:r>
    </w:p>
    <w:p w:rsidR="0050129A" w:rsidRPr="0050129A" w:rsidRDefault="0050129A" w:rsidP="0050129A">
      <w:pPr>
        <w:pStyle w:val="TextoNormalSangraFrancesa"/>
        <w:rPr>
          <w:rStyle w:val="TextoNormalCaracter"/>
        </w:rPr>
      </w:pPr>
      <w:bookmarkStart w:id="888" w:name="DESCRIPTORALFABETICO137"/>
      <w:r w:rsidRPr="0050129A">
        <w:rPr>
          <w:rStyle w:val="TextoNormalNegritaCaracter"/>
        </w:rPr>
        <w:t>Contenido adicional de la libertad sindical</w:t>
      </w:r>
      <w:bookmarkEnd w:id="888"/>
      <w:r w:rsidRPr="0050129A">
        <w:rPr>
          <w:rStyle w:val="TextoNormalCaracter"/>
        </w:rPr>
        <w:t xml:space="preserve">, Auto </w:t>
      </w:r>
      <w:hyperlink w:anchor="AUTO_2008_29" w:history="1">
        <w:r w:rsidRPr="0050129A">
          <w:rPr>
            <w:rStyle w:val="TextoNormalCaracter"/>
          </w:rPr>
          <w:t>29/2008</w:t>
        </w:r>
      </w:hyperlink>
      <w:r w:rsidRPr="0050129A">
        <w:rPr>
          <w:rStyle w:val="TextoNormalCaracter"/>
        </w:rPr>
        <w:t>.</w:t>
      </w:r>
    </w:p>
    <w:p w:rsidR="0050129A" w:rsidRPr="0050129A" w:rsidRDefault="0050129A" w:rsidP="0050129A">
      <w:pPr>
        <w:pStyle w:val="TextoNormalSangraFrancesa"/>
        <w:rPr>
          <w:rStyle w:val="TextoNormalCaracter"/>
        </w:rPr>
      </w:pPr>
      <w:bookmarkStart w:id="889" w:name="DESCRIPTORALFABETICO131"/>
      <w:r w:rsidRPr="0050129A">
        <w:rPr>
          <w:rStyle w:val="TextoNormalNegritaCaracter"/>
        </w:rPr>
        <w:t>Contenido de la libertad de expresión</w:t>
      </w:r>
      <w:bookmarkEnd w:id="889"/>
      <w:r w:rsidRPr="0050129A">
        <w:rPr>
          <w:rStyle w:val="TextoNormalCaracter"/>
        </w:rPr>
        <w:t xml:space="preserve">, Auto </w:t>
      </w:r>
      <w:hyperlink w:anchor="AUTO_2008_4" w:history="1">
        <w:r w:rsidRPr="0050129A">
          <w:rPr>
            <w:rStyle w:val="TextoNormalCaracter"/>
          </w:rPr>
          <w:t>4/2008</w:t>
        </w:r>
      </w:hyperlink>
      <w:r w:rsidRPr="0050129A">
        <w:rPr>
          <w:rStyle w:val="TextoNormalCaracter"/>
        </w:rPr>
        <w:t>.</w:t>
      </w:r>
    </w:p>
    <w:p w:rsidR="0050129A" w:rsidRPr="0050129A" w:rsidRDefault="0050129A" w:rsidP="0050129A">
      <w:pPr>
        <w:pStyle w:val="TextoNormalSangraFrancesa"/>
        <w:rPr>
          <w:rStyle w:val="TextoNormalCaracter"/>
        </w:rPr>
      </w:pPr>
      <w:bookmarkStart w:id="890" w:name="DESCRIPTORALFABETICO25"/>
      <w:r w:rsidRPr="0050129A">
        <w:rPr>
          <w:rStyle w:val="TextoNormalNegritaCaracter"/>
        </w:rPr>
        <w:t>Contenido del derecho a acceder a las funciones públicas</w:t>
      </w:r>
      <w:bookmarkEnd w:id="890"/>
      <w:r w:rsidRPr="0050129A">
        <w:rPr>
          <w:rStyle w:val="TextoNormalCaracter"/>
        </w:rPr>
        <w:t xml:space="preserve">, Sentencia </w:t>
      </w:r>
      <w:hyperlink w:anchor="SENTENCIA_2008_30" w:history="1">
        <w:r w:rsidRPr="0050129A">
          <w:rPr>
            <w:rStyle w:val="TextoNormalCaracter"/>
          </w:rPr>
          <w:t>30/2008</w:t>
        </w:r>
      </w:hyperlink>
      <w:r w:rsidRPr="0050129A">
        <w:rPr>
          <w:rStyle w:val="TextoNormalCaracter"/>
        </w:rPr>
        <w:t>, f. 6.</w:t>
      </w:r>
    </w:p>
    <w:p w:rsidR="0050129A" w:rsidRPr="0050129A" w:rsidRDefault="0050129A" w:rsidP="0050129A">
      <w:pPr>
        <w:pStyle w:val="TextoNormalSangraFrancesa"/>
        <w:rPr>
          <w:rStyle w:val="TextoNormalCaracter"/>
        </w:rPr>
      </w:pPr>
      <w:bookmarkStart w:id="891" w:name="DESCRIPTORALFABETICO27"/>
      <w:r w:rsidRPr="0050129A">
        <w:rPr>
          <w:rStyle w:val="TextoNormalNegritaCaracter"/>
        </w:rPr>
        <w:t>Contenido del derecho a ejercer los cargos públicos</w:t>
      </w:r>
      <w:bookmarkEnd w:id="891"/>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ff. 5 a 7.</w:t>
      </w:r>
    </w:p>
    <w:p w:rsidR="0050129A" w:rsidRPr="0050129A" w:rsidRDefault="0050129A" w:rsidP="0050129A">
      <w:pPr>
        <w:pStyle w:val="TextoNormalSangraFrancesa"/>
        <w:rPr>
          <w:rStyle w:val="TextoNormalCaracter"/>
        </w:rPr>
      </w:pPr>
      <w:bookmarkStart w:id="892" w:name="DESCRIPTORALFABETICO32"/>
      <w:r w:rsidRPr="0050129A">
        <w:rPr>
          <w:rStyle w:val="TextoNormalNegritaCaracter"/>
        </w:rPr>
        <w:t>Contenido del derecho a la creación literaria, artística, científica y técnica</w:t>
      </w:r>
      <w:bookmarkEnd w:id="892"/>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 5.</w:t>
      </w:r>
    </w:p>
    <w:p w:rsidR="0050129A" w:rsidRPr="0050129A" w:rsidRDefault="0050129A" w:rsidP="0050129A">
      <w:pPr>
        <w:pStyle w:val="TextoNormalSangraFrancesa"/>
        <w:rPr>
          <w:rStyle w:val="TextoNormalCaracter"/>
        </w:rPr>
      </w:pPr>
      <w:bookmarkStart w:id="893" w:name="DESCRIPTORALFABETICO64"/>
      <w:r w:rsidRPr="0050129A">
        <w:rPr>
          <w:rStyle w:val="TextoNormalNegritaCaracter"/>
        </w:rPr>
        <w:t>Contenido del derecho a la protección de datos personales</w:t>
      </w:r>
      <w:bookmarkEnd w:id="893"/>
      <w:r w:rsidRPr="0050129A">
        <w:rPr>
          <w:rStyle w:val="TextoNormalCaracter"/>
        </w:rPr>
        <w:t xml:space="preserve">, Auto </w:t>
      </w:r>
      <w:hyperlink w:anchor="AUTO_2008_29" w:history="1">
        <w:r w:rsidRPr="0050129A">
          <w:rPr>
            <w:rStyle w:val="TextoNormalCaracter"/>
          </w:rPr>
          <w:t>29/2008</w:t>
        </w:r>
      </w:hyperlink>
      <w:r w:rsidRPr="0050129A">
        <w:rPr>
          <w:rStyle w:val="TextoNormalCaracter"/>
        </w:rPr>
        <w:t>.</w:t>
      </w:r>
    </w:p>
    <w:p w:rsidR="0050129A" w:rsidRPr="0050129A" w:rsidRDefault="0050129A" w:rsidP="0050129A">
      <w:pPr>
        <w:pStyle w:val="TextoNormalSangraFrancesa"/>
        <w:rPr>
          <w:rStyle w:val="TextoNormalCaracter"/>
        </w:rPr>
      </w:pPr>
      <w:bookmarkStart w:id="894" w:name="DESCRIPTORALFABETICO125"/>
      <w:r w:rsidRPr="0050129A">
        <w:rPr>
          <w:rStyle w:val="TextoNormalNegritaCaracter"/>
        </w:rPr>
        <w:t>Contenido del derecho de asociación</w:t>
      </w:r>
      <w:bookmarkEnd w:id="894"/>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5.</w:t>
      </w:r>
    </w:p>
    <w:p w:rsidR="0050129A" w:rsidRPr="0050129A" w:rsidRDefault="0050129A" w:rsidP="0050129A">
      <w:pPr>
        <w:pStyle w:val="TextoNormalSangraFrancesa"/>
        <w:rPr>
          <w:rStyle w:val="TextoNormalCaracter"/>
        </w:rPr>
      </w:pPr>
      <w:bookmarkStart w:id="895" w:name="DESCRIPTORALFABETICO127"/>
      <w:r w:rsidRPr="0050129A">
        <w:rPr>
          <w:rStyle w:val="TextoNormalNegritaCaracter"/>
        </w:rPr>
        <w:t>Contenido del derecho de sufragio activo</w:t>
      </w:r>
      <w:bookmarkEnd w:id="895"/>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9.</w:t>
      </w:r>
    </w:p>
    <w:p w:rsidR="0050129A" w:rsidRPr="0050129A" w:rsidRDefault="0050129A" w:rsidP="0050129A">
      <w:pPr>
        <w:pStyle w:val="TextoNormalSangraFrancesa"/>
        <w:rPr>
          <w:rStyle w:val="TextoNormalCaracter"/>
        </w:rPr>
      </w:pPr>
      <w:bookmarkStart w:id="896" w:name="DESCRIPTORALFABETICO129"/>
      <w:r w:rsidRPr="0050129A">
        <w:rPr>
          <w:rStyle w:val="TextoNormalNegritaCaracter"/>
        </w:rPr>
        <w:t>Contenido del derecho de sufragio pasivo</w:t>
      </w:r>
      <w:bookmarkEnd w:id="896"/>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9.</w:t>
      </w:r>
    </w:p>
    <w:p w:rsidR="0050129A" w:rsidRPr="0050129A" w:rsidRDefault="0050129A" w:rsidP="0050129A">
      <w:pPr>
        <w:pStyle w:val="TextoNormalSangraFrancesa"/>
        <w:rPr>
          <w:rStyle w:val="TextoNormalCaracter"/>
        </w:rPr>
      </w:pPr>
      <w:bookmarkStart w:id="897" w:name="DESCRIPTORALFABETICO139"/>
      <w:r w:rsidRPr="0050129A">
        <w:rPr>
          <w:rStyle w:val="TextoNormalNegritaCaracter"/>
        </w:rPr>
        <w:t>Contenido indisponible para el legislador</w:t>
      </w:r>
      <w:bookmarkEnd w:id="897"/>
      <w:r w:rsidRPr="0050129A">
        <w:rPr>
          <w:rStyle w:val="TextoNormalCaracter"/>
        </w:rPr>
        <w:t xml:space="preserve">, Sentencia </w:t>
      </w:r>
      <w:hyperlink w:anchor="SENTENCIA_2008_10" w:history="1">
        <w:r w:rsidRPr="0050129A">
          <w:rPr>
            <w:rStyle w:val="TextoNormalCaracter"/>
          </w:rPr>
          <w:t>10/2008</w:t>
        </w:r>
      </w:hyperlink>
      <w:r w:rsidRPr="0050129A">
        <w:rPr>
          <w:rStyle w:val="TextoNormalCaracter"/>
        </w:rPr>
        <w:t>, f. 2.</w:t>
      </w:r>
    </w:p>
    <w:p w:rsidR="0050129A" w:rsidRPr="0050129A" w:rsidRDefault="0050129A" w:rsidP="0050129A">
      <w:pPr>
        <w:pStyle w:val="TextoNormalSangraFrancesa"/>
        <w:rPr>
          <w:rStyle w:val="TextoNormalCaracter"/>
        </w:rPr>
      </w:pPr>
      <w:bookmarkStart w:id="898" w:name="DESCRIPTORALFABETICO161"/>
      <w:r w:rsidRPr="0050129A">
        <w:rPr>
          <w:rStyle w:val="TextoNormalNegritaCaracter"/>
        </w:rPr>
        <w:t>Contenido patrimonial</w:t>
      </w:r>
      <w:bookmarkEnd w:id="898"/>
      <w:r w:rsidRPr="0050129A">
        <w:rPr>
          <w:rStyle w:val="TextoNormalCaracter"/>
        </w:rPr>
        <w:t xml:space="preserve">, Autos </w:t>
      </w:r>
      <w:hyperlink w:anchor="AUTO_2008_40" w:history="1">
        <w:r w:rsidRPr="0050129A">
          <w:rPr>
            <w:rStyle w:val="TextoNormalCaracter"/>
          </w:rPr>
          <w:t>40/2008</w:t>
        </w:r>
      </w:hyperlink>
      <w:r w:rsidRPr="0050129A">
        <w:rPr>
          <w:rStyle w:val="TextoNormalCaracter"/>
        </w:rPr>
        <w:t xml:space="preserve">; </w:t>
      </w:r>
      <w:hyperlink w:anchor="AUTO_2008_66" w:history="1">
        <w:r w:rsidRPr="0050129A">
          <w:rPr>
            <w:rStyle w:val="TextoNormalCaracter"/>
          </w:rPr>
          <w:t>66/2008</w:t>
        </w:r>
      </w:hyperlink>
      <w:r w:rsidRPr="0050129A">
        <w:rPr>
          <w:rStyle w:val="TextoNormalCaracter"/>
        </w:rPr>
        <w:t xml:space="preserve">; </w:t>
      </w:r>
      <w:hyperlink w:anchor="AUTO_2008_116" w:history="1">
        <w:r w:rsidRPr="0050129A">
          <w:rPr>
            <w:rStyle w:val="TextoNormalCaracter"/>
          </w:rPr>
          <w:t>116/2008</w:t>
        </w:r>
      </w:hyperlink>
      <w:r w:rsidRPr="0050129A">
        <w:rPr>
          <w:rStyle w:val="TextoNormalCaracter"/>
        </w:rPr>
        <w:t xml:space="preserve">; </w:t>
      </w:r>
      <w:hyperlink w:anchor="AUTO_2008_118" w:history="1">
        <w:r w:rsidRPr="0050129A">
          <w:rPr>
            <w:rStyle w:val="TextoNormalCaracter"/>
          </w:rPr>
          <w:t>118/2008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Contradicción procesal</w:t>
      </w:r>
      <w:r>
        <w:t xml:space="preserve"> véase </w:t>
      </w:r>
      <w:hyperlink w:anchor="DESCRIPTORALFABETICO524" w:history="1">
        <w:r w:rsidRPr="0050129A">
          <w:rPr>
            <w:rStyle w:val="TextoNormalNegritaCaracter"/>
          </w:rPr>
          <w:t>Principio de contradicción</w:t>
        </w:r>
      </w:hyperlink>
    </w:p>
    <w:p w:rsidR="0050129A" w:rsidRPr="0050129A" w:rsidRDefault="0050129A" w:rsidP="0050129A">
      <w:pPr>
        <w:pStyle w:val="TextoNormalSangraFrancesa"/>
        <w:rPr>
          <w:rStyle w:val="TextoNormalCaracter"/>
        </w:rPr>
      </w:pPr>
      <w:bookmarkStart w:id="899" w:name="DESCRIPTORALFABETICO152"/>
      <w:r w:rsidRPr="0050129A">
        <w:rPr>
          <w:rStyle w:val="TextoNormalNegritaCaracter"/>
        </w:rPr>
        <w:t>Control constitucional en la aplicación de normas</w:t>
      </w:r>
      <w:bookmarkEnd w:id="899"/>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2 a 4.</w:t>
      </w:r>
    </w:p>
    <w:p w:rsidR="0050129A" w:rsidRPr="0050129A" w:rsidRDefault="0050129A" w:rsidP="0050129A">
      <w:pPr>
        <w:pStyle w:val="TextoNormalSangraFrancesa"/>
        <w:rPr>
          <w:rStyle w:val="TextoNormalCaracter"/>
        </w:rPr>
      </w:pPr>
      <w:bookmarkStart w:id="900" w:name="DESCRIPTORALFABETICO153"/>
      <w:r w:rsidRPr="0050129A">
        <w:rPr>
          <w:rStyle w:val="TextoNormalNegritaCaracter"/>
        </w:rPr>
        <w:t>Control de constitucionalidad de las normas jurídicas</w:t>
      </w:r>
      <w:bookmarkEnd w:id="900"/>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Concepto, </w:t>
      </w:r>
      <w:r w:rsidRPr="0050129A">
        <w:rPr>
          <w:rStyle w:val="TextoNormalCaracter"/>
        </w:rPr>
        <w:t xml:space="preserve">Sentencia </w:t>
      </w:r>
      <w:hyperlink w:anchor="SENTENCIA_2008_49" w:history="1">
        <w:r w:rsidRPr="0050129A">
          <w:rPr>
            <w:rStyle w:val="TextoNormalCaracter"/>
          </w:rPr>
          <w:t>49/2008</w:t>
        </w:r>
      </w:hyperlink>
      <w:r w:rsidRPr="0050129A">
        <w:rPr>
          <w:rStyle w:val="TextoNormalCaracter"/>
        </w:rPr>
        <w:t>, f. 3.</w:t>
      </w:r>
    </w:p>
    <w:p w:rsidR="0050129A" w:rsidRPr="0050129A" w:rsidRDefault="0050129A" w:rsidP="0050129A">
      <w:pPr>
        <w:pStyle w:val="TextoNormalSangraFrancesa"/>
        <w:rPr>
          <w:rStyle w:val="TextoNormalCaracter"/>
        </w:rPr>
      </w:pPr>
      <w:bookmarkStart w:id="901" w:name="DESCRIPTORALFABETICO271"/>
      <w:r w:rsidRPr="0050129A">
        <w:rPr>
          <w:rStyle w:val="TextoNormalNegritaCaracter"/>
        </w:rPr>
        <w:t>Control de la actividad administrativa</w:t>
      </w:r>
      <w:bookmarkEnd w:id="901"/>
      <w:r w:rsidRPr="0050129A">
        <w:rPr>
          <w:rStyle w:val="TextoNormalCaracter"/>
        </w:rPr>
        <w:t xml:space="preserve">, Sentencia </w:t>
      </w:r>
      <w:hyperlink w:anchor="SENTENCIA_2008_45" w:history="1">
        <w:r w:rsidRPr="0050129A">
          <w:rPr>
            <w:rStyle w:val="TextoNormalCaracter"/>
          </w:rPr>
          <w:t>45/2008</w:t>
        </w:r>
      </w:hyperlink>
      <w:r w:rsidRPr="0050129A">
        <w:rPr>
          <w:rStyle w:val="TextoNormalCaracter"/>
        </w:rPr>
        <w:t>, f. 3.</w:t>
      </w:r>
    </w:p>
    <w:p w:rsidR="0050129A" w:rsidRPr="0050129A" w:rsidRDefault="0050129A" w:rsidP="0050129A">
      <w:pPr>
        <w:pStyle w:val="TextoNormalSangraFrancesa"/>
        <w:rPr>
          <w:rStyle w:val="TextoNormalCaracter"/>
        </w:rPr>
      </w:pPr>
      <w:bookmarkStart w:id="902" w:name="DESCRIPTORALFABETICO277"/>
      <w:r w:rsidRPr="0050129A">
        <w:rPr>
          <w:rStyle w:val="TextoNormalNegritaCaracter"/>
        </w:rPr>
        <w:lastRenderedPageBreak/>
        <w:t>Control de legalidad</w:t>
      </w:r>
      <w:bookmarkEnd w:id="902"/>
      <w:r w:rsidRPr="0050129A">
        <w:rPr>
          <w:rStyle w:val="TextoNormalCaracter"/>
        </w:rPr>
        <w:t xml:space="preserve">, Sentencias </w:t>
      </w:r>
      <w:hyperlink w:anchor="SENTENCIA_2008_33" w:history="1">
        <w:r w:rsidRPr="0050129A">
          <w:rPr>
            <w:rStyle w:val="TextoNormalCaracter"/>
          </w:rPr>
          <w:t>33/2008</w:t>
        </w:r>
      </w:hyperlink>
      <w:r w:rsidRPr="0050129A">
        <w:rPr>
          <w:rStyle w:val="TextoNormalCaracter"/>
        </w:rPr>
        <w:t xml:space="preserve">, f. 2; </w:t>
      </w:r>
      <w:hyperlink w:anchor="SENTENCIA_2008_45" w:history="1">
        <w:r w:rsidRPr="0050129A">
          <w:rPr>
            <w:rStyle w:val="TextoNormalCaracter"/>
          </w:rPr>
          <w:t>45/2008</w:t>
        </w:r>
      </w:hyperlink>
      <w:r w:rsidRPr="0050129A">
        <w:rPr>
          <w:rStyle w:val="TextoNormalCaracter"/>
        </w:rPr>
        <w:t>, f. 3.</w:t>
      </w:r>
    </w:p>
    <w:p w:rsidR="0050129A" w:rsidRPr="0050129A" w:rsidRDefault="0050129A" w:rsidP="0050129A">
      <w:pPr>
        <w:pStyle w:val="TextoNormalSangraFrancesa"/>
        <w:rPr>
          <w:rStyle w:val="TextoNormalNegritaCaracter"/>
        </w:rPr>
      </w:pPr>
      <w:r w:rsidRPr="0050129A">
        <w:rPr>
          <w:rStyle w:val="TextoNormalCursivaCaracter"/>
        </w:rPr>
        <w:t>Convención de las Naciones Unidas sobre los derechos del niño</w:t>
      </w:r>
      <w:r>
        <w:t xml:space="preserve"> véase </w:t>
      </w:r>
      <w:hyperlink w:anchor="DESCRIPTORALFABETICO370" w:history="1">
        <w:r w:rsidRPr="0050129A">
          <w:rPr>
            <w:rStyle w:val="TextoNormalNegritaCaracter"/>
          </w:rPr>
          <w:t>Tratados internacionales</w:t>
        </w:r>
      </w:hyperlink>
    </w:p>
    <w:p w:rsidR="0050129A" w:rsidRPr="0050129A" w:rsidRDefault="0050129A" w:rsidP="0050129A">
      <w:pPr>
        <w:pStyle w:val="TextoNormalSangraFrancesa"/>
        <w:rPr>
          <w:rStyle w:val="TextoNormalNegritaCaracter"/>
        </w:rPr>
      </w:pPr>
      <w:r w:rsidRPr="0050129A">
        <w:rPr>
          <w:rStyle w:val="TextoNormalCursivaCaracter"/>
        </w:rPr>
        <w:t>Convenio de Viena sobre relaciones diplomáticas</w:t>
      </w:r>
      <w:r>
        <w:t xml:space="preserve"> véase </w:t>
      </w:r>
      <w:hyperlink w:anchor="DESCRIPTORALFABETICO370" w:history="1">
        <w:r w:rsidRPr="0050129A">
          <w:rPr>
            <w:rStyle w:val="TextoNormalNegritaCaracter"/>
          </w:rPr>
          <w:t>Tratados internacionales</w:t>
        </w:r>
      </w:hyperlink>
    </w:p>
    <w:p w:rsidR="0050129A" w:rsidRPr="0050129A" w:rsidRDefault="0050129A" w:rsidP="0050129A">
      <w:pPr>
        <w:pStyle w:val="TextoNormalSangraFrancesa"/>
        <w:rPr>
          <w:rStyle w:val="TextoNormalNegritaCaracter"/>
        </w:rPr>
      </w:pPr>
      <w:r w:rsidRPr="0050129A">
        <w:rPr>
          <w:rStyle w:val="TextoNormalCursivaCaracter"/>
        </w:rPr>
        <w:t>Convenio hispano-alemán sobre seguro de desempleo</w:t>
      </w:r>
      <w:r>
        <w:t xml:space="preserve"> véase </w:t>
      </w:r>
      <w:hyperlink w:anchor="DESCRIPTORALFABETICO370" w:history="1">
        <w:r w:rsidRPr="0050129A">
          <w:rPr>
            <w:rStyle w:val="TextoNormalNegritaCaracter"/>
          </w:rPr>
          <w:t>Tratados internacionales</w:t>
        </w:r>
      </w:hyperlink>
    </w:p>
    <w:p w:rsidR="0050129A" w:rsidRPr="0050129A" w:rsidRDefault="0050129A" w:rsidP="0050129A">
      <w:pPr>
        <w:pStyle w:val="TextoNormalSangraFrancesa"/>
        <w:rPr>
          <w:rStyle w:val="TextoNormalNegritaCaracter"/>
        </w:rPr>
      </w:pPr>
      <w:r w:rsidRPr="0050129A">
        <w:rPr>
          <w:rStyle w:val="TextoNormalCursivaCaracter"/>
        </w:rPr>
        <w:t>Convenio para la protección de las personas con respecto al tratamiento automatizado de datos de carácter personal</w:t>
      </w:r>
      <w:r>
        <w:t xml:space="preserve"> véase </w:t>
      </w:r>
      <w:hyperlink w:anchor="DESCRIPTORALFABETICO370" w:history="1">
        <w:r w:rsidRPr="0050129A">
          <w:rPr>
            <w:rStyle w:val="TextoNormalNegritaCaracter"/>
          </w:rPr>
          <w:t>Tratados internacionales</w:t>
        </w:r>
      </w:hyperlink>
    </w:p>
    <w:p w:rsidR="0050129A" w:rsidRPr="0050129A" w:rsidRDefault="0050129A" w:rsidP="0050129A">
      <w:pPr>
        <w:pStyle w:val="TextoNormalSangraFrancesa"/>
        <w:rPr>
          <w:rStyle w:val="TextoNormalNegritaCaracter"/>
        </w:rPr>
      </w:pPr>
      <w:r w:rsidRPr="0050129A">
        <w:rPr>
          <w:rStyle w:val="TextoNormalCursivaCaracter"/>
        </w:rPr>
        <w:t>Convenios internacionales</w:t>
      </w:r>
      <w:r>
        <w:t xml:space="preserve"> véase </w:t>
      </w:r>
      <w:hyperlink w:anchor="DESCRIPTORALFABETICO370" w:history="1">
        <w:r w:rsidRPr="0050129A">
          <w:rPr>
            <w:rStyle w:val="TextoNormalNegritaCaracter"/>
          </w:rPr>
          <w:t>Tratados internacionales</w:t>
        </w:r>
      </w:hyperlink>
    </w:p>
    <w:p w:rsidR="0050129A" w:rsidRPr="0050129A" w:rsidRDefault="0050129A" w:rsidP="0050129A">
      <w:pPr>
        <w:pStyle w:val="TextoNormalSangraFrancesa"/>
        <w:rPr>
          <w:rStyle w:val="TextoNormalCaracter"/>
        </w:rPr>
      </w:pPr>
      <w:bookmarkStart w:id="903" w:name="DESCRIPTORALFABETICO469"/>
      <w:r w:rsidRPr="0050129A">
        <w:rPr>
          <w:rStyle w:val="TextoNormalNegritaCaracter"/>
        </w:rPr>
        <w:t>Cosa juzgada</w:t>
      </w:r>
      <w:bookmarkEnd w:id="903"/>
      <w:r w:rsidRPr="0050129A">
        <w:rPr>
          <w:rStyle w:val="TextoNormalCaracter"/>
        </w:rPr>
        <w:t xml:space="preserve">, Sentencia </w:t>
      </w:r>
      <w:hyperlink w:anchor="SENTENCIA_2008_17" w:history="1">
        <w:r w:rsidRPr="0050129A">
          <w:rPr>
            <w:rStyle w:val="TextoNormalCaracter"/>
          </w:rPr>
          <w:t>17/2008</w:t>
        </w:r>
      </w:hyperlink>
      <w:r w:rsidRPr="0050129A">
        <w:rPr>
          <w:rStyle w:val="TextoNormalCaracter"/>
        </w:rPr>
        <w:t>, f. 5.</w:t>
      </w:r>
    </w:p>
    <w:p w:rsidR="0050129A" w:rsidRPr="0050129A" w:rsidRDefault="0050129A" w:rsidP="0050129A">
      <w:pPr>
        <w:pStyle w:val="TextoNormalSangraFrancesa"/>
        <w:rPr>
          <w:rStyle w:val="TextoNormalCaracter"/>
        </w:rPr>
      </w:pPr>
      <w:bookmarkStart w:id="904" w:name="DESCRIPTORALFABETICO470"/>
      <w:r w:rsidRPr="0050129A">
        <w:rPr>
          <w:rStyle w:val="TextoNormalNegritaCaracter"/>
        </w:rPr>
        <w:t>Cosa juzgada material</w:t>
      </w:r>
      <w:bookmarkEnd w:id="904"/>
      <w:r w:rsidRPr="0050129A">
        <w:rPr>
          <w:rStyle w:val="TextoNormalCaracter"/>
        </w:rPr>
        <w:t xml:space="preserve">, Auto </w:t>
      </w:r>
      <w:hyperlink w:anchor="AUTO_2008_27" w:history="1">
        <w:r w:rsidRPr="0050129A">
          <w:rPr>
            <w:rStyle w:val="TextoNormalCaracter"/>
          </w:rPr>
          <w:t>27/2008</w:t>
        </w:r>
      </w:hyperlink>
      <w:r w:rsidRPr="0050129A">
        <w:rPr>
          <w:rStyle w:val="TextoNormalCaracter"/>
        </w:rPr>
        <w:t>.</w:t>
      </w:r>
    </w:p>
    <w:p w:rsidR="0050129A" w:rsidRPr="0050129A" w:rsidRDefault="0050129A" w:rsidP="0050129A">
      <w:pPr>
        <w:pStyle w:val="TextoNormalSangraFrancesa"/>
        <w:rPr>
          <w:rStyle w:val="TextoNormalCaracter"/>
        </w:rPr>
      </w:pPr>
      <w:bookmarkStart w:id="905" w:name="DESCRIPTORALFABETICO473"/>
      <w:r w:rsidRPr="0050129A">
        <w:rPr>
          <w:rStyle w:val="TextoNormalNegritaCaracter"/>
        </w:rPr>
        <w:t>Costas procesales</w:t>
      </w:r>
      <w:bookmarkEnd w:id="905"/>
      <w:r w:rsidRPr="0050129A">
        <w:rPr>
          <w:rStyle w:val="TextoNormalCaracter"/>
        </w:rPr>
        <w:t xml:space="preserve">, Autos </w:t>
      </w:r>
      <w:hyperlink w:anchor="AUTO_2008_37" w:history="1">
        <w:r w:rsidRPr="0050129A">
          <w:rPr>
            <w:rStyle w:val="TextoNormalCaracter"/>
          </w:rPr>
          <w:t>37/2008</w:t>
        </w:r>
      </w:hyperlink>
      <w:r w:rsidRPr="0050129A">
        <w:rPr>
          <w:rStyle w:val="TextoNormalCaracter"/>
        </w:rPr>
        <w:t xml:space="preserve">; </w:t>
      </w:r>
      <w:hyperlink w:anchor="AUTO_2008_45" w:history="1">
        <w:r w:rsidRPr="0050129A">
          <w:rPr>
            <w:rStyle w:val="TextoNormalCaracter"/>
          </w:rPr>
          <w:t>45/2008</w:t>
        </w:r>
      </w:hyperlink>
      <w:r w:rsidRPr="0050129A">
        <w:rPr>
          <w:rStyle w:val="TextoNormalCaracter"/>
        </w:rPr>
        <w:t xml:space="preserve">; </w:t>
      </w:r>
      <w:hyperlink w:anchor="AUTO_2008_109" w:history="1">
        <w:r w:rsidRPr="0050129A">
          <w:rPr>
            <w:rStyle w:val="TextoNormalCaracter"/>
          </w:rPr>
          <w:t>109/2008</w:t>
        </w:r>
      </w:hyperlink>
      <w:r w:rsidRPr="0050129A">
        <w:rPr>
          <w:rStyle w:val="TextoNormalCaracter"/>
        </w:rPr>
        <w:t>.</w:t>
      </w:r>
    </w:p>
    <w:p w:rsidR="0050129A" w:rsidRPr="0050129A" w:rsidRDefault="0050129A" w:rsidP="0050129A">
      <w:pPr>
        <w:pStyle w:val="TextoNormalSangraFrancesa"/>
        <w:rPr>
          <w:rStyle w:val="TextoNormalCaracter"/>
        </w:rPr>
      </w:pPr>
      <w:bookmarkStart w:id="906" w:name="DESCRIPTORALFABETICO2"/>
      <w:r w:rsidRPr="0050129A">
        <w:rPr>
          <w:rStyle w:val="TextoNormalNegritaCaracter"/>
        </w:rPr>
        <w:t>Criterios de distribución de competencias</w:t>
      </w:r>
      <w:bookmarkEnd w:id="906"/>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17, VP II, VP III.</w:t>
      </w:r>
    </w:p>
    <w:p w:rsidR="0050129A" w:rsidRPr="0050129A" w:rsidRDefault="0050129A" w:rsidP="0050129A">
      <w:pPr>
        <w:pStyle w:val="TextoNormalSangraFrancesa"/>
        <w:rPr>
          <w:rStyle w:val="TextoNormalCaracter"/>
        </w:rPr>
      </w:pPr>
      <w:bookmarkStart w:id="907" w:name="DESCRIPTORALFABETICO195"/>
      <w:r w:rsidRPr="0050129A">
        <w:rPr>
          <w:rStyle w:val="TextoNormalNegritaCaracter"/>
        </w:rPr>
        <w:t>Cuestión de inconstitucionalidad</w:t>
      </w:r>
      <w:bookmarkEnd w:id="907"/>
      <w:r w:rsidRPr="0050129A">
        <w:rPr>
          <w:rStyle w:val="TextoNormalCaracter"/>
        </w:rPr>
        <w:t xml:space="preserve">, Autos </w:t>
      </w:r>
      <w:hyperlink w:anchor="AUTO_2008_12" w:history="1">
        <w:r w:rsidRPr="0050129A">
          <w:rPr>
            <w:rStyle w:val="TextoNormalCaracter"/>
          </w:rPr>
          <w:t>12/2008</w:t>
        </w:r>
      </w:hyperlink>
      <w:r w:rsidRPr="0050129A">
        <w:rPr>
          <w:rStyle w:val="TextoNormalCaracter"/>
        </w:rPr>
        <w:t xml:space="preserve">; </w:t>
      </w:r>
      <w:hyperlink w:anchor="AUTO_2008_54" w:history="1">
        <w:r w:rsidRPr="0050129A">
          <w:rPr>
            <w:rStyle w:val="TextoNormalCaracter"/>
          </w:rPr>
          <w:t>54/2008</w:t>
        </w:r>
      </w:hyperlink>
      <w:r w:rsidRPr="0050129A">
        <w:rPr>
          <w:rStyle w:val="TextoNormalCaracter"/>
        </w:rPr>
        <w:t xml:space="preserve">; </w:t>
      </w:r>
      <w:hyperlink w:anchor="AUTO_2008_57" w:history="1">
        <w:r w:rsidRPr="0050129A">
          <w:rPr>
            <w:rStyle w:val="TextoNormalCaracter"/>
          </w:rPr>
          <w:t>57/2008</w:t>
        </w:r>
      </w:hyperlink>
      <w:r w:rsidRPr="0050129A">
        <w:rPr>
          <w:rStyle w:val="TextoNormalCaracter"/>
        </w:rPr>
        <w:t>.</w:t>
      </w:r>
    </w:p>
    <w:p w:rsidR="0050129A" w:rsidRPr="0050129A" w:rsidRDefault="0050129A" w:rsidP="0050129A">
      <w:pPr>
        <w:pStyle w:val="TextoNormalSangraFrancesa"/>
        <w:rPr>
          <w:rStyle w:val="TextoNormalCaracter"/>
        </w:rPr>
      </w:pPr>
      <w:bookmarkStart w:id="908" w:name="DESCRIPTORALFABETICO200"/>
      <w:r w:rsidRPr="0050129A">
        <w:rPr>
          <w:rStyle w:val="TextoNormalNegritaCaracter"/>
        </w:rPr>
        <w:t>Cuestión de inconstitucionalidad notoriamente infundada</w:t>
      </w:r>
      <w:bookmarkEnd w:id="908"/>
      <w:r w:rsidRPr="0050129A">
        <w:rPr>
          <w:rStyle w:val="TextoNormalCaracter"/>
        </w:rPr>
        <w:t xml:space="preserve">, Autos </w:t>
      </w:r>
      <w:hyperlink w:anchor="AUTO_2008_11" w:history="1">
        <w:r w:rsidRPr="0050129A">
          <w:rPr>
            <w:rStyle w:val="TextoNormalCaracter"/>
          </w:rPr>
          <w:t>11/2008</w:t>
        </w:r>
      </w:hyperlink>
      <w:r w:rsidRPr="0050129A">
        <w:rPr>
          <w:rStyle w:val="TextoNormalCaracter"/>
        </w:rPr>
        <w:t xml:space="preserve">; </w:t>
      </w:r>
      <w:hyperlink w:anchor="AUTO_2008_51" w:history="1">
        <w:r w:rsidRPr="0050129A">
          <w:rPr>
            <w:rStyle w:val="TextoNormalCaracter"/>
          </w:rPr>
          <w:t>51/2008</w:t>
        </w:r>
      </w:hyperlink>
      <w:r w:rsidRPr="0050129A">
        <w:rPr>
          <w:rStyle w:val="TextoNormalCaracter"/>
        </w:rPr>
        <w:t xml:space="preserve">; </w:t>
      </w:r>
      <w:hyperlink w:anchor="AUTO_2008_72" w:history="1">
        <w:r w:rsidRPr="0050129A">
          <w:rPr>
            <w:rStyle w:val="TextoNormalCaracter"/>
          </w:rPr>
          <w:t>72/2008</w:t>
        </w:r>
      </w:hyperlink>
      <w:r w:rsidRPr="0050129A">
        <w:rPr>
          <w:rStyle w:val="TextoNormalCaracter"/>
        </w:rPr>
        <w:t>.</w:t>
      </w:r>
    </w:p>
    <w:p w:rsidR="0050129A" w:rsidRPr="0050129A" w:rsidRDefault="0050129A" w:rsidP="0050129A">
      <w:pPr>
        <w:pStyle w:val="TextoNormalSangraFrancesa"/>
        <w:rPr>
          <w:rStyle w:val="TextoNormalCaracter"/>
        </w:rPr>
      </w:pPr>
      <w:bookmarkStart w:id="909" w:name="DESCRIPTORALFABETICO201"/>
      <w:r w:rsidRPr="0050129A">
        <w:rPr>
          <w:rStyle w:val="TextoNormalNegritaCaracter"/>
        </w:rPr>
        <w:t>Cuestión de inconstitucionalidad resuelta previamente</w:t>
      </w:r>
      <w:bookmarkEnd w:id="909"/>
      <w:r w:rsidRPr="0050129A">
        <w:rPr>
          <w:rStyle w:val="TextoNormalCaracter"/>
        </w:rPr>
        <w:t xml:space="preserve">, Auto </w:t>
      </w:r>
      <w:hyperlink w:anchor="AUTO_2008_51" w:history="1">
        <w:r w:rsidRPr="0050129A">
          <w:rPr>
            <w:rStyle w:val="TextoNormalCaracter"/>
          </w:rPr>
          <w:t>51/2008</w:t>
        </w:r>
      </w:hyperlink>
      <w:r w:rsidRPr="0050129A">
        <w:rPr>
          <w:rStyle w:val="TextoNormalCaracter"/>
        </w:rPr>
        <w:t>.</w:t>
      </w:r>
    </w:p>
    <w:p w:rsidR="0050129A" w:rsidRPr="0050129A" w:rsidRDefault="0050129A" w:rsidP="0050129A">
      <w:pPr>
        <w:pStyle w:val="TextoNormalSangraFrancesa"/>
        <w:rPr>
          <w:rStyle w:val="TextoNormalCaracter"/>
        </w:rPr>
      </w:pPr>
      <w:bookmarkStart w:id="910" w:name="DESCRIPTORALFABETICO444"/>
      <w:r w:rsidRPr="0050129A">
        <w:rPr>
          <w:rStyle w:val="TextoNormalNegritaCaracter"/>
        </w:rPr>
        <w:t>Cuestión prejudicial civil</w:t>
      </w:r>
      <w:bookmarkEnd w:id="910"/>
      <w:r w:rsidRPr="0050129A">
        <w:rPr>
          <w:rStyle w:val="TextoNormalCaracter"/>
        </w:rPr>
        <w:t xml:space="preserve">, Sentencia </w:t>
      </w:r>
      <w:hyperlink w:anchor="SENTENCIA_2008_29" w:history="1">
        <w:r w:rsidRPr="0050129A">
          <w:rPr>
            <w:rStyle w:val="TextoNormalCaracter"/>
          </w:rPr>
          <w:t>29/2008</w:t>
        </w:r>
      </w:hyperlink>
      <w:r w:rsidRPr="0050129A">
        <w:rPr>
          <w:rStyle w:val="TextoNormalCaracter"/>
        </w:rPr>
        <w:t>, f. 2.</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D</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NegritaCaracter"/>
        </w:rPr>
      </w:pPr>
      <w:r w:rsidRPr="0050129A">
        <w:rPr>
          <w:rStyle w:val="TextoNormalCursivaCaracter"/>
        </w:rPr>
        <w:t>Daños no acreditados</w:t>
      </w:r>
      <w:r>
        <w:t xml:space="preserve"> véase </w:t>
      </w:r>
      <w:hyperlink w:anchor="DESCRIPTORALFABETICO160" w:history="1">
        <w:r w:rsidRPr="0050129A">
          <w:rPr>
            <w:rStyle w:val="TextoNormalNegritaCaracter"/>
          </w:rPr>
          <w:t>Prueba del perjuicio</w:t>
        </w:r>
      </w:hyperlink>
    </w:p>
    <w:p w:rsidR="0050129A" w:rsidRPr="0050129A" w:rsidRDefault="0050129A" w:rsidP="0050129A">
      <w:pPr>
        <w:pStyle w:val="TextoNormalSangraFrancesa"/>
        <w:rPr>
          <w:rStyle w:val="TextoNormalNegritaCaracter"/>
        </w:rPr>
      </w:pPr>
      <w:r w:rsidRPr="0050129A">
        <w:rPr>
          <w:rStyle w:val="TextoNormalCursivaCaracter"/>
        </w:rPr>
        <w:t>Declaración de desamparo del menor</w:t>
      </w:r>
      <w:r>
        <w:t xml:space="preserve"> véase </w:t>
      </w:r>
      <w:hyperlink w:anchor="DESCRIPTORALFABETICO404" w:history="1">
        <w:r w:rsidRPr="0050129A">
          <w:rPr>
            <w:rStyle w:val="TextoNormalNegritaCaracter"/>
          </w:rPr>
          <w:t>Declaración judicial de situación de desamparo</w:t>
        </w:r>
      </w:hyperlink>
    </w:p>
    <w:p w:rsidR="0050129A" w:rsidRPr="0050129A" w:rsidRDefault="0050129A" w:rsidP="0050129A">
      <w:pPr>
        <w:pStyle w:val="TextoNormalSangraFrancesa"/>
        <w:rPr>
          <w:rStyle w:val="TextoNormalCaracter"/>
        </w:rPr>
      </w:pPr>
      <w:bookmarkStart w:id="911" w:name="DESCRIPTORALFABETICO442"/>
      <w:r w:rsidRPr="0050129A">
        <w:rPr>
          <w:rStyle w:val="TextoNormalNegritaCaracter"/>
        </w:rPr>
        <w:t>Declaración de incompetencia de jurisdicción</w:t>
      </w:r>
      <w:bookmarkEnd w:id="911"/>
      <w:r w:rsidRPr="0050129A">
        <w:rPr>
          <w:rStyle w:val="TextoNormalCaracter"/>
        </w:rPr>
        <w:t xml:space="preserve">, Sentencia </w:t>
      </w:r>
      <w:hyperlink w:anchor="SENTENCIA_2008_26" w:history="1">
        <w:r w:rsidRPr="0050129A">
          <w:rPr>
            <w:rStyle w:val="TextoNormalCaracter"/>
          </w:rPr>
          <w:t>26/2008</w:t>
        </w:r>
      </w:hyperlink>
      <w:r w:rsidRPr="0050129A">
        <w:rPr>
          <w:rStyle w:val="TextoNormalCaracter"/>
        </w:rPr>
        <w:t>, f. 9.</w:t>
      </w:r>
    </w:p>
    <w:p w:rsidR="0050129A" w:rsidRPr="0050129A" w:rsidRDefault="0050129A" w:rsidP="0050129A">
      <w:pPr>
        <w:pStyle w:val="TextoNormalSangraFrancesa"/>
        <w:rPr>
          <w:rStyle w:val="TextoNormalNegritaCaracter"/>
        </w:rPr>
      </w:pPr>
      <w:r w:rsidRPr="0050129A">
        <w:rPr>
          <w:rStyle w:val="TextoNormalCursivaCaracter"/>
        </w:rPr>
        <w:t>Declaración de incompetencia por el Juez</w:t>
      </w:r>
      <w:r>
        <w:t xml:space="preserve"> véase </w:t>
      </w:r>
      <w:hyperlink w:anchor="DESCRIPTORALFABETICO442" w:history="1">
        <w:r w:rsidRPr="0050129A">
          <w:rPr>
            <w:rStyle w:val="TextoNormalNegritaCaracter"/>
          </w:rPr>
          <w:t>Declaración de incompetencia de jurisdicción</w:t>
        </w:r>
      </w:hyperlink>
    </w:p>
    <w:p w:rsidR="0050129A" w:rsidRPr="0050129A" w:rsidRDefault="0050129A" w:rsidP="0050129A">
      <w:pPr>
        <w:pStyle w:val="TextoNormalSangraFrancesa"/>
        <w:rPr>
          <w:rStyle w:val="TextoNormalCaracter"/>
        </w:rPr>
      </w:pPr>
      <w:bookmarkStart w:id="912" w:name="DESCRIPTORALFABETICO404"/>
      <w:r w:rsidRPr="0050129A">
        <w:rPr>
          <w:rStyle w:val="TextoNormalNegritaCaracter"/>
        </w:rPr>
        <w:t>Declaración judicial de situación de desamparo</w:t>
      </w:r>
      <w:bookmarkEnd w:id="912"/>
      <w:r w:rsidRPr="0050129A">
        <w:rPr>
          <w:rStyle w:val="TextoNormalCaracter"/>
        </w:rPr>
        <w:t xml:space="preserve">, Sentencia </w:t>
      </w:r>
      <w:hyperlink w:anchor="SENTENCIA_2008_11" w:history="1">
        <w:r w:rsidRPr="0050129A">
          <w:rPr>
            <w:rStyle w:val="TextoNormalCaracter"/>
          </w:rPr>
          <w:t>11/2008</w:t>
        </w:r>
      </w:hyperlink>
      <w:r w:rsidRPr="0050129A">
        <w:rPr>
          <w:rStyle w:val="TextoNormalCaracter"/>
        </w:rPr>
        <w:t>, ff. 1, 5 a 9.</w:t>
      </w:r>
    </w:p>
    <w:p w:rsidR="0050129A" w:rsidRPr="0050129A" w:rsidRDefault="0050129A" w:rsidP="0050129A">
      <w:pPr>
        <w:pStyle w:val="TextoNormalSangraFrancesa"/>
        <w:rPr>
          <w:rStyle w:val="TextoNormalCaracter"/>
        </w:rPr>
      </w:pPr>
      <w:bookmarkStart w:id="913" w:name="DESCRIPTORALFABETICO474"/>
      <w:r w:rsidRPr="0050129A">
        <w:rPr>
          <w:rStyle w:val="TextoNormalNegritaCaracter"/>
        </w:rPr>
        <w:t>Defectos subsanables</w:t>
      </w:r>
      <w:bookmarkEnd w:id="913"/>
      <w:r w:rsidRPr="0050129A">
        <w:rPr>
          <w:rStyle w:val="TextoNormalCaracter"/>
        </w:rPr>
        <w:t xml:space="preserve">, Sentencia </w:t>
      </w:r>
      <w:hyperlink w:anchor="SENTENCIA_2008_55" w:history="1">
        <w:r w:rsidRPr="0050129A">
          <w:rPr>
            <w:rStyle w:val="TextoNormalCaracter"/>
          </w:rPr>
          <w:t>55/2008</w:t>
        </w:r>
      </w:hyperlink>
      <w:r w:rsidRPr="0050129A">
        <w:rPr>
          <w:rStyle w:val="TextoNormalCaracter"/>
        </w:rPr>
        <w:t>, f. 5.</w:t>
      </w:r>
    </w:p>
    <w:p w:rsidR="0050129A" w:rsidRPr="0050129A" w:rsidRDefault="0050129A" w:rsidP="0050129A">
      <w:pPr>
        <w:pStyle w:val="TextoNormalSangraFrancesa"/>
        <w:rPr>
          <w:rStyle w:val="TextoNormalCaracter"/>
        </w:rPr>
      </w:pPr>
      <w:bookmarkStart w:id="914" w:name="DESCRIPTORALFABETICO208"/>
      <w:r w:rsidRPr="0050129A">
        <w:rPr>
          <w:rStyle w:val="TextoNormalNegritaCaracter"/>
        </w:rPr>
        <w:t>Delimitación del objeto del recurso de inconstitucionalidad</w:t>
      </w:r>
      <w:bookmarkEnd w:id="914"/>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1.</w:t>
      </w:r>
    </w:p>
    <w:p w:rsidR="0050129A" w:rsidRPr="0050129A" w:rsidRDefault="0050129A" w:rsidP="0050129A">
      <w:pPr>
        <w:pStyle w:val="TextoNormalSangraFrancesa"/>
        <w:rPr>
          <w:rStyle w:val="TextoNormalCaracter"/>
        </w:rPr>
      </w:pPr>
      <w:bookmarkStart w:id="915" w:name="DESCRIPTORALFABETICO356"/>
      <w:r w:rsidRPr="0050129A">
        <w:rPr>
          <w:rStyle w:val="TextoNormalNegritaCaracter"/>
        </w:rPr>
        <w:t>Delitos contra la propiedad industrial</w:t>
      </w:r>
      <w:bookmarkEnd w:id="915"/>
      <w:r w:rsidRPr="0050129A">
        <w:rPr>
          <w:rStyle w:val="TextoNormalCaracter"/>
        </w:rPr>
        <w:t xml:space="preserve">, Sentencia </w:t>
      </w:r>
      <w:hyperlink w:anchor="SENTENCIA_2008_48" w:history="1">
        <w:r w:rsidRPr="0050129A">
          <w:rPr>
            <w:rStyle w:val="TextoNormalCaracter"/>
          </w:rPr>
          <w:t>48/2008</w:t>
        </w:r>
      </w:hyperlink>
      <w:r w:rsidRPr="0050129A">
        <w:rPr>
          <w:rStyle w:val="TextoNormalCaracter"/>
        </w:rPr>
        <w:t>, f. 1.</w:t>
      </w:r>
    </w:p>
    <w:p w:rsidR="0050129A" w:rsidRPr="0050129A" w:rsidRDefault="0050129A" w:rsidP="0050129A">
      <w:pPr>
        <w:pStyle w:val="TextoNormalSangraFrancesa"/>
        <w:rPr>
          <w:rStyle w:val="TextoNormalCaracter"/>
        </w:rPr>
      </w:pPr>
      <w:bookmarkStart w:id="916" w:name="DESCRIPTORALFABETICO211"/>
      <w:r w:rsidRPr="0050129A">
        <w:rPr>
          <w:rStyle w:val="TextoNormalNegritaCaracter"/>
        </w:rPr>
        <w:t>Demanda de amparo</w:t>
      </w:r>
      <w:bookmarkEnd w:id="916"/>
      <w:r w:rsidRPr="0050129A">
        <w:rPr>
          <w:rStyle w:val="TextoNormalCaracter"/>
        </w:rPr>
        <w:t xml:space="preserve">, Auto </w:t>
      </w:r>
      <w:hyperlink w:anchor="AUTO_2008_28" w:history="1">
        <w:r w:rsidRPr="0050129A">
          <w:rPr>
            <w:rStyle w:val="TextoNormalCaracter"/>
          </w:rPr>
          <w:t>28/2008</w:t>
        </w:r>
      </w:hyperlink>
      <w:r w:rsidRPr="0050129A">
        <w:rPr>
          <w:rStyle w:val="TextoNormalCaracter"/>
        </w:rPr>
        <w:t>.</w:t>
      </w:r>
    </w:p>
    <w:p w:rsidR="0050129A" w:rsidRPr="0050129A" w:rsidRDefault="0050129A" w:rsidP="0050129A">
      <w:pPr>
        <w:pStyle w:val="TextoNormalSangraFrancesa"/>
        <w:rPr>
          <w:rStyle w:val="TextoNormalCaracter"/>
        </w:rPr>
      </w:pPr>
      <w:bookmarkStart w:id="917" w:name="DESCRIPTORALFABETICO560"/>
      <w:r w:rsidRPr="0050129A">
        <w:rPr>
          <w:rStyle w:val="TextoNormalNegritaCaracter"/>
        </w:rPr>
        <w:t>Demanda laboral</w:t>
      </w:r>
      <w:bookmarkEnd w:id="917"/>
      <w:r w:rsidRPr="0050129A">
        <w:rPr>
          <w:rStyle w:val="TextoNormalCaracter"/>
        </w:rPr>
        <w:t xml:space="preserve">, Auto </w:t>
      </w:r>
      <w:hyperlink w:anchor="AUTO_2008_77" w:history="1">
        <w:r w:rsidRPr="0050129A">
          <w:rPr>
            <w:rStyle w:val="TextoNormalCaracter"/>
          </w:rPr>
          <w:t>77/2008</w:t>
        </w:r>
      </w:hyperlink>
      <w:r w:rsidRPr="0050129A">
        <w:rPr>
          <w:rStyle w:val="TextoNormalCaracter"/>
        </w:rPr>
        <w:t>.</w:t>
      </w:r>
    </w:p>
    <w:p w:rsidR="0050129A" w:rsidRPr="0050129A" w:rsidRDefault="0050129A" w:rsidP="0050129A">
      <w:pPr>
        <w:pStyle w:val="TextoNormalSangraFrancesa"/>
        <w:rPr>
          <w:rStyle w:val="TextoNormalCaracter"/>
        </w:rPr>
      </w:pPr>
      <w:bookmarkStart w:id="918" w:name="DESCRIPTORALFABETICO326"/>
      <w:r w:rsidRPr="0050129A">
        <w:rPr>
          <w:rStyle w:val="TextoNormalNegritaCaracter"/>
        </w:rPr>
        <w:t>Democracia paritaria</w:t>
      </w:r>
      <w:bookmarkEnd w:id="918"/>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6.</w:t>
      </w:r>
    </w:p>
    <w:p w:rsidR="0050129A" w:rsidRPr="0050129A" w:rsidRDefault="0050129A" w:rsidP="0050129A">
      <w:pPr>
        <w:pStyle w:val="TextoNormalSangraFrancesa"/>
        <w:rPr>
          <w:rStyle w:val="TextoNormalCaracter"/>
        </w:rPr>
      </w:pPr>
      <w:bookmarkStart w:id="919" w:name="DESCRIPTORALFABETICO327"/>
      <w:r w:rsidRPr="0050129A">
        <w:rPr>
          <w:rStyle w:val="TextoNormalNegritaCaracter"/>
        </w:rPr>
        <w:t>Democracia representativa</w:t>
      </w:r>
      <w:bookmarkEnd w:id="919"/>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9, VP.</w:t>
      </w:r>
    </w:p>
    <w:p w:rsidR="0050129A" w:rsidRPr="0050129A" w:rsidRDefault="0050129A" w:rsidP="0050129A">
      <w:pPr>
        <w:pStyle w:val="TextoNormalSangraFrancesa"/>
        <w:rPr>
          <w:rStyle w:val="TextoNormalNegritaCaracter"/>
        </w:rPr>
      </w:pPr>
      <w:r w:rsidRPr="0050129A">
        <w:rPr>
          <w:rStyle w:val="TextoNormalCursivaCaracter"/>
        </w:rPr>
        <w:t>Demora procesal</w:t>
      </w:r>
      <w:r>
        <w:t xml:space="preserve"> véase </w:t>
      </w:r>
      <w:hyperlink w:anchor="DESCRIPTORALFABETICO476" w:history="1">
        <w:r w:rsidRPr="0050129A">
          <w:rPr>
            <w:rStyle w:val="TextoNormalNegritaCaracter"/>
          </w:rPr>
          <w:t>Dilaciones indebidas en el procedimiento</w:t>
        </w:r>
      </w:hyperlink>
    </w:p>
    <w:p w:rsidR="0050129A" w:rsidRPr="0050129A" w:rsidRDefault="0050129A" w:rsidP="0050129A">
      <w:pPr>
        <w:pStyle w:val="TextoNormalSangraFrancesa"/>
        <w:rPr>
          <w:rStyle w:val="TextoNormalCaracter"/>
        </w:rPr>
      </w:pPr>
      <w:bookmarkStart w:id="920" w:name="DESCRIPTORALFABETICO507"/>
      <w:r w:rsidRPr="0050129A">
        <w:rPr>
          <w:rStyle w:val="TextoNormalNegritaCaracter"/>
        </w:rPr>
        <w:t>Denegación de abogado de oficio</w:t>
      </w:r>
      <w:bookmarkEnd w:id="920"/>
      <w:r w:rsidRPr="0050129A">
        <w:rPr>
          <w:rStyle w:val="TextoNormalCaracter"/>
        </w:rPr>
        <w:t xml:space="preserve">, Sentencia </w:t>
      </w:r>
      <w:hyperlink w:anchor="SENTENCIA_2008_42" w:history="1">
        <w:r w:rsidRPr="0050129A">
          <w:rPr>
            <w:rStyle w:val="TextoNormalCaracter"/>
          </w:rPr>
          <w:t>42/2008</w:t>
        </w:r>
      </w:hyperlink>
      <w:r w:rsidRPr="0050129A">
        <w:rPr>
          <w:rStyle w:val="TextoNormalCaracter"/>
        </w:rPr>
        <w:t>, ff. 3 a 6.</w:t>
      </w:r>
    </w:p>
    <w:p w:rsidR="0050129A" w:rsidRPr="0050129A" w:rsidRDefault="0050129A" w:rsidP="0050129A">
      <w:pPr>
        <w:pStyle w:val="TextoNormalSangraFrancesa"/>
        <w:rPr>
          <w:rStyle w:val="TextoNormalNegritaCaracter"/>
        </w:rPr>
      </w:pPr>
      <w:r w:rsidRPr="0050129A">
        <w:rPr>
          <w:rStyle w:val="TextoNormalCursivaCaracter"/>
        </w:rPr>
        <w:t>Denegación de asistencia jurídica gratuita</w:t>
      </w:r>
      <w:r>
        <w:t xml:space="preserve"> véase </w:t>
      </w:r>
      <w:hyperlink w:anchor="DESCRIPTORALFABETICO508" w:history="1">
        <w:r w:rsidRPr="0050129A">
          <w:rPr>
            <w:rStyle w:val="TextoNormalNegritaCaracter"/>
          </w:rPr>
          <w:t>Denegación de justicia gratuita</w:t>
        </w:r>
      </w:hyperlink>
    </w:p>
    <w:p w:rsidR="0050129A" w:rsidRPr="0050129A" w:rsidRDefault="0050129A" w:rsidP="0050129A">
      <w:pPr>
        <w:pStyle w:val="TextoNormalSangraFrancesa"/>
        <w:rPr>
          <w:rStyle w:val="TextoNormalCaracter"/>
        </w:rPr>
      </w:pPr>
      <w:bookmarkStart w:id="921" w:name="DESCRIPTORALFABETICO508"/>
      <w:r w:rsidRPr="0050129A">
        <w:rPr>
          <w:rStyle w:val="TextoNormalNegritaCaracter"/>
        </w:rPr>
        <w:t>Denegación de justicia gratuita</w:t>
      </w:r>
      <w:bookmarkEnd w:id="921"/>
      <w:r w:rsidRPr="0050129A">
        <w:rPr>
          <w:rStyle w:val="TextoNormalCaracter"/>
        </w:rPr>
        <w:t xml:space="preserve">, Sentencias </w:t>
      </w:r>
      <w:hyperlink w:anchor="SENTENCIA_2008_7" w:history="1">
        <w:r w:rsidRPr="0050129A">
          <w:rPr>
            <w:rStyle w:val="TextoNormalCaracter"/>
          </w:rPr>
          <w:t>7/2008</w:t>
        </w:r>
      </w:hyperlink>
      <w:r w:rsidRPr="0050129A">
        <w:rPr>
          <w:rStyle w:val="TextoNormalCaracter"/>
        </w:rPr>
        <w:t xml:space="preserve">, f. 2; </w:t>
      </w:r>
      <w:hyperlink w:anchor="SENTENCIA_2008_9" w:history="1">
        <w:r w:rsidRPr="0050129A">
          <w:rPr>
            <w:rStyle w:val="TextoNormalCaracter"/>
          </w:rPr>
          <w:t>9/2008</w:t>
        </w:r>
      </w:hyperlink>
      <w:r w:rsidRPr="0050129A">
        <w:rPr>
          <w:rStyle w:val="TextoNormalCaracter"/>
        </w:rPr>
        <w:t xml:space="preserve">, ff. 2, 4; </w:t>
      </w:r>
      <w:hyperlink w:anchor="SENTENCIA_2008_10" w:history="1">
        <w:r w:rsidRPr="0050129A">
          <w:rPr>
            <w:rStyle w:val="TextoNormalCaracter"/>
          </w:rPr>
          <w:t>10/2008</w:t>
        </w:r>
      </w:hyperlink>
      <w:r w:rsidRPr="0050129A">
        <w:rPr>
          <w:rStyle w:val="TextoNormalCaracter"/>
        </w:rPr>
        <w:t>, ff. 2, 3.</w:t>
      </w:r>
    </w:p>
    <w:p w:rsidR="0050129A" w:rsidRPr="0050129A" w:rsidRDefault="0050129A" w:rsidP="0050129A">
      <w:pPr>
        <w:pStyle w:val="TextoNormalSangraFrancesa"/>
        <w:rPr>
          <w:rStyle w:val="TextoNormalCaracter"/>
        </w:rPr>
      </w:pPr>
      <w:bookmarkStart w:id="922" w:name="DESCRIPTORALFABETICO165"/>
      <w:r w:rsidRPr="0050129A">
        <w:rPr>
          <w:rStyle w:val="TextoNormalNegritaCaracter"/>
        </w:rPr>
        <w:t>Denegación de la suspensión del acto administrativo</w:t>
      </w:r>
      <w:bookmarkEnd w:id="922"/>
      <w:r w:rsidRPr="0050129A">
        <w:rPr>
          <w:rStyle w:val="TextoNormalCaracter"/>
        </w:rPr>
        <w:t xml:space="preserve">, Auto </w:t>
      </w:r>
      <w:hyperlink w:anchor="AUTO_2008_75" w:history="1">
        <w:r w:rsidRPr="0050129A">
          <w:rPr>
            <w:rStyle w:val="TextoNormalCaracter"/>
          </w:rPr>
          <w:t>75/2008</w:t>
        </w:r>
      </w:hyperlink>
      <w:r w:rsidRPr="0050129A">
        <w:rPr>
          <w:rStyle w:val="TextoNormalCaracter"/>
        </w:rPr>
        <w:t>.</w:t>
      </w:r>
    </w:p>
    <w:p w:rsidR="0050129A" w:rsidRPr="0050129A" w:rsidRDefault="0050129A" w:rsidP="0050129A">
      <w:pPr>
        <w:pStyle w:val="TextoNormalSangraFrancesa"/>
        <w:rPr>
          <w:rStyle w:val="TextoNormalCaracter"/>
        </w:rPr>
      </w:pPr>
      <w:bookmarkStart w:id="923" w:name="DESCRIPTORALFABETICO55"/>
      <w:r w:rsidRPr="0050129A">
        <w:rPr>
          <w:rStyle w:val="TextoNormalNegritaCaracter"/>
        </w:rPr>
        <w:t>Denegación lesiva del derecho a la libertad</w:t>
      </w:r>
      <w:bookmarkEnd w:id="923"/>
      <w:r w:rsidRPr="0050129A">
        <w:rPr>
          <w:rStyle w:val="TextoNormalCaracter"/>
        </w:rPr>
        <w:t xml:space="preserve">, Sentencia </w:t>
      </w:r>
      <w:hyperlink w:anchor="SENTENCIA_2008_35" w:history="1">
        <w:r w:rsidRPr="0050129A">
          <w:rPr>
            <w:rStyle w:val="TextoNormalCaracter"/>
          </w:rPr>
          <w:t>35/2008</w:t>
        </w:r>
      </w:hyperlink>
      <w:r w:rsidRPr="0050129A">
        <w:rPr>
          <w:rStyle w:val="TextoNormalCaracter"/>
        </w:rPr>
        <w:t>, f. 1.</w:t>
      </w:r>
    </w:p>
    <w:p w:rsidR="0050129A" w:rsidRPr="0050129A" w:rsidRDefault="0050129A" w:rsidP="0050129A">
      <w:pPr>
        <w:pStyle w:val="TextoNormalSangraFrancesa"/>
        <w:rPr>
          <w:rStyle w:val="TextoNormalCaracter"/>
        </w:rPr>
      </w:pPr>
      <w:bookmarkStart w:id="924" w:name="DESCRIPTORALFABETICO215"/>
      <w:r w:rsidRPr="0050129A">
        <w:rPr>
          <w:rStyle w:val="TextoNormalNegritaCaracter"/>
        </w:rPr>
        <w:t>Depuración de la pretensión de amparo</w:t>
      </w:r>
      <w:bookmarkEnd w:id="924"/>
      <w:r w:rsidRPr="0050129A">
        <w:rPr>
          <w:rStyle w:val="TextoNormalCaracter"/>
        </w:rPr>
        <w:t xml:space="preserve">, Sentencia </w:t>
      </w:r>
      <w:hyperlink w:anchor="SENTENCIA_2008_20" w:history="1">
        <w:r w:rsidRPr="0050129A">
          <w:rPr>
            <w:rStyle w:val="TextoNormalCaracter"/>
          </w:rPr>
          <w:t>20/2008</w:t>
        </w:r>
      </w:hyperlink>
      <w:r w:rsidRPr="0050129A">
        <w:rPr>
          <w:rStyle w:val="TextoNormalCaracter"/>
        </w:rPr>
        <w:t>, f. 2.</w:t>
      </w:r>
    </w:p>
    <w:p w:rsidR="0050129A" w:rsidRPr="0050129A" w:rsidRDefault="0050129A" w:rsidP="0050129A">
      <w:pPr>
        <w:pStyle w:val="TextoNormalSangraFrancesa"/>
        <w:rPr>
          <w:rStyle w:val="TextoNormalCaracter"/>
        </w:rPr>
      </w:pPr>
      <w:bookmarkStart w:id="925" w:name="DESCRIPTORALFABETICO24"/>
      <w:r w:rsidRPr="0050129A">
        <w:rPr>
          <w:rStyle w:val="TextoNormalNegritaCaracter"/>
        </w:rPr>
        <w:t>Derecho a acceder a las funciones públicas</w:t>
      </w:r>
      <w:bookmarkEnd w:id="925"/>
      <w:r w:rsidRPr="0050129A">
        <w:rPr>
          <w:rStyle w:val="TextoNormalCaracter"/>
        </w:rPr>
        <w:t xml:space="preserve">, Sentencia </w:t>
      </w:r>
      <w:hyperlink w:anchor="SENTENCIA_2008_30" w:history="1">
        <w:r w:rsidRPr="0050129A">
          <w:rPr>
            <w:rStyle w:val="TextoNormalCaracter"/>
          </w:rPr>
          <w:t>30/2008</w:t>
        </w:r>
      </w:hyperlink>
      <w:r w:rsidRPr="0050129A">
        <w:rPr>
          <w:rStyle w:val="TextoNormalCaracter"/>
        </w:rPr>
        <w:t>, f. 5.</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30" w:history="1">
        <w:r w:rsidRPr="0050129A">
          <w:rPr>
            <w:rStyle w:val="TextoNormalCaracter"/>
          </w:rPr>
          <w:t>30/2008</w:t>
        </w:r>
      </w:hyperlink>
      <w:r w:rsidRPr="0050129A">
        <w:rPr>
          <w:rStyle w:val="TextoNormalCaracter"/>
        </w:rPr>
        <w:t>, f. 6.</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30" w:history="1">
        <w:r w:rsidRPr="0050129A">
          <w:rPr>
            <w:rStyle w:val="TextoNormalCaracter"/>
          </w:rPr>
          <w:t>30/2008</w:t>
        </w:r>
      </w:hyperlink>
      <w:r w:rsidRPr="0050129A">
        <w:rPr>
          <w:rStyle w:val="TextoNormalCaracter"/>
        </w:rPr>
        <w:t>, f. 7.</w:t>
      </w:r>
    </w:p>
    <w:p w:rsidR="0050129A" w:rsidRPr="0050129A" w:rsidRDefault="0050129A" w:rsidP="0050129A">
      <w:pPr>
        <w:pStyle w:val="TextoNormalSangraFrancesa"/>
        <w:rPr>
          <w:rStyle w:val="TextoNormalCaracter"/>
        </w:rPr>
      </w:pPr>
      <w:bookmarkStart w:id="926" w:name="DESCRIPTORALFABETICO26"/>
      <w:r w:rsidRPr="0050129A">
        <w:rPr>
          <w:rStyle w:val="TextoNormalNegritaCaracter"/>
        </w:rPr>
        <w:t>Derecho a acceder a los cargos públicos</w:t>
      </w:r>
      <w:bookmarkEnd w:id="926"/>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9, VP.</w:t>
      </w:r>
    </w:p>
    <w:p w:rsidR="0050129A" w:rsidRPr="0050129A" w:rsidRDefault="0050129A" w:rsidP="0050129A">
      <w:pPr>
        <w:pStyle w:val="TextoNormalSangraFrancesa"/>
        <w:rPr>
          <w:rStyle w:val="TextoNormalCaracter"/>
        </w:rPr>
      </w:pPr>
      <w:bookmarkStart w:id="927" w:name="DESCRIPTORALFABETICO68"/>
      <w:r w:rsidRPr="0050129A">
        <w:rPr>
          <w:rStyle w:val="TextoNormalNegritaCaracter"/>
        </w:rPr>
        <w:lastRenderedPageBreak/>
        <w:t>Derecho a la acción penal</w:t>
      </w:r>
      <w:bookmarkEnd w:id="927"/>
      <w:r w:rsidRPr="0050129A">
        <w:rPr>
          <w:rStyle w:val="TextoNormalCaracter"/>
        </w:rPr>
        <w:t xml:space="preserve">, Sentencia </w:t>
      </w:r>
      <w:hyperlink w:anchor="SENTENCIA_2008_9" w:history="1">
        <w:r w:rsidRPr="0050129A">
          <w:rPr>
            <w:rStyle w:val="TextoNormalCaracter"/>
          </w:rPr>
          <w:t>9/2008</w:t>
        </w:r>
      </w:hyperlink>
      <w:r w:rsidRPr="0050129A">
        <w:rPr>
          <w:rStyle w:val="TextoNormalCaracter"/>
        </w:rPr>
        <w:t>, f. 3.</w:t>
      </w:r>
    </w:p>
    <w:p w:rsidR="0050129A" w:rsidRPr="0050129A" w:rsidRDefault="0050129A" w:rsidP="0050129A">
      <w:pPr>
        <w:pStyle w:val="TextoNormalSangraFrancesa"/>
        <w:rPr>
          <w:rStyle w:val="TextoNormalCaracter"/>
        </w:rPr>
      </w:pPr>
      <w:bookmarkStart w:id="928" w:name="DESCRIPTORALFABETICO112"/>
      <w:r w:rsidRPr="0050129A">
        <w:rPr>
          <w:rStyle w:val="TextoNormalNegritaCaracter"/>
        </w:rPr>
        <w:t>Derecho a la asistencia letrada</w:t>
      </w:r>
      <w:bookmarkEnd w:id="928"/>
      <w:r w:rsidRPr="0050129A">
        <w:rPr>
          <w:rStyle w:val="TextoNormalCaracter"/>
        </w:rPr>
        <w:t xml:space="preserve">, Sentencias </w:t>
      </w:r>
      <w:hyperlink w:anchor="SENTENCIA_2008_9" w:history="1">
        <w:r w:rsidRPr="0050129A">
          <w:rPr>
            <w:rStyle w:val="TextoNormalCaracter"/>
          </w:rPr>
          <w:t>9/2008</w:t>
        </w:r>
      </w:hyperlink>
      <w:r w:rsidRPr="0050129A">
        <w:rPr>
          <w:rStyle w:val="TextoNormalCaracter"/>
        </w:rPr>
        <w:t xml:space="preserve">, f. 4; </w:t>
      </w:r>
      <w:hyperlink w:anchor="SENTENCIA_2008_42" w:history="1">
        <w:r w:rsidRPr="0050129A">
          <w:rPr>
            <w:rStyle w:val="TextoNormalCaracter"/>
          </w:rPr>
          <w:t>42/2008</w:t>
        </w:r>
      </w:hyperlink>
      <w:r w:rsidRPr="0050129A">
        <w:rPr>
          <w:rStyle w:val="TextoNormalCaracter"/>
        </w:rPr>
        <w:t>, ff. 1, 3, 4, 5, 6.</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83" w:history="1">
        <w:r w:rsidRPr="0050129A">
          <w:rPr>
            <w:rStyle w:val="TextoNormalCaracter"/>
          </w:rPr>
          <w:t>83/2008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42" w:history="1">
        <w:r w:rsidRPr="0050129A">
          <w:rPr>
            <w:rStyle w:val="TextoNormalCaracter"/>
          </w:rPr>
          <w:t>42/2008</w:t>
        </w:r>
      </w:hyperlink>
      <w:r w:rsidRPr="0050129A">
        <w:rPr>
          <w:rStyle w:val="TextoNormalCaracter"/>
        </w:rPr>
        <w:t>, f. 4.</w:t>
      </w:r>
    </w:p>
    <w:p w:rsidR="0050129A" w:rsidRPr="0050129A" w:rsidRDefault="0050129A" w:rsidP="0050129A">
      <w:pPr>
        <w:pStyle w:val="TextoNormalSangraFrancesa"/>
        <w:rPr>
          <w:rStyle w:val="TextoNormalCaracter"/>
        </w:rPr>
      </w:pPr>
      <w:bookmarkStart w:id="929" w:name="DESCRIPTORALFABETICO31"/>
      <w:r w:rsidRPr="0050129A">
        <w:rPr>
          <w:rStyle w:val="TextoNormalNegritaCaracter"/>
        </w:rPr>
        <w:t>Derecho a la creación literaria, artística, científica y técnica</w:t>
      </w:r>
      <w:bookmarkEnd w:id="929"/>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ff. 5, 7.</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51" w:history="1">
        <w:r w:rsidRPr="0050129A">
          <w:rPr>
            <w:rStyle w:val="TextoNormalCaracter"/>
          </w:rPr>
          <w:t>51/2008</w:t>
        </w:r>
      </w:hyperlink>
      <w:r w:rsidRPr="0050129A">
        <w:rPr>
          <w:rStyle w:val="TextoNormalCaracter"/>
        </w:rPr>
        <w:t>, f. 5.</w:t>
      </w:r>
    </w:p>
    <w:p w:rsidR="0050129A" w:rsidRPr="0050129A" w:rsidRDefault="0050129A" w:rsidP="0050129A">
      <w:pPr>
        <w:pStyle w:val="TextoNormalSangraFrancesa"/>
        <w:rPr>
          <w:rStyle w:val="TextoNormalCaracter"/>
        </w:rPr>
      </w:pPr>
      <w:bookmarkStart w:id="930" w:name="DESCRIPTORALFABETICO109"/>
      <w:r w:rsidRPr="0050129A">
        <w:rPr>
          <w:rStyle w:val="TextoNormalNegritaCaracter"/>
        </w:rPr>
        <w:t>Derecho a la defensa</w:t>
      </w:r>
      <w:bookmarkEnd w:id="930"/>
      <w:r w:rsidRPr="0050129A">
        <w:rPr>
          <w:rStyle w:val="TextoNormalCaracter"/>
        </w:rPr>
        <w:t xml:space="preserve">, Sentencias </w:t>
      </w:r>
      <w:hyperlink w:anchor="SENTENCIA_2008_9" w:history="1">
        <w:r w:rsidRPr="0050129A">
          <w:rPr>
            <w:rStyle w:val="TextoNormalCaracter"/>
          </w:rPr>
          <w:t>9/2008</w:t>
        </w:r>
      </w:hyperlink>
      <w:r w:rsidRPr="0050129A">
        <w:rPr>
          <w:rStyle w:val="TextoNormalCaracter"/>
        </w:rPr>
        <w:t xml:space="preserve">, f. 4; </w:t>
      </w:r>
      <w:hyperlink w:anchor="SENTENCIA_2008_22" w:history="1">
        <w:r w:rsidRPr="0050129A">
          <w:rPr>
            <w:rStyle w:val="TextoNormalCaracter"/>
          </w:rPr>
          <w:t>22/2008</w:t>
        </w:r>
      </w:hyperlink>
      <w:r w:rsidRPr="0050129A">
        <w:rPr>
          <w:rStyle w:val="TextoNormalCaracter"/>
        </w:rPr>
        <w:t xml:space="preserve">, f. 2; </w:t>
      </w:r>
      <w:hyperlink w:anchor="SENTENCIA_2008_32" w:history="1">
        <w:r w:rsidRPr="0050129A">
          <w:rPr>
            <w:rStyle w:val="TextoNormalCaracter"/>
          </w:rPr>
          <w:t>32/2008</w:t>
        </w:r>
      </w:hyperlink>
      <w:r w:rsidRPr="0050129A">
        <w:rPr>
          <w:rStyle w:val="TextoNormalCaracter"/>
        </w:rPr>
        <w:t>, ff. 2, 3.</w:t>
      </w:r>
    </w:p>
    <w:p w:rsidR="0050129A" w:rsidRPr="0050129A" w:rsidRDefault="0050129A" w:rsidP="0050129A">
      <w:pPr>
        <w:pStyle w:val="TextoNormalSangraFrancesa"/>
        <w:rPr>
          <w:rStyle w:val="TextoNormalNegritaCaracter"/>
        </w:rPr>
      </w:pPr>
      <w:r w:rsidRPr="0050129A">
        <w:rPr>
          <w:rStyle w:val="TextoNormalCursivaCaracter"/>
        </w:rPr>
        <w:t>Derecho a la defensa contradictoria entre las partes</w:t>
      </w:r>
      <w:r>
        <w:t xml:space="preserve"> véase </w:t>
      </w:r>
      <w:hyperlink w:anchor="DESCRIPTORALFABETICO524" w:history="1">
        <w:r w:rsidRPr="0050129A">
          <w:rPr>
            <w:rStyle w:val="TextoNormalNegritaCaracter"/>
          </w:rPr>
          <w:t>Principio de contradicción</w:t>
        </w:r>
      </w:hyperlink>
    </w:p>
    <w:p w:rsidR="0050129A" w:rsidRPr="0050129A" w:rsidRDefault="0050129A" w:rsidP="0050129A">
      <w:pPr>
        <w:pStyle w:val="TextoNormalSangraFrancesa"/>
        <w:rPr>
          <w:rStyle w:val="TextoNormalNegritaCaracter"/>
        </w:rPr>
      </w:pPr>
      <w:r w:rsidRPr="0050129A">
        <w:rPr>
          <w:rStyle w:val="TextoNormalCursivaCaracter"/>
        </w:rPr>
        <w:t>Derecho a la desigualdad</w:t>
      </w:r>
      <w:r>
        <w:t xml:space="preserve"> véase </w:t>
      </w:r>
      <w:hyperlink w:anchor="DESCRIPTORALFABETICO106" w:history="1">
        <w:r w:rsidRPr="0050129A">
          <w:rPr>
            <w:rStyle w:val="TextoNormalNegritaCaracter"/>
          </w:rPr>
          <w:t>Discriminación por indiferenciación</w:t>
        </w:r>
      </w:hyperlink>
    </w:p>
    <w:p w:rsidR="0050129A" w:rsidRPr="0050129A" w:rsidRDefault="0050129A" w:rsidP="0050129A">
      <w:pPr>
        <w:pStyle w:val="TextoNormalSangraFrancesa"/>
        <w:rPr>
          <w:rStyle w:val="TextoNormalCaracter"/>
        </w:rPr>
      </w:pPr>
      <w:bookmarkStart w:id="931" w:name="DESCRIPTORALFABETICO34"/>
      <w:r w:rsidRPr="0050129A">
        <w:rPr>
          <w:rStyle w:val="TextoNormalNegritaCaracter"/>
        </w:rPr>
        <w:t>Derecho a la educación</w:t>
      </w:r>
      <w:bookmarkEnd w:id="931"/>
      <w:r w:rsidRPr="0050129A">
        <w:rPr>
          <w:rStyle w:val="TextoNormalCaracter"/>
        </w:rPr>
        <w:t xml:space="preserve">, Auto </w:t>
      </w:r>
      <w:hyperlink w:anchor="AUTO_2008_61" w:history="1">
        <w:r w:rsidRPr="0050129A">
          <w:rPr>
            <w:rStyle w:val="TextoNormalCaracter"/>
          </w:rPr>
          <w:t>61/2008</w:t>
        </w:r>
      </w:hyperlink>
      <w:r w:rsidRPr="0050129A">
        <w:rPr>
          <w:rStyle w:val="TextoNormalCaracter"/>
        </w:rPr>
        <w:t>.</w:t>
      </w:r>
    </w:p>
    <w:p w:rsidR="0050129A" w:rsidRPr="0050129A" w:rsidRDefault="0050129A" w:rsidP="0050129A">
      <w:pPr>
        <w:pStyle w:val="TextoNormalSangraFrancesa"/>
        <w:rPr>
          <w:rStyle w:val="TextoNormalCaracter"/>
        </w:rPr>
      </w:pPr>
      <w:bookmarkStart w:id="932" w:name="DESCRIPTORALFABETICO75"/>
      <w:r w:rsidRPr="0050129A">
        <w:rPr>
          <w:rStyle w:val="TextoNormalNegritaCaracter"/>
        </w:rPr>
        <w:t>Derecho a la ejecución de sentencias</w:t>
      </w:r>
      <w:bookmarkEnd w:id="932"/>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Sentencias </w:t>
      </w:r>
      <w:hyperlink w:anchor="SENTENCIA_2008_11" w:history="1">
        <w:r w:rsidRPr="0050129A">
          <w:rPr>
            <w:rStyle w:val="TextoNormalCaracter"/>
          </w:rPr>
          <w:t>11/2008</w:t>
        </w:r>
      </w:hyperlink>
      <w:r w:rsidRPr="0050129A">
        <w:rPr>
          <w:rStyle w:val="TextoNormalCaracter"/>
        </w:rPr>
        <w:t xml:space="preserve">, ff. 6 a 8; </w:t>
      </w:r>
      <w:hyperlink w:anchor="SENTENCIA_2008_15" w:history="1">
        <w:r w:rsidRPr="0050129A">
          <w:rPr>
            <w:rStyle w:val="TextoNormalCaracter"/>
          </w:rPr>
          <w:t>15/2008</w:t>
        </w:r>
      </w:hyperlink>
      <w:r w:rsidRPr="0050129A">
        <w:rPr>
          <w:rStyle w:val="TextoNormalCaracter"/>
        </w:rPr>
        <w:t>, ff. 4, 5.</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117" w:history="1">
        <w:r w:rsidRPr="0050129A">
          <w:rPr>
            <w:rStyle w:val="TextoNormalCaracter"/>
          </w:rPr>
          <w:t>117/2008</w:t>
        </w:r>
      </w:hyperlink>
      <w:r w:rsidRPr="0050129A">
        <w:rPr>
          <w:rStyle w:val="TextoNormalCaracter"/>
        </w:rPr>
        <w:t>.</w:t>
      </w:r>
    </w:p>
    <w:p w:rsidR="0050129A" w:rsidRPr="0050129A" w:rsidRDefault="0050129A" w:rsidP="0050129A">
      <w:pPr>
        <w:pStyle w:val="TextoNormalSangraFrancesa"/>
        <w:rPr>
          <w:rStyle w:val="TextoNormalCaracter"/>
        </w:rPr>
      </w:pPr>
      <w:bookmarkStart w:id="933" w:name="DESCRIPTORALFABETICO47"/>
      <w:r w:rsidRPr="0050129A">
        <w:rPr>
          <w:rStyle w:val="TextoNormalNegritaCaracter"/>
        </w:rPr>
        <w:t>Derecho a la integridad física y moral</w:t>
      </w:r>
      <w:bookmarkEnd w:id="933"/>
      <w:r w:rsidRPr="0050129A">
        <w:rPr>
          <w:rStyle w:val="TextoNormalCaracter"/>
        </w:rPr>
        <w:t xml:space="preserve">, Sentencias </w:t>
      </w:r>
      <w:hyperlink w:anchor="SENTENCIA_2008_22" w:history="1">
        <w:r w:rsidRPr="0050129A">
          <w:rPr>
            <w:rStyle w:val="TextoNormalCaracter"/>
          </w:rPr>
          <w:t>22/2008</w:t>
        </w:r>
      </w:hyperlink>
      <w:r w:rsidRPr="0050129A">
        <w:rPr>
          <w:rStyle w:val="TextoNormalCaracter"/>
        </w:rPr>
        <w:t xml:space="preserve">, f. 8; </w:t>
      </w:r>
      <w:hyperlink w:anchor="SENTENCIA_2008_34" w:history="1">
        <w:r w:rsidRPr="0050129A">
          <w:rPr>
            <w:rStyle w:val="TextoNormalCaracter"/>
          </w:rPr>
          <w:t>34/2008</w:t>
        </w:r>
      </w:hyperlink>
      <w:r w:rsidRPr="0050129A">
        <w:rPr>
          <w:rStyle w:val="TextoNormalCaracter"/>
        </w:rPr>
        <w:t>, ff. 5 a 7.</w:t>
      </w:r>
    </w:p>
    <w:p w:rsidR="0050129A" w:rsidRPr="0050129A" w:rsidRDefault="0050129A" w:rsidP="0050129A">
      <w:pPr>
        <w:pStyle w:val="TextoNormalSangraFrancesa"/>
        <w:rPr>
          <w:rStyle w:val="TextoNormalCaracter"/>
        </w:rPr>
      </w:pPr>
      <w:bookmarkStart w:id="934" w:name="DESCRIPTORALFABETICO53"/>
      <w:r w:rsidRPr="0050129A">
        <w:rPr>
          <w:rStyle w:val="TextoNormalNegritaCaracter"/>
        </w:rPr>
        <w:t>Derecho a la libertad personal</w:t>
      </w:r>
      <w:bookmarkEnd w:id="934"/>
      <w:r w:rsidRPr="0050129A">
        <w:rPr>
          <w:rStyle w:val="TextoNormalCaracter"/>
        </w:rPr>
        <w:t xml:space="preserve">, Sentencias </w:t>
      </w:r>
      <w:hyperlink w:anchor="SENTENCIA_2008_29" w:history="1">
        <w:r w:rsidRPr="0050129A">
          <w:rPr>
            <w:rStyle w:val="TextoNormalCaracter"/>
          </w:rPr>
          <w:t>29/2008</w:t>
        </w:r>
      </w:hyperlink>
      <w:r w:rsidRPr="0050129A">
        <w:rPr>
          <w:rStyle w:val="TextoNormalCaracter"/>
        </w:rPr>
        <w:t xml:space="preserve">, ff. 8 a 13; </w:t>
      </w:r>
      <w:hyperlink w:anchor="SENTENCIA_2008_57" w:history="1">
        <w:r w:rsidRPr="0050129A">
          <w:rPr>
            <w:rStyle w:val="TextoNormalCaracter"/>
          </w:rPr>
          <w:t>57/2008</w:t>
        </w:r>
      </w:hyperlink>
      <w:r w:rsidRPr="0050129A">
        <w:rPr>
          <w:rStyle w:val="TextoNormalCaracter"/>
        </w:rPr>
        <w:t>, ff. 2, 6 a 8.</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 </w:t>
      </w:r>
      <w:hyperlink w:anchor="SENTENCIA_2008_27" w:history="1">
        <w:r w:rsidRPr="0050129A">
          <w:rPr>
            <w:rStyle w:val="TextoNormalCaracter"/>
          </w:rPr>
          <w:t>27/2008</w:t>
        </w:r>
      </w:hyperlink>
      <w:r w:rsidRPr="0050129A">
        <w:rPr>
          <w:rStyle w:val="TextoNormalCaracter"/>
        </w:rPr>
        <w:t>, f. 6.</w:t>
      </w:r>
    </w:p>
    <w:p w:rsidR="0050129A" w:rsidRPr="0050129A" w:rsidRDefault="0050129A" w:rsidP="0050129A">
      <w:pPr>
        <w:pStyle w:val="TextoNormalSangraFrancesa"/>
        <w:rPr>
          <w:rStyle w:val="TextoNormalNegritaCaracter"/>
        </w:rPr>
      </w:pPr>
      <w:r w:rsidRPr="0050129A">
        <w:rPr>
          <w:rStyle w:val="TextoNormalCursivaCaracter"/>
        </w:rPr>
        <w:t>Derecho a la libre información</w:t>
      </w:r>
      <w:r>
        <w:t xml:space="preserve"> véase </w:t>
      </w:r>
      <w:hyperlink w:anchor="DESCRIPTORALFABETICO134" w:history="1">
        <w:r w:rsidRPr="0050129A">
          <w:rPr>
            <w:rStyle w:val="TextoNormalNegritaCaracter"/>
          </w:rPr>
          <w:t>Libertad de información</w:t>
        </w:r>
      </w:hyperlink>
    </w:p>
    <w:p w:rsidR="0050129A" w:rsidRPr="0050129A" w:rsidRDefault="0050129A" w:rsidP="0050129A">
      <w:pPr>
        <w:pStyle w:val="TextoNormalSangraFrancesa"/>
        <w:rPr>
          <w:rStyle w:val="TextoNormalCaracter"/>
        </w:rPr>
      </w:pPr>
      <w:bookmarkStart w:id="935" w:name="DESCRIPTORALFABETICO60"/>
      <w:r w:rsidRPr="0050129A">
        <w:rPr>
          <w:rStyle w:val="TextoNormalNegritaCaracter"/>
        </w:rPr>
        <w:t>Derecho a la participación en los asuntos públicos</w:t>
      </w:r>
      <w:bookmarkEnd w:id="935"/>
      <w:r w:rsidRPr="0050129A">
        <w:rPr>
          <w:rStyle w:val="TextoNormalCaracter"/>
        </w:rPr>
        <w:t xml:space="preserve">, Sentencias </w:t>
      </w:r>
      <w:hyperlink w:anchor="SENTENCIA_2008_12" w:history="1">
        <w:r w:rsidRPr="0050129A">
          <w:rPr>
            <w:rStyle w:val="TextoNormalCaracter"/>
          </w:rPr>
          <w:t>12/2008</w:t>
        </w:r>
      </w:hyperlink>
      <w:r w:rsidRPr="0050129A">
        <w:rPr>
          <w:rStyle w:val="TextoNormalCaracter"/>
        </w:rPr>
        <w:t xml:space="preserve">, f. 9, VP;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bookmarkStart w:id="936" w:name="DESCRIPTORALFABETICO62"/>
      <w:r w:rsidRPr="0050129A">
        <w:rPr>
          <w:rStyle w:val="TextoNormalNegritaCaracter"/>
        </w:rPr>
        <w:t>Derecho a la presunción de inocencia</w:t>
      </w:r>
      <w:bookmarkEnd w:id="936"/>
      <w:r w:rsidRPr="0050129A">
        <w:rPr>
          <w:rStyle w:val="TextoNormalCaracter"/>
        </w:rPr>
        <w:t xml:space="preserve">, Sentencias </w:t>
      </w:r>
      <w:hyperlink w:anchor="SENTENCIA_2008_28" w:history="1">
        <w:r w:rsidRPr="0050129A">
          <w:rPr>
            <w:rStyle w:val="TextoNormalCaracter"/>
          </w:rPr>
          <w:t>28/2008</w:t>
        </w:r>
      </w:hyperlink>
      <w:r w:rsidRPr="0050129A">
        <w:rPr>
          <w:rStyle w:val="TextoNormalCaracter"/>
        </w:rPr>
        <w:t xml:space="preserve">, f. 2; </w:t>
      </w:r>
      <w:hyperlink w:anchor="SENTENCIA_2008_29" w:history="1">
        <w:r w:rsidRPr="0050129A">
          <w:rPr>
            <w:rStyle w:val="TextoNormalCaracter"/>
          </w:rPr>
          <w:t>29/2008</w:t>
        </w:r>
      </w:hyperlink>
      <w:r w:rsidRPr="0050129A">
        <w:rPr>
          <w:rStyle w:val="TextoNormalCaracter"/>
        </w:rPr>
        <w:t xml:space="preserve">, f. 5; </w:t>
      </w:r>
      <w:hyperlink w:anchor="SENTENCIA_2008_36" w:history="1">
        <w:r w:rsidRPr="0050129A">
          <w:rPr>
            <w:rStyle w:val="TextoNormalCaracter"/>
          </w:rPr>
          <w:t>36/2008</w:t>
        </w:r>
      </w:hyperlink>
      <w:r w:rsidRPr="0050129A">
        <w:rPr>
          <w:rStyle w:val="TextoNormalCaracter"/>
        </w:rPr>
        <w:t xml:space="preserve">, f. 5; </w:t>
      </w:r>
      <w:hyperlink w:anchor="SENTENCIA_2008_40" w:history="1">
        <w:r w:rsidRPr="0050129A">
          <w:rPr>
            <w:rStyle w:val="TextoNormalCaracter"/>
          </w:rPr>
          <w:t>40/2008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 </w:t>
      </w:r>
      <w:hyperlink w:anchor="SENTENCIA_2008_28" w:history="1">
        <w:r w:rsidRPr="0050129A">
          <w:rPr>
            <w:rStyle w:val="TextoNormalCaracter"/>
          </w:rPr>
          <w:t>28/2008</w:t>
        </w:r>
      </w:hyperlink>
      <w:r w:rsidRPr="0050129A">
        <w:rPr>
          <w:rStyle w:val="TextoNormalCaracter"/>
        </w:rPr>
        <w:t>, ff. 2, 4.</w:t>
      </w:r>
    </w:p>
    <w:p w:rsidR="0050129A" w:rsidRPr="0050129A" w:rsidRDefault="0050129A" w:rsidP="0050129A">
      <w:pPr>
        <w:pStyle w:val="TextoNormalSangraFrancesa"/>
        <w:rPr>
          <w:rStyle w:val="TextoNormalCaracter"/>
        </w:rPr>
      </w:pPr>
      <w:bookmarkStart w:id="937" w:name="DESCRIPTORALFABETICO63"/>
      <w:r w:rsidRPr="0050129A">
        <w:rPr>
          <w:rStyle w:val="TextoNormalNegritaCaracter"/>
        </w:rPr>
        <w:t>Derecho a la protección de datos personales</w:t>
      </w:r>
      <w:bookmarkEnd w:id="937"/>
      <w:r w:rsidRPr="0050129A">
        <w:rPr>
          <w:rStyle w:val="TextoNormalCaracter"/>
        </w:rPr>
        <w:t xml:space="preserve">, Auto </w:t>
      </w:r>
      <w:hyperlink w:anchor="AUTO_2008_29" w:history="1">
        <w:r w:rsidRPr="0050129A">
          <w:rPr>
            <w:rStyle w:val="TextoNormalCaracter"/>
          </w:rPr>
          <w:t>29/2008</w:t>
        </w:r>
      </w:hyperlink>
      <w:r w:rsidRPr="0050129A">
        <w:rPr>
          <w:rStyle w:val="TextoNormalCaracter"/>
        </w:rPr>
        <w:t>.</w:t>
      </w:r>
    </w:p>
    <w:p w:rsidR="0050129A" w:rsidRPr="0050129A" w:rsidRDefault="0050129A" w:rsidP="0050129A">
      <w:pPr>
        <w:pStyle w:val="TextoNormalSangraFrancesa"/>
        <w:rPr>
          <w:rStyle w:val="TextoNormalCaracter"/>
        </w:rPr>
      </w:pPr>
      <w:bookmarkStart w:id="938" w:name="DESCRIPTORALFABETICO115"/>
      <w:r w:rsidRPr="0050129A">
        <w:rPr>
          <w:rStyle w:val="TextoNormalNegritaCaracter"/>
        </w:rPr>
        <w:t>Derecho a la prueba</w:t>
      </w:r>
      <w:bookmarkEnd w:id="938"/>
      <w:r w:rsidRPr="0050129A">
        <w:rPr>
          <w:rStyle w:val="TextoNormalCaracter"/>
        </w:rPr>
        <w:t xml:space="preserve">, Sentencias </w:t>
      </w:r>
      <w:hyperlink w:anchor="SENTENCIA_2008_29" w:history="1">
        <w:r w:rsidRPr="0050129A">
          <w:rPr>
            <w:rStyle w:val="TextoNormalCaracter"/>
          </w:rPr>
          <w:t>29/2008</w:t>
        </w:r>
      </w:hyperlink>
      <w:r w:rsidRPr="0050129A">
        <w:rPr>
          <w:rStyle w:val="TextoNormalCaracter"/>
        </w:rPr>
        <w:t xml:space="preserve">, ff. 4, 5; </w:t>
      </w:r>
      <w:hyperlink w:anchor="SENTENCIA_2008_54" w:history="1">
        <w:r w:rsidRPr="0050129A">
          <w:rPr>
            <w:rStyle w:val="TextoNormalCaracter"/>
          </w:rPr>
          <w:t>54/2008</w:t>
        </w:r>
      </w:hyperlink>
      <w:r w:rsidRPr="0050129A">
        <w:rPr>
          <w:rStyle w:val="TextoNormalCaracter"/>
        </w:rPr>
        <w:t>, f. 6.</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30" w:history="1">
        <w:r w:rsidRPr="0050129A">
          <w:rPr>
            <w:rStyle w:val="TextoNormalCaracter"/>
          </w:rPr>
          <w:t>30/2008</w:t>
        </w:r>
      </w:hyperlink>
      <w:r w:rsidRPr="0050129A">
        <w:rPr>
          <w:rStyle w:val="TextoNormalCaracter"/>
        </w:rPr>
        <w:t xml:space="preserve">; </w:t>
      </w:r>
      <w:hyperlink w:anchor="AUTO_2008_62" w:history="1">
        <w:r w:rsidRPr="0050129A">
          <w:rPr>
            <w:rStyle w:val="TextoNormalCaracter"/>
          </w:rPr>
          <w:t>62/2008</w:t>
        </w:r>
      </w:hyperlink>
      <w:r w:rsidRPr="0050129A">
        <w:rPr>
          <w:rStyle w:val="TextoNormalCaracter"/>
        </w:rPr>
        <w:t xml:space="preserve">;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Sentencias </w:t>
      </w:r>
      <w:hyperlink w:anchor="SENTENCIA_2008_22" w:history="1">
        <w:r w:rsidRPr="0050129A">
          <w:rPr>
            <w:rStyle w:val="TextoNormalCaracter"/>
          </w:rPr>
          <w:t>22/2008</w:t>
        </w:r>
      </w:hyperlink>
      <w:r w:rsidRPr="0050129A">
        <w:rPr>
          <w:rStyle w:val="TextoNormalCaracter"/>
        </w:rPr>
        <w:t xml:space="preserve">, ff. 2, 5; </w:t>
      </w:r>
      <w:hyperlink w:anchor="SENTENCIA_2008_48" w:history="1">
        <w:r w:rsidRPr="0050129A">
          <w:rPr>
            <w:rStyle w:val="TextoNormalCaracter"/>
          </w:rPr>
          <w:t>48/2008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48" w:history="1">
        <w:r w:rsidRPr="0050129A">
          <w:rPr>
            <w:rStyle w:val="TextoNormalCaracter"/>
          </w:rPr>
          <w:t>48/2008</w:t>
        </w:r>
      </w:hyperlink>
      <w:r w:rsidRPr="0050129A">
        <w:rPr>
          <w:rStyle w:val="TextoNormalCaracter"/>
        </w:rPr>
        <w:t>, f. 3.</w:t>
      </w:r>
    </w:p>
    <w:p w:rsidR="0050129A" w:rsidRPr="0050129A" w:rsidRDefault="0050129A" w:rsidP="0050129A">
      <w:pPr>
        <w:pStyle w:val="TextoNormalSangraFrancesa"/>
        <w:rPr>
          <w:rStyle w:val="TextoNormalCaracter"/>
        </w:rPr>
      </w:pPr>
      <w:bookmarkStart w:id="939" w:name="DESCRIPTORALFABETICO65"/>
      <w:r w:rsidRPr="0050129A">
        <w:rPr>
          <w:rStyle w:val="TextoNormalNegritaCaracter"/>
        </w:rPr>
        <w:t>Derecho a la tutela judicial efectiva</w:t>
      </w:r>
      <w:bookmarkEnd w:id="939"/>
      <w:r w:rsidRPr="0050129A">
        <w:rPr>
          <w:rStyle w:val="TextoNormalCaracter"/>
        </w:rPr>
        <w:t xml:space="preserve">, Sentencias </w:t>
      </w:r>
      <w:hyperlink w:anchor="SENTENCIA_2008_9" w:history="1">
        <w:r w:rsidRPr="0050129A">
          <w:rPr>
            <w:rStyle w:val="TextoNormalCaracter"/>
          </w:rPr>
          <w:t>9/2008</w:t>
        </w:r>
      </w:hyperlink>
      <w:r w:rsidRPr="0050129A">
        <w:rPr>
          <w:rStyle w:val="TextoNormalCaracter"/>
        </w:rPr>
        <w:t xml:space="preserve">, ff. 2, 4; </w:t>
      </w:r>
      <w:hyperlink w:anchor="SENTENCIA_2008_10" w:history="1">
        <w:r w:rsidRPr="0050129A">
          <w:rPr>
            <w:rStyle w:val="TextoNormalCaracter"/>
          </w:rPr>
          <w:t>10/2008</w:t>
        </w:r>
      </w:hyperlink>
      <w:r w:rsidRPr="0050129A">
        <w:rPr>
          <w:rStyle w:val="TextoNormalCaracter"/>
        </w:rPr>
        <w:t xml:space="preserve">, f. 2; </w:t>
      </w:r>
      <w:hyperlink w:anchor="SENTENCIA_2008_13" w:history="1">
        <w:r w:rsidRPr="0050129A">
          <w:rPr>
            <w:rStyle w:val="TextoNormalCaracter"/>
          </w:rPr>
          <w:t>13/2008</w:t>
        </w:r>
      </w:hyperlink>
      <w:r w:rsidRPr="0050129A">
        <w:rPr>
          <w:rStyle w:val="TextoNormalCaracter"/>
        </w:rPr>
        <w:t xml:space="preserve">, f. 5; </w:t>
      </w:r>
      <w:hyperlink w:anchor="SENTENCIA_2008_22" w:history="1">
        <w:r w:rsidRPr="0050129A">
          <w:rPr>
            <w:rStyle w:val="TextoNormalCaracter"/>
          </w:rPr>
          <w:t>22/2008</w:t>
        </w:r>
      </w:hyperlink>
      <w:r w:rsidRPr="0050129A">
        <w:rPr>
          <w:rStyle w:val="TextoNormalCaracter"/>
        </w:rPr>
        <w:t xml:space="preserve">, f. 2; </w:t>
      </w:r>
      <w:hyperlink w:anchor="SENTENCIA_2008_29" w:history="1">
        <w:r w:rsidRPr="0050129A">
          <w:rPr>
            <w:rStyle w:val="TextoNormalCaracter"/>
          </w:rPr>
          <w:t>29/2008</w:t>
        </w:r>
      </w:hyperlink>
      <w:r w:rsidRPr="0050129A">
        <w:rPr>
          <w:rStyle w:val="TextoNormalCaracter"/>
        </w:rPr>
        <w:t xml:space="preserve">, ff. 7, 8, 9, 10, 11, 12, 13, VP; </w:t>
      </w:r>
      <w:hyperlink w:anchor="SENTENCIA_2008_50" w:history="1">
        <w:r w:rsidRPr="0050129A">
          <w:rPr>
            <w:rStyle w:val="TextoNormalCaracter"/>
          </w:rPr>
          <w:t>50/2008</w:t>
        </w:r>
      </w:hyperlink>
      <w:r w:rsidRPr="0050129A">
        <w:rPr>
          <w:rStyle w:val="TextoNormalCaracter"/>
        </w:rPr>
        <w:t xml:space="preserve">, f. 3; </w:t>
      </w:r>
      <w:hyperlink w:anchor="SENTENCIA_2008_55" w:history="1">
        <w:r w:rsidRPr="0050129A">
          <w:rPr>
            <w:rStyle w:val="TextoNormalCaracter"/>
          </w:rPr>
          <w:t>55/2008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23" w:history="1">
        <w:r w:rsidRPr="0050129A">
          <w:rPr>
            <w:rStyle w:val="TextoNormalCaracter"/>
          </w:rPr>
          <w:t>23/2008</w:t>
        </w:r>
      </w:hyperlink>
      <w:r w:rsidRPr="0050129A">
        <w:rPr>
          <w:rStyle w:val="TextoNormalCaracter"/>
        </w:rPr>
        <w:t>, ff. 3, 5.</w:t>
      </w:r>
    </w:p>
    <w:p w:rsidR="0050129A" w:rsidRPr="0050129A" w:rsidRDefault="0050129A" w:rsidP="0050129A">
      <w:pPr>
        <w:pStyle w:val="TextoNormalSangraFrancesa"/>
        <w:rPr>
          <w:rStyle w:val="TextoNormalCaracter"/>
        </w:rPr>
      </w:pPr>
      <w:bookmarkStart w:id="940" w:name="DESCRIPTORALFABETICO102"/>
      <w:r w:rsidRPr="0050129A">
        <w:rPr>
          <w:rStyle w:val="TextoNormalNegritaCaracter"/>
        </w:rPr>
        <w:t>Derecho a la tutela judicial sin indefensión</w:t>
      </w:r>
      <w:bookmarkEnd w:id="940"/>
      <w:r w:rsidRPr="0050129A">
        <w:rPr>
          <w:rStyle w:val="TextoNormalCaracter"/>
        </w:rPr>
        <w:t xml:space="preserve">, Sentencia </w:t>
      </w:r>
      <w:hyperlink w:anchor="SENTENCIA_2008_2" w:history="1">
        <w:r w:rsidRPr="0050129A">
          <w:rPr>
            <w:rStyle w:val="TextoNormalCaracter"/>
          </w:rPr>
          <w:t>2/2008</w:t>
        </w:r>
      </w:hyperlink>
      <w:r w:rsidRPr="0050129A">
        <w:rPr>
          <w:rStyle w:val="TextoNormalCaracter"/>
        </w:rPr>
        <w:t>, ff. 3, 4.</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Sentencias </w:t>
      </w:r>
      <w:hyperlink w:anchor="SENTENCIA_2008_2" w:history="1">
        <w:r w:rsidRPr="0050129A">
          <w:rPr>
            <w:rStyle w:val="TextoNormalCaracter"/>
          </w:rPr>
          <w:t>2/2008</w:t>
        </w:r>
      </w:hyperlink>
      <w:r w:rsidRPr="0050129A">
        <w:rPr>
          <w:rStyle w:val="TextoNormalCaracter"/>
        </w:rPr>
        <w:t xml:space="preserve">, ff. 2, 3, 4; </w:t>
      </w:r>
      <w:hyperlink w:anchor="SENTENCIA_2008_46" w:history="1">
        <w:r w:rsidRPr="0050129A">
          <w:rPr>
            <w:rStyle w:val="TextoNormalCaracter"/>
          </w:rPr>
          <w:t>46/2008</w:t>
        </w:r>
      </w:hyperlink>
      <w:r w:rsidRPr="0050129A">
        <w:rPr>
          <w:rStyle w:val="TextoNormalCaracter"/>
        </w:rPr>
        <w:t>, f. 3.</w:t>
      </w:r>
    </w:p>
    <w:p w:rsidR="0050129A" w:rsidRPr="0050129A" w:rsidRDefault="0050129A" w:rsidP="0050129A">
      <w:pPr>
        <w:pStyle w:val="TextoNormalSangraFrancesa"/>
        <w:rPr>
          <w:rStyle w:val="TextoNormalCaracter"/>
        </w:rPr>
      </w:pPr>
      <w:bookmarkStart w:id="941" w:name="DESCRIPTORALFABETICO411"/>
      <w:r w:rsidRPr="0050129A">
        <w:rPr>
          <w:rStyle w:val="TextoNormalNegritaCaracter"/>
        </w:rPr>
        <w:t>Derecho a no presentar documentos que ya posea la Administración</w:t>
      </w:r>
      <w:bookmarkEnd w:id="941"/>
      <w:r w:rsidRPr="0050129A">
        <w:rPr>
          <w:rStyle w:val="TextoNormalCaracter"/>
        </w:rPr>
        <w:t xml:space="preserve">, Sentencia </w:t>
      </w:r>
      <w:hyperlink w:anchor="SENTENCIA_2008_10" w:history="1">
        <w:r w:rsidRPr="0050129A">
          <w:rPr>
            <w:rStyle w:val="TextoNormalCaracter"/>
          </w:rPr>
          <w:t>10/2008</w:t>
        </w:r>
      </w:hyperlink>
      <w:r w:rsidRPr="0050129A">
        <w:rPr>
          <w:rStyle w:val="TextoNormalCaracter"/>
        </w:rPr>
        <w:t>, f. 3.</w:t>
      </w:r>
    </w:p>
    <w:p w:rsidR="0050129A" w:rsidRPr="0050129A" w:rsidRDefault="0050129A" w:rsidP="0050129A">
      <w:pPr>
        <w:pStyle w:val="TextoNormalSangraFrancesa"/>
        <w:rPr>
          <w:rStyle w:val="TextoNormalNegritaCaracter"/>
        </w:rPr>
      </w:pPr>
      <w:r w:rsidRPr="0050129A">
        <w:rPr>
          <w:rStyle w:val="TextoNormalCursivaCaracter"/>
        </w:rPr>
        <w:t>Derecho a promover la persecución penal</w:t>
      </w:r>
      <w:r>
        <w:t xml:space="preserve"> véase </w:t>
      </w:r>
      <w:hyperlink w:anchor="DESCRIPTORALFABETICO69" w:history="1">
        <w:r w:rsidRPr="0050129A">
          <w:rPr>
            <w:rStyle w:val="TextoNormalNegritaCaracter"/>
            <w:i/>
          </w:rPr>
          <w:t>Ius ut procedatur</w:t>
        </w:r>
      </w:hyperlink>
    </w:p>
    <w:p w:rsidR="0050129A" w:rsidRPr="0050129A" w:rsidRDefault="0050129A" w:rsidP="0050129A">
      <w:pPr>
        <w:pStyle w:val="TextoNormalSangraFrancesa"/>
        <w:rPr>
          <w:rStyle w:val="TextoNormalCaracter"/>
        </w:rPr>
      </w:pPr>
      <w:bookmarkStart w:id="942" w:name="DESCRIPTORALFABETICO116"/>
      <w:r w:rsidRPr="0050129A">
        <w:rPr>
          <w:rStyle w:val="TextoNormalNegritaCaracter"/>
        </w:rPr>
        <w:t>Derecho a ser informado de la acusación</w:t>
      </w:r>
      <w:bookmarkEnd w:id="942"/>
      <w:r w:rsidRPr="0050129A">
        <w:rPr>
          <w:rStyle w:val="TextoNormalCaracter"/>
        </w:rPr>
        <w:t xml:space="preserve">, Sentencia </w:t>
      </w:r>
      <w:hyperlink w:anchor="SENTENCIA_2008_32" w:history="1">
        <w:r w:rsidRPr="0050129A">
          <w:rPr>
            <w:rStyle w:val="TextoNormalCaracter"/>
          </w:rPr>
          <w:t>32/2008</w:t>
        </w:r>
      </w:hyperlink>
      <w:r w:rsidRPr="0050129A">
        <w:rPr>
          <w:rStyle w:val="TextoNormalCaracter"/>
        </w:rPr>
        <w:t>, f. 2.</w:t>
      </w:r>
    </w:p>
    <w:p w:rsidR="0050129A" w:rsidRPr="0050129A" w:rsidRDefault="0050129A" w:rsidP="0050129A">
      <w:pPr>
        <w:pStyle w:val="TextoNormalSangraFrancesa"/>
        <w:rPr>
          <w:rStyle w:val="TextoNormalCaracter"/>
        </w:rPr>
      </w:pPr>
      <w:bookmarkStart w:id="943" w:name="DESCRIPTORALFABETICO114"/>
      <w:r w:rsidRPr="0050129A">
        <w:rPr>
          <w:rStyle w:val="TextoNormalNegritaCaracter"/>
        </w:rPr>
        <w:t>Derecho a ser oído</w:t>
      </w:r>
      <w:bookmarkEnd w:id="943"/>
      <w:r w:rsidRPr="0050129A">
        <w:rPr>
          <w:rStyle w:val="TextoNormalCaracter"/>
        </w:rPr>
        <w:t xml:space="preserve">, Sentencia </w:t>
      </w:r>
      <w:hyperlink w:anchor="SENTENCIA_2008_22" w:history="1">
        <w:r w:rsidRPr="0050129A">
          <w:rPr>
            <w:rStyle w:val="TextoNormalCaracter"/>
          </w:rPr>
          <w:t>22/2008</w:t>
        </w:r>
      </w:hyperlink>
      <w:r w:rsidRPr="0050129A">
        <w:rPr>
          <w:rStyle w:val="TextoNormalCaracter"/>
        </w:rPr>
        <w:t>, ff. 6, 7.</w:t>
      </w:r>
    </w:p>
    <w:p w:rsidR="0050129A" w:rsidRPr="0050129A" w:rsidRDefault="0050129A" w:rsidP="0050129A">
      <w:pPr>
        <w:pStyle w:val="TextoNormalSangraFrancesa"/>
        <w:rPr>
          <w:rStyle w:val="TextoNormalCaracter"/>
        </w:rPr>
      </w:pPr>
      <w:bookmarkStart w:id="944" w:name="DESCRIPTORALFABETICO117"/>
      <w:r w:rsidRPr="0050129A">
        <w:rPr>
          <w:rStyle w:val="TextoNormalNegritaCaracter"/>
        </w:rPr>
        <w:t>Derecho a un juez imparcial</w:t>
      </w:r>
      <w:bookmarkEnd w:id="944"/>
      <w:r w:rsidRPr="0050129A">
        <w:rPr>
          <w:rStyle w:val="TextoNormalCaracter"/>
        </w:rPr>
        <w:t xml:space="preserve">, Sentencia </w:t>
      </w:r>
      <w:hyperlink w:anchor="SENTENCIA_2008_11" w:history="1">
        <w:r w:rsidRPr="0050129A">
          <w:rPr>
            <w:rStyle w:val="TextoNormalCaracter"/>
          </w:rPr>
          <w:t>11/2008</w:t>
        </w:r>
      </w:hyperlink>
      <w:r w:rsidRPr="0050129A">
        <w:rPr>
          <w:rStyle w:val="TextoNormalCaracter"/>
        </w:rPr>
        <w:t>, f. 4.</w:t>
      </w:r>
    </w:p>
    <w:p w:rsidR="0050129A" w:rsidRPr="0050129A" w:rsidRDefault="0050129A" w:rsidP="0050129A">
      <w:pPr>
        <w:pStyle w:val="TextoNormalSangraFrancesa"/>
        <w:rPr>
          <w:rStyle w:val="TextoNormalCaracter"/>
        </w:rPr>
      </w:pPr>
      <w:bookmarkStart w:id="945" w:name="DESCRIPTORALFABETICO108"/>
      <w:r w:rsidRPr="0050129A">
        <w:rPr>
          <w:rStyle w:val="TextoNormalNegritaCaracter"/>
        </w:rPr>
        <w:t>Derecho a un proceso con todas las garantías</w:t>
      </w:r>
      <w:bookmarkEnd w:id="945"/>
      <w:r w:rsidRPr="0050129A">
        <w:rPr>
          <w:rStyle w:val="TextoNormalCaracter"/>
        </w:rPr>
        <w:t xml:space="preserve">, Sentencias </w:t>
      </w:r>
      <w:hyperlink w:anchor="SENTENCIA_2008_23" w:history="1">
        <w:r w:rsidRPr="0050129A">
          <w:rPr>
            <w:rStyle w:val="TextoNormalCaracter"/>
          </w:rPr>
          <w:t>23/2008</w:t>
        </w:r>
      </w:hyperlink>
      <w:r w:rsidRPr="0050129A">
        <w:rPr>
          <w:rStyle w:val="TextoNormalCaracter"/>
        </w:rPr>
        <w:t xml:space="preserve">, ff. 2 a 5; </w:t>
      </w:r>
      <w:hyperlink w:anchor="SENTENCIA_2008_28" w:history="1">
        <w:r w:rsidRPr="0050129A">
          <w:rPr>
            <w:rStyle w:val="TextoNormalCaracter"/>
          </w:rPr>
          <w:t>28/2008</w:t>
        </w:r>
      </w:hyperlink>
      <w:r w:rsidRPr="0050129A">
        <w:rPr>
          <w:rStyle w:val="TextoNormalCaracter"/>
        </w:rPr>
        <w:t xml:space="preserve">, f. 2; </w:t>
      </w:r>
      <w:hyperlink w:anchor="SENTENCIA_2008_36" w:history="1">
        <w:r w:rsidRPr="0050129A">
          <w:rPr>
            <w:rStyle w:val="TextoNormalCaracter"/>
          </w:rPr>
          <w:t>36/2008</w:t>
        </w:r>
      </w:hyperlink>
      <w:r w:rsidRPr="0050129A">
        <w:rPr>
          <w:rStyle w:val="TextoNormalCaracter"/>
        </w:rPr>
        <w:t>, f. 5.</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48" w:history="1">
        <w:r w:rsidRPr="0050129A">
          <w:rPr>
            <w:rStyle w:val="TextoNormalCaracter"/>
          </w:rPr>
          <w:t>48/2008</w:t>
        </w:r>
      </w:hyperlink>
      <w:r w:rsidRPr="0050129A">
        <w:rPr>
          <w:rStyle w:val="TextoNormalCaracter"/>
        </w:rPr>
        <w:t>, ff. 2, 4 a 6.</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Sentencias </w:t>
      </w:r>
      <w:hyperlink w:anchor="SENTENCIA_2008_28" w:history="1">
        <w:r w:rsidRPr="0050129A">
          <w:rPr>
            <w:rStyle w:val="TextoNormalCaracter"/>
          </w:rPr>
          <w:t>28/2008</w:t>
        </w:r>
      </w:hyperlink>
      <w:r w:rsidRPr="0050129A">
        <w:rPr>
          <w:rStyle w:val="TextoNormalCaracter"/>
        </w:rPr>
        <w:t xml:space="preserve">, f. 3; </w:t>
      </w:r>
      <w:hyperlink w:anchor="SENTENCIA_2008_29" w:history="1">
        <w:r w:rsidRPr="0050129A">
          <w:rPr>
            <w:rStyle w:val="TextoNormalCaracter"/>
          </w:rPr>
          <w:t>29/2008</w:t>
        </w:r>
      </w:hyperlink>
      <w:r w:rsidRPr="0050129A">
        <w:rPr>
          <w:rStyle w:val="TextoNormalCaracter"/>
        </w:rPr>
        <w:t xml:space="preserve">, f. 3 a); </w:t>
      </w:r>
      <w:hyperlink w:anchor="SENTENCIA_2008_48" w:history="1">
        <w:r w:rsidRPr="0050129A">
          <w:rPr>
            <w:rStyle w:val="TextoNormalCaracter"/>
          </w:rPr>
          <w:t>48/2008</w:t>
        </w:r>
      </w:hyperlink>
      <w:r w:rsidRPr="0050129A">
        <w:rPr>
          <w:rStyle w:val="TextoNormalCaracter"/>
        </w:rPr>
        <w:t>, ff. 2, 6.</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Sentencias </w:t>
      </w:r>
      <w:hyperlink w:anchor="SENTENCIA_2008_28" w:history="1">
        <w:r w:rsidRPr="0050129A">
          <w:rPr>
            <w:rStyle w:val="TextoNormalCaracter"/>
          </w:rPr>
          <w:t>28/2008</w:t>
        </w:r>
      </w:hyperlink>
      <w:r w:rsidRPr="0050129A">
        <w:rPr>
          <w:rStyle w:val="TextoNormalCaracter"/>
        </w:rPr>
        <w:t xml:space="preserve">, ff. 2, 3; </w:t>
      </w:r>
      <w:hyperlink w:anchor="SENTENCIA_2008_36" w:history="1">
        <w:r w:rsidRPr="0050129A">
          <w:rPr>
            <w:rStyle w:val="TextoNormalCaracter"/>
          </w:rPr>
          <w:t>36/2008</w:t>
        </w:r>
      </w:hyperlink>
      <w:r w:rsidRPr="0050129A">
        <w:rPr>
          <w:rStyle w:val="TextoNormalCaracter"/>
        </w:rPr>
        <w:t>, f. 5.</w:t>
      </w:r>
    </w:p>
    <w:p w:rsidR="0050129A" w:rsidRPr="0050129A" w:rsidRDefault="0050129A" w:rsidP="0050129A">
      <w:pPr>
        <w:pStyle w:val="TextoNormalSangraFrancesa"/>
        <w:rPr>
          <w:rStyle w:val="TextoNormalCaracter"/>
        </w:rPr>
      </w:pPr>
      <w:bookmarkStart w:id="946" w:name="DESCRIPTORALFABETICO119"/>
      <w:r w:rsidRPr="0050129A">
        <w:rPr>
          <w:rStyle w:val="TextoNormalNegritaCaracter"/>
        </w:rPr>
        <w:t>Derecho a un proceso sin dilaciones indebidas</w:t>
      </w:r>
      <w:bookmarkEnd w:id="946"/>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Derecho a utilizar los medios de prueba pertinentes</w:t>
      </w:r>
      <w:r>
        <w:t xml:space="preserve"> véase </w:t>
      </w:r>
      <w:hyperlink w:anchor="DESCRIPTORALFABETICO115" w:history="1">
        <w:r w:rsidRPr="0050129A">
          <w:rPr>
            <w:rStyle w:val="TextoNormalNegritaCaracter"/>
          </w:rPr>
          <w:t>Derecho a la prueba</w:t>
        </w:r>
      </w:hyperlink>
    </w:p>
    <w:p w:rsidR="0050129A" w:rsidRPr="0050129A" w:rsidRDefault="0050129A" w:rsidP="0050129A">
      <w:pPr>
        <w:pStyle w:val="TextoNormalSangraFrancesa"/>
        <w:rPr>
          <w:rStyle w:val="TextoNormalCaracter"/>
        </w:rPr>
      </w:pPr>
      <w:bookmarkStart w:id="947" w:name="DESCRIPTORALFABETICO123"/>
      <w:r w:rsidRPr="0050129A">
        <w:rPr>
          <w:rStyle w:val="TextoNormalNegritaCaracter"/>
        </w:rPr>
        <w:t>Derecho al honor</w:t>
      </w:r>
      <w:bookmarkEnd w:id="947"/>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ff. 3, 5, 6, 7.</w:t>
      </w:r>
    </w:p>
    <w:p w:rsidR="0050129A" w:rsidRPr="0050129A" w:rsidRDefault="0050129A" w:rsidP="0050129A">
      <w:pPr>
        <w:pStyle w:val="TextoNormalSangraFrancesa"/>
        <w:rPr>
          <w:rStyle w:val="TextoNormalCaracter"/>
        </w:rPr>
      </w:pPr>
      <w:r w:rsidRPr="0050129A">
        <w:rPr>
          <w:rStyle w:val="TextoNormalCursivaCaracter"/>
        </w:rPr>
        <w:lastRenderedPageBreak/>
        <w:t xml:space="preserve">    Doctrina constitucional, </w:t>
      </w:r>
      <w:r w:rsidRPr="0050129A">
        <w:rPr>
          <w:rStyle w:val="TextoNormalCaracter"/>
        </w:rPr>
        <w:t xml:space="preserve">Sentencia </w:t>
      </w:r>
      <w:hyperlink w:anchor="SENTENCIA_2008_51" w:history="1">
        <w:r w:rsidRPr="0050129A">
          <w:rPr>
            <w:rStyle w:val="TextoNormalCaracter"/>
          </w:rPr>
          <w:t>51/2008</w:t>
        </w:r>
      </w:hyperlink>
      <w:r w:rsidRPr="0050129A">
        <w:rPr>
          <w:rStyle w:val="TextoNormalCaracter"/>
        </w:rPr>
        <w:t>, f. 3.</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51" w:history="1">
        <w:r w:rsidRPr="0050129A">
          <w:rPr>
            <w:rStyle w:val="TextoNormalCaracter"/>
          </w:rPr>
          <w:t>51/2008</w:t>
        </w:r>
      </w:hyperlink>
      <w:r w:rsidRPr="0050129A">
        <w:rPr>
          <w:rStyle w:val="TextoNormalCaracter"/>
        </w:rPr>
        <w:t>, ff. 6, 7.</w:t>
      </w:r>
    </w:p>
    <w:p w:rsidR="0050129A" w:rsidRPr="0050129A" w:rsidRDefault="0050129A" w:rsidP="0050129A">
      <w:pPr>
        <w:pStyle w:val="TextoNormalSangraFrancesa"/>
        <w:rPr>
          <w:rStyle w:val="TextoNormalCaracter"/>
        </w:rPr>
      </w:pPr>
      <w:bookmarkStart w:id="948" w:name="DESCRIPTORALFABETICO76"/>
      <w:r w:rsidRPr="0050129A">
        <w:rPr>
          <w:rStyle w:val="TextoNormalNegritaCaracter"/>
        </w:rPr>
        <w:t>Derecho al recurso legal</w:t>
      </w:r>
      <w:bookmarkEnd w:id="948"/>
      <w:r w:rsidRPr="0050129A">
        <w:rPr>
          <w:rStyle w:val="TextoNormalCaracter"/>
        </w:rPr>
        <w:t xml:space="preserve">, Sentencia </w:t>
      </w:r>
      <w:hyperlink w:anchor="SENTENCIA_2008_55" w:history="1">
        <w:r w:rsidRPr="0050129A">
          <w:rPr>
            <w:rStyle w:val="TextoNormalCaracter"/>
          </w:rPr>
          <w:t>55/2008</w:t>
        </w:r>
      </w:hyperlink>
      <w:r w:rsidRPr="0050129A">
        <w:rPr>
          <w:rStyle w:val="TextoNormalCaracter"/>
        </w:rPr>
        <w:t>, f. 4.</w:t>
      </w:r>
    </w:p>
    <w:p w:rsidR="0050129A" w:rsidRPr="0050129A" w:rsidRDefault="0050129A" w:rsidP="0050129A">
      <w:pPr>
        <w:pStyle w:val="TextoNormalSangraFrancesa"/>
        <w:rPr>
          <w:rStyle w:val="TextoNormalCaracter"/>
        </w:rPr>
      </w:pPr>
      <w:bookmarkStart w:id="949" w:name="DESCRIPTORALFABETICO367"/>
      <w:r w:rsidRPr="0050129A">
        <w:rPr>
          <w:rStyle w:val="TextoNormalNegritaCaracter"/>
        </w:rPr>
        <w:t>Derecho comparado</w:t>
      </w:r>
      <w:bookmarkEnd w:id="949"/>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2.</w:t>
      </w:r>
    </w:p>
    <w:p w:rsidR="0050129A" w:rsidRPr="0050129A" w:rsidRDefault="0050129A" w:rsidP="0050129A">
      <w:pPr>
        <w:pStyle w:val="TextoNormalSangraFrancesa"/>
        <w:rPr>
          <w:rStyle w:val="TextoNormalNegritaCaracter"/>
        </w:rPr>
      </w:pPr>
      <w:r w:rsidRPr="0050129A">
        <w:rPr>
          <w:rStyle w:val="TextoNormalCursivaCaracter"/>
        </w:rPr>
        <w:t>Derecho comunitario</w:t>
      </w:r>
      <w:r>
        <w:t xml:space="preserve"> véase </w:t>
      </w:r>
      <w:hyperlink w:anchor="DESCRIPTORALFABETICO368" w:history="1">
        <w:r w:rsidRPr="0050129A">
          <w:rPr>
            <w:rStyle w:val="TextoNormalNegritaCaracter"/>
          </w:rPr>
          <w:t>Derecho de la Unión Europea</w:t>
        </w:r>
      </w:hyperlink>
    </w:p>
    <w:p w:rsidR="0050129A" w:rsidRPr="0050129A" w:rsidRDefault="0050129A" w:rsidP="0050129A">
      <w:pPr>
        <w:pStyle w:val="TextoNormalSangraFrancesa"/>
        <w:rPr>
          <w:rStyle w:val="TextoNormalCaracter"/>
        </w:rPr>
      </w:pPr>
      <w:bookmarkStart w:id="950" w:name="DESCRIPTORALFABETICO368"/>
      <w:r w:rsidRPr="0050129A">
        <w:rPr>
          <w:rStyle w:val="TextoNormalNegritaCaracter"/>
        </w:rPr>
        <w:t>Derecho de la Unión Europea</w:t>
      </w:r>
      <w:bookmarkEnd w:id="950"/>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2.</w:t>
      </w:r>
    </w:p>
    <w:p w:rsidR="0050129A" w:rsidRPr="0050129A" w:rsidRDefault="0050129A" w:rsidP="0050129A">
      <w:pPr>
        <w:pStyle w:val="TextoNormalSangraFrancesa"/>
        <w:rPr>
          <w:rStyle w:val="TextoNormalCaracter"/>
        </w:rPr>
      </w:pPr>
      <w:bookmarkStart w:id="951" w:name="DESCRIPTORALFABETICO369"/>
      <w:r w:rsidRPr="0050129A">
        <w:rPr>
          <w:rStyle w:val="TextoNormalNegritaCaracter"/>
        </w:rPr>
        <w:t>Derecho de la Unión Europea no es canon de constitucionalidad autónomo</w:t>
      </w:r>
      <w:bookmarkEnd w:id="951"/>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2.</w:t>
      </w:r>
    </w:p>
    <w:p w:rsidR="0050129A" w:rsidRPr="0050129A" w:rsidRDefault="0050129A" w:rsidP="0050129A">
      <w:pPr>
        <w:pStyle w:val="TextoNormalSangraFrancesa"/>
        <w:rPr>
          <w:rStyle w:val="TextoNormalNegritaCaracter"/>
        </w:rPr>
      </w:pPr>
      <w:r w:rsidRPr="0050129A">
        <w:rPr>
          <w:rStyle w:val="TextoNormalCursivaCaracter"/>
        </w:rPr>
        <w:t>Derecho del acusado a ser oído</w:t>
      </w:r>
      <w:r>
        <w:t xml:space="preserve"> véase </w:t>
      </w:r>
      <w:hyperlink w:anchor="DESCRIPTORALFABETICO114" w:history="1">
        <w:r w:rsidRPr="0050129A">
          <w:rPr>
            <w:rStyle w:val="TextoNormalNegritaCaracter"/>
          </w:rPr>
          <w:t>Derecho a ser oído</w:t>
        </w:r>
      </w:hyperlink>
    </w:p>
    <w:p w:rsidR="0050129A" w:rsidRPr="0050129A" w:rsidRDefault="0050129A" w:rsidP="0050129A">
      <w:pPr>
        <w:pStyle w:val="TextoNormalSangraFrancesa"/>
        <w:rPr>
          <w:rStyle w:val="TextoNormalCaracter"/>
        </w:rPr>
      </w:pPr>
      <w:bookmarkStart w:id="952" w:name="DESCRIPTORALFABETICO16"/>
      <w:r w:rsidRPr="0050129A">
        <w:rPr>
          <w:rStyle w:val="TextoNormalNegritaCaracter"/>
        </w:rPr>
        <w:t>Derecho electoral</w:t>
      </w:r>
      <w:bookmarkEnd w:id="952"/>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8.</w:t>
      </w:r>
    </w:p>
    <w:p w:rsidR="0050129A" w:rsidRPr="0050129A" w:rsidRDefault="0050129A" w:rsidP="0050129A">
      <w:pPr>
        <w:pStyle w:val="TextoNormalSangraFrancesa"/>
        <w:rPr>
          <w:rStyle w:val="TextoNormalCaracter"/>
        </w:rPr>
      </w:pPr>
      <w:bookmarkStart w:id="953" w:name="DESCRIPTORALFABETICO418"/>
      <w:r w:rsidRPr="0050129A">
        <w:rPr>
          <w:rStyle w:val="TextoNormalNegritaCaracter"/>
        </w:rPr>
        <w:t>Derechos de los reclusos</w:t>
      </w:r>
      <w:bookmarkEnd w:id="953"/>
      <w:r w:rsidRPr="0050129A">
        <w:rPr>
          <w:rStyle w:val="TextoNormalCaracter"/>
        </w:rPr>
        <w:t xml:space="preserve">, Sentencia </w:t>
      </w:r>
      <w:hyperlink w:anchor="SENTENCIA_2008_42" w:history="1">
        <w:r w:rsidRPr="0050129A">
          <w:rPr>
            <w:rStyle w:val="TextoNormalCaracter"/>
          </w:rPr>
          <w:t>42/2008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954" w:name="DESCRIPTORALFABETICO140"/>
      <w:r w:rsidRPr="0050129A">
        <w:rPr>
          <w:rStyle w:val="TextoNormalNegritaCaracter"/>
        </w:rPr>
        <w:t>Derechos fundamentales personalísimos</w:t>
      </w:r>
      <w:bookmarkEnd w:id="954"/>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ff. 6, 7.</w:t>
      </w:r>
    </w:p>
    <w:p w:rsidR="0050129A" w:rsidRPr="0050129A" w:rsidRDefault="0050129A" w:rsidP="0050129A">
      <w:pPr>
        <w:pStyle w:val="TextoNormalSangraFrancesa"/>
        <w:rPr>
          <w:rStyle w:val="TextoNormalCaracter"/>
        </w:rPr>
      </w:pPr>
      <w:bookmarkStart w:id="955" w:name="DESCRIPTORALFABETICO244"/>
      <w:r w:rsidRPr="0050129A">
        <w:rPr>
          <w:rStyle w:val="TextoNormalNegritaCaracter"/>
        </w:rPr>
        <w:t>Desestimación de incidente de ejecución de sentencias de amparo</w:t>
      </w:r>
      <w:bookmarkEnd w:id="955"/>
      <w:r w:rsidRPr="0050129A">
        <w:rPr>
          <w:rStyle w:val="TextoNormalCaracter"/>
        </w:rPr>
        <w:t xml:space="preserve">, Auto </w:t>
      </w:r>
      <w:hyperlink w:anchor="AUTO_2008_90" w:history="1">
        <w:r w:rsidRPr="0050129A">
          <w:rPr>
            <w:rStyle w:val="TextoNormalCaracter"/>
          </w:rPr>
          <w:t>90/2008</w:t>
        </w:r>
      </w:hyperlink>
      <w:r w:rsidRPr="0050129A">
        <w:rPr>
          <w:rStyle w:val="TextoNormalCaracter"/>
        </w:rPr>
        <w:t>.</w:t>
      </w:r>
    </w:p>
    <w:p w:rsidR="0050129A" w:rsidRPr="0050129A" w:rsidRDefault="0050129A" w:rsidP="0050129A">
      <w:pPr>
        <w:pStyle w:val="TextoNormalSangraFrancesa"/>
        <w:rPr>
          <w:rStyle w:val="TextoNormalCaracter"/>
        </w:rPr>
      </w:pPr>
      <w:bookmarkStart w:id="956" w:name="DESCRIPTORALFABETICO187"/>
      <w:r w:rsidRPr="0050129A">
        <w:rPr>
          <w:rStyle w:val="TextoNormalNegritaCaracter"/>
        </w:rPr>
        <w:t>Desestimación de recurso de súplica contra Autos del Tribunal Constitucional</w:t>
      </w:r>
      <w:bookmarkEnd w:id="956"/>
      <w:r w:rsidRPr="0050129A">
        <w:rPr>
          <w:rStyle w:val="TextoNormalCaracter"/>
        </w:rPr>
        <w:t xml:space="preserve">, Autos </w:t>
      </w:r>
      <w:hyperlink w:anchor="AUTO_2008_31" w:history="1">
        <w:r w:rsidRPr="0050129A">
          <w:rPr>
            <w:rStyle w:val="TextoNormalCaracter"/>
          </w:rPr>
          <w:t>31/2008</w:t>
        </w:r>
      </w:hyperlink>
      <w:r w:rsidRPr="0050129A">
        <w:rPr>
          <w:rStyle w:val="TextoNormalCaracter"/>
        </w:rPr>
        <w:t xml:space="preserve">; </w:t>
      </w:r>
      <w:hyperlink w:anchor="AUTO_2008_86" w:history="1">
        <w:r w:rsidRPr="0050129A">
          <w:rPr>
            <w:rStyle w:val="TextoNormalCaracter"/>
          </w:rPr>
          <w:t>86/2008</w:t>
        </w:r>
      </w:hyperlink>
      <w:r w:rsidRPr="0050129A">
        <w:rPr>
          <w:rStyle w:val="TextoNormalCaracter"/>
        </w:rPr>
        <w:t>.</w:t>
      </w:r>
    </w:p>
    <w:p w:rsidR="0050129A" w:rsidRPr="0050129A" w:rsidRDefault="0050129A" w:rsidP="0050129A">
      <w:pPr>
        <w:pStyle w:val="TextoNormalSangraFrancesa"/>
        <w:rPr>
          <w:rStyle w:val="TextoNormalCaracter"/>
        </w:rPr>
      </w:pPr>
      <w:bookmarkStart w:id="957" w:name="DESCRIPTORALFABETICO189"/>
      <w:r w:rsidRPr="0050129A">
        <w:rPr>
          <w:rStyle w:val="TextoNormalNegritaCaracter"/>
        </w:rPr>
        <w:t>Desestimación de recurso de súplica contra providencias de inadmisión del Tribunal Constitucional</w:t>
      </w:r>
      <w:bookmarkEnd w:id="957"/>
      <w:r w:rsidRPr="0050129A">
        <w:rPr>
          <w:rStyle w:val="TextoNormalCaracter"/>
        </w:rPr>
        <w:t xml:space="preserve">, Autos </w:t>
      </w:r>
      <w:hyperlink w:anchor="AUTO_2008_2" w:history="1">
        <w:r w:rsidRPr="0050129A">
          <w:rPr>
            <w:rStyle w:val="TextoNormalCaracter"/>
          </w:rPr>
          <w:t>2/2008</w:t>
        </w:r>
      </w:hyperlink>
      <w:r w:rsidRPr="0050129A">
        <w:rPr>
          <w:rStyle w:val="TextoNormalCaracter"/>
        </w:rPr>
        <w:t xml:space="preserve">; </w:t>
      </w:r>
      <w:hyperlink w:anchor="AUTO_2008_38" w:history="1">
        <w:r w:rsidRPr="0050129A">
          <w:rPr>
            <w:rStyle w:val="TextoNormalCaracter"/>
          </w:rPr>
          <w:t>38/2008</w:t>
        </w:r>
      </w:hyperlink>
      <w:r w:rsidRPr="0050129A">
        <w:rPr>
          <w:rStyle w:val="TextoNormalCaracter"/>
        </w:rPr>
        <w:t xml:space="preserve">; </w:t>
      </w:r>
      <w:hyperlink w:anchor="AUTO_2008_46" w:history="1">
        <w:r w:rsidRPr="0050129A">
          <w:rPr>
            <w:rStyle w:val="TextoNormalCaracter"/>
          </w:rPr>
          <w:t>46/2008</w:t>
        </w:r>
      </w:hyperlink>
      <w:r w:rsidRPr="0050129A">
        <w:rPr>
          <w:rStyle w:val="TextoNormalCaracter"/>
        </w:rPr>
        <w:t xml:space="preserve">; </w:t>
      </w:r>
      <w:hyperlink w:anchor="AUTO_2008_47" w:history="1">
        <w:r w:rsidRPr="0050129A">
          <w:rPr>
            <w:rStyle w:val="TextoNormalCaracter"/>
          </w:rPr>
          <w:t>47/2008</w:t>
        </w:r>
      </w:hyperlink>
      <w:r w:rsidRPr="0050129A">
        <w:rPr>
          <w:rStyle w:val="TextoNormalCaracter"/>
        </w:rPr>
        <w:t xml:space="preserve">; </w:t>
      </w:r>
      <w:hyperlink w:anchor="AUTO_2008_48" w:history="1">
        <w:r w:rsidRPr="0050129A">
          <w:rPr>
            <w:rStyle w:val="TextoNormalCaracter"/>
          </w:rPr>
          <w:t>48/2008</w:t>
        </w:r>
      </w:hyperlink>
      <w:r w:rsidRPr="0050129A">
        <w:rPr>
          <w:rStyle w:val="TextoNormalCaracter"/>
        </w:rPr>
        <w:t xml:space="preserve">; </w:t>
      </w:r>
      <w:hyperlink w:anchor="AUTO_2008_63" w:history="1">
        <w:r w:rsidRPr="0050129A">
          <w:rPr>
            <w:rStyle w:val="TextoNormalCaracter"/>
          </w:rPr>
          <w:t>63/2008</w:t>
        </w:r>
      </w:hyperlink>
      <w:r w:rsidRPr="0050129A">
        <w:rPr>
          <w:rStyle w:val="TextoNormalCaracter"/>
        </w:rPr>
        <w:t>.</w:t>
      </w:r>
    </w:p>
    <w:p w:rsidR="0050129A" w:rsidRPr="0050129A" w:rsidRDefault="0050129A" w:rsidP="0050129A">
      <w:pPr>
        <w:pStyle w:val="TextoNormalSangraFrancesa"/>
        <w:rPr>
          <w:rStyle w:val="TextoNormalCaracter"/>
        </w:rPr>
      </w:pPr>
      <w:bookmarkStart w:id="958" w:name="DESCRIPTORALFABETICO257"/>
      <w:r w:rsidRPr="0050129A">
        <w:rPr>
          <w:rStyle w:val="TextoNormalNegritaCaracter"/>
        </w:rPr>
        <w:t>Designación de magistrados del Tribunal Constitucional</w:t>
      </w:r>
      <w:bookmarkEnd w:id="958"/>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7 a 17, VP I, VP II, VP III.</w:t>
      </w:r>
    </w:p>
    <w:p w:rsidR="0050129A" w:rsidRPr="0050129A" w:rsidRDefault="0050129A" w:rsidP="0050129A">
      <w:pPr>
        <w:pStyle w:val="TextoNormalSangraFrancesa"/>
        <w:rPr>
          <w:rStyle w:val="TextoNormalCaracter"/>
        </w:rPr>
      </w:pPr>
      <w:bookmarkStart w:id="959" w:name="DESCRIPTORALFABETICO510"/>
      <w:r w:rsidRPr="0050129A">
        <w:rPr>
          <w:rStyle w:val="TextoNormalNegritaCaracter"/>
        </w:rPr>
        <w:t>Designación de procurador de oficio</w:t>
      </w:r>
      <w:bookmarkEnd w:id="959"/>
      <w:r w:rsidRPr="0050129A">
        <w:rPr>
          <w:rStyle w:val="TextoNormalCaracter"/>
        </w:rPr>
        <w:t xml:space="preserve">, Sentencia </w:t>
      </w:r>
      <w:hyperlink w:anchor="SENTENCIA_2008_55" w:history="1">
        <w:r w:rsidRPr="0050129A">
          <w:rPr>
            <w:rStyle w:val="TextoNormalCaracter"/>
          </w:rPr>
          <w:t>55/2008</w:t>
        </w:r>
      </w:hyperlink>
      <w:r w:rsidRPr="0050129A">
        <w:rPr>
          <w:rStyle w:val="TextoNormalCaracter"/>
        </w:rPr>
        <w:t>, f. 4.</w:t>
      </w:r>
    </w:p>
    <w:p w:rsidR="0050129A" w:rsidRPr="0050129A" w:rsidRDefault="0050129A" w:rsidP="0050129A">
      <w:pPr>
        <w:pStyle w:val="TextoNormalSangraFrancesa"/>
        <w:rPr>
          <w:rStyle w:val="TextoNormalCaracter"/>
        </w:rPr>
      </w:pPr>
      <w:bookmarkStart w:id="960" w:name="DESCRIPTORALFABETICO191"/>
      <w:r w:rsidRPr="0050129A">
        <w:rPr>
          <w:rStyle w:val="TextoNormalNegritaCaracter"/>
        </w:rPr>
        <w:t>Desistimiento en el recurso de amparo</w:t>
      </w:r>
      <w:bookmarkEnd w:id="960"/>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Procedencia, </w:t>
      </w:r>
      <w:r w:rsidRPr="0050129A">
        <w:rPr>
          <w:rStyle w:val="TextoNormalCaracter"/>
        </w:rPr>
        <w:t xml:space="preserve">Auto </w:t>
      </w:r>
      <w:hyperlink w:anchor="AUTO_2008_34" w:history="1">
        <w:r w:rsidRPr="0050129A">
          <w:rPr>
            <w:rStyle w:val="TextoNormalCaracter"/>
          </w:rPr>
          <w:t>34/2008</w:t>
        </w:r>
      </w:hyperlink>
      <w:r w:rsidRPr="0050129A">
        <w:rPr>
          <w:rStyle w:val="TextoNormalCaracter"/>
        </w:rPr>
        <w:t>.</w:t>
      </w:r>
    </w:p>
    <w:p w:rsidR="0050129A" w:rsidRPr="0050129A" w:rsidRDefault="0050129A" w:rsidP="0050129A">
      <w:pPr>
        <w:pStyle w:val="TextoNormalSangraFrancesa"/>
        <w:rPr>
          <w:rStyle w:val="TextoNormalCaracter"/>
        </w:rPr>
      </w:pPr>
      <w:bookmarkStart w:id="961" w:name="DESCRIPTORALFABETICO193"/>
      <w:r w:rsidRPr="0050129A">
        <w:rPr>
          <w:rStyle w:val="TextoNormalNegritaCaracter"/>
        </w:rPr>
        <w:t>Desistimiento en el recurso de inconstitucionalidad</w:t>
      </w:r>
      <w:bookmarkEnd w:id="961"/>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Procedencia, </w:t>
      </w:r>
      <w:r w:rsidRPr="0050129A">
        <w:rPr>
          <w:rStyle w:val="TextoNormalCaracter"/>
        </w:rPr>
        <w:t xml:space="preserve">Autos </w:t>
      </w:r>
      <w:hyperlink w:anchor="AUTO_2008_22" w:history="1">
        <w:r w:rsidRPr="0050129A">
          <w:rPr>
            <w:rStyle w:val="TextoNormalCaracter"/>
          </w:rPr>
          <w:t>22/2008</w:t>
        </w:r>
      </w:hyperlink>
      <w:r w:rsidRPr="0050129A">
        <w:rPr>
          <w:rStyle w:val="TextoNormalCaracter"/>
        </w:rPr>
        <w:t xml:space="preserve">; </w:t>
      </w:r>
      <w:hyperlink w:anchor="AUTO_2008_79" w:history="1">
        <w:r w:rsidRPr="0050129A">
          <w:rPr>
            <w:rStyle w:val="TextoNormalCaracter"/>
          </w:rPr>
          <w:t>79/2008</w:t>
        </w:r>
      </w:hyperlink>
      <w:r w:rsidRPr="0050129A">
        <w:rPr>
          <w:rStyle w:val="TextoNormalCaracter"/>
        </w:rPr>
        <w:t>.</w:t>
      </w:r>
    </w:p>
    <w:p w:rsidR="0050129A" w:rsidRPr="0050129A" w:rsidRDefault="0050129A" w:rsidP="0050129A">
      <w:pPr>
        <w:pStyle w:val="TextoNormalSangraFrancesa"/>
        <w:rPr>
          <w:rStyle w:val="TextoNormalCaracter"/>
        </w:rPr>
      </w:pPr>
      <w:bookmarkStart w:id="962" w:name="DESCRIPTORALFABETICO435"/>
      <w:r w:rsidRPr="0050129A">
        <w:rPr>
          <w:rStyle w:val="TextoNormalNegritaCaracter"/>
        </w:rPr>
        <w:t>Despido</w:t>
      </w:r>
      <w:bookmarkEnd w:id="962"/>
      <w:r w:rsidRPr="0050129A">
        <w:rPr>
          <w:rStyle w:val="TextoNormalCaracter"/>
        </w:rPr>
        <w:t xml:space="preserve">, Autos </w:t>
      </w:r>
      <w:hyperlink w:anchor="AUTO_2008_2" w:history="1">
        <w:r w:rsidRPr="0050129A">
          <w:rPr>
            <w:rStyle w:val="TextoNormalCaracter"/>
          </w:rPr>
          <w:t>2/2008</w:t>
        </w:r>
      </w:hyperlink>
      <w:r w:rsidRPr="0050129A">
        <w:rPr>
          <w:rStyle w:val="TextoNormalCaracter"/>
        </w:rPr>
        <w:t xml:space="preserve">; </w:t>
      </w:r>
      <w:hyperlink w:anchor="AUTO_2008_77" w:history="1">
        <w:r w:rsidRPr="0050129A">
          <w:rPr>
            <w:rStyle w:val="TextoNormalCaracter"/>
          </w:rPr>
          <w:t>77/2008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Despido contrario a la libertad de expresión</w:t>
      </w:r>
      <w:r>
        <w:t xml:space="preserve"> véase </w:t>
      </w:r>
      <w:hyperlink w:anchor="DESCRIPTORALFABETICO437" w:history="1">
        <w:r w:rsidRPr="0050129A">
          <w:rPr>
            <w:rStyle w:val="TextoNormalNegritaCaracter"/>
          </w:rPr>
          <w:t>Despido lesivo a la libertad de expresión</w:t>
        </w:r>
      </w:hyperlink>
    </w:p>
    <w:p w:rsidR="0050129A" w:rsidRPr="0050129A" w:rsidRDefault="0050129A" w:rsidP="0050129A">
      <w:pPr>
        <w:pStyle w:val="TextoNormalSangraFrancesa"/>
        <w:rPr>
          <w:rStyle w:val="TextoNormalCaracter"/>
        </w:rPr>
      </w:pPr>
      <w:bookmarkStart w:id="963" w:name="DESCRIPTORALFABETICO437"/>
      <w:r w:rsidRPr="0050129A">
        <w:rPr>
          <w:rStyle w:val="TextoNormalNegritaCaracter"/>
        </w:rPr>
        <w:t>Despido lesivo a la libertad de expresión</w:t>
      </w:r>
      <w:bookmarkEnd w:id="963"/>
      <w:r w:rsidRPr="0050129A">
        <w:rPr>
          <w:rStyle w:val="TextoNormalCaracter"/>
        </w:rPr>
        <w:t xml:space="preserve">, Sentencia </w:t>
      </w:r>
      <w:hyperlink w:anchor="SENTENCIA_2008_56" w:history="1">
        <w:r w:rsidRPr="0050129A">
          <w:rPr>
            <w:rStyle w:val="TextoNormalCaracter"/>
          </w:rPr>
          <w:t>56/2008</w:t>
        </w:r>
      </w:hyperlink>
      <w:r w:rsidRPr="0050129A">
        <w:rPr>
          <w:rStyle w:val="TextoNormalCaracter"/>
        </w:rPr>
        <w:t>, f. 10.</w:t>
      </w:r>
    </w:p>
    <w:p w:rsidR="0050129A" w:rsidRPr="0050129A" w:rsidRDefault="0050129A" w:rsidP="0050129A">
      <w:pPr>
        <w:pStyle w:val="TextoNormalSangraFrancesa"/>
        <w:rPr>
          <w:rStyle w:val="TextoNormalCaracter"/>
        </w:rPr>
      </w:pPr>
      <w:bookmarkStart w:id="964" w:name="DESCRIPTORALFABETICO436"/>
      <w:r w:rsidRPr="0050129A">
        <w:rPr>
          <w:rStyle w:val="TextoNormalNegritaCaracter"/>
        </w:rPr>
        <w:t>Despido por causas objetivas</w:t>
      </w:r>
      <w:bookmarkEnd w:id="964"/>
      <w:r w:rsidRPr="0050129A">
        <w:rPr>
          <w:rStyle w:val="TextoNormalCaracter"/>
        </w:rPr>
        <w:t xml:space="preserve">, Auto </w:t>
      </w:r>
      <w:hyperlink w:anchor="AUTO_2008_30" w:history="1">
        <w:r w:rsidRPr="0050129A">
          <w:rPr>
            <w:rStyle w:val="TextoNormalCaracter"/>
          </w:rPr>
          <w:t>30/2008</w:t>
        </w:r>
      </w:hyperlink>
      <w:r w:rsidRPr="0050129A">
        <w:rPr>
          <w:rStyle w:val="TextoNormalCaracter"/>
        </w:rPr>
        <w:t>.</w:t>
      </w:r>
    </w:p>
    <w:p w:rsidR="0050129A" w:rsidRPr="0050129A" w:rsidRDefault="0050129A" w:rsidP="0050129A">
      <w:pPr>
        <w:pStyle w:val="TextoNormalSangraFrancesa"/>
        <w:rPr>
          <w:rStyle w:val="TextoNormalCaracter"/>
        </w:rPr>
      </w:pPr>
      <w:bookmarkStart w:id="965" w:name="DESCRIPTORALFABETICO570"/>
      <w:r w:rsidRPr="0050129A">
        <w:rPr>
          <w:rStyle w:val="TextoNormalNegritaCaracter"/>
        </w:rPr>
        <w:t>Detención preventiva</w:t>
      </w:r>
      <w:bookmarkEnd w:id="965"/>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ff. 2 a 9; </w:t>
      </w:r>
      <w:hyperlink w:anchor="SENTENCIA_2008_52" w:history="1">
        <w:r w:rsidRPr="0050129A">
          <w:rPr>
            <w:rStyle w:val="TextoNormalCaracter"/>
          </w:rPr>
          <w:t>52/2008</w:t>
        </w:r>
      </w:hyperlink>
      <w:r w:rsidRPr="0050129A">
        <w:rPr>
          <w:rStyle w:val="TextoNormalCaracter"/>
        </w:rPr>
        <w:t>, ff. 2 a 6.</w:t>
      </w:r>
    </w:p>
    <w:p w:rsidR="0050129A" w:rsidRPr="0050129A" w:rsidRDefault="0050129A" w:rsidP="0050129A">
      <w:pPr>
        <w:pStyle w:val="TextoNormalSangraFrancesa"/>
        <w:rPr>
          <w:rStyle w:val="TextoNormalCaracter"/>
        </w:rPr>
      </w:pPr>
      <w:bookmarkStart w:id="966" w:name="DESCRIPTORALFABETICO471"/>
      <w:r w:rsidRPr="0050129A">
        <w:rPr>
          <w:rStyle w:val="TextoNormalNegritaCaracter"/>
        </w:rPr>
        <w:t>Determinación del alcance de la cosa juzgada</w:t>
      </w:r>
      <w:bookmarkEnd w:id="966"/>
      <w:r w:rsidRPr="0050129A">
        <w:rPr>
          <w:rStyle w:val="TextoNormalCaracter"/>
        </w:rPr>
        <w:t xml:space="preserve">, Sentencia </w:t>
      </w:r>
      <w:hyperlink w:anchor="SENTENCIA_2008_15" w:history="1">
        <w:r w:rsidRPr="0050129A">
          <w:rPr>
            <w:rStyle w:val="TextoNormalCaracter"/>
          </w:rPr>
          <w:t>15/2008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Diferencia de retribuciones entre trabajadores de una empresa</w:t>
      </w:r>
      <w:r>
        <w:t xml:space="preserve"> véase </w:t>
      </w:r>
      <w:hyperlink w:anchor="DESCRIPTORALFABETICO434" w:history="1">
        <w:r w:rsidRPr="0050129A">
          <w:rPr>
            <w:rStyle w:val="TextoNormalNegritaCaracter"/>
          </w:rPr>
          <w:t>Diferencias salariales</w:t>
        </w:r>
      </w:hyperlink>
    </w:p>
    <w:p w:rsidR="0050129A" w:rsidRPr="0050129A" w:rsidRDefault="0050129A" w:rsidP="0050129A">
      <w:pPr>
        <w:pStyle w:val="TextoNormalSangraFrancesa"/>
        <w:rPr>
          <w:rStyle w:val="TextoNormalNegritaCaracter"/>
        </w:rPr>
      </w:pPr>
      <w:r w:rsidRPr="0050129A">
        <w:rPr>
          <w:rStyle w:val="TextoNormalCursivaCaracter"/>
        </w:rPr>
        <w:t>Diferencia de trato salarial</w:t>
      </w:r>
      <w:r>
        <w:t xml:space="preserve"> véase </w:t>
      </w:r>
      <w:hyperlink w:anchor="DESCRIPTORALFABETICO434" w:history="1">
        <w:r w:rsidRPr="0050129A">
          <w:rPr>
            <w:rStyle w:val="TextoNormalNegritaCaracter"/>
          </w:rPr>
          <w:t>Diferencias salariales</w:t>
        </w:r>
      </w:hyperlink>
    </w:p>
    <w:p w:rsidR="0050129A" w:rsidRPr="0050129A" w:rsidRDefault="0050129A" w:rsidP="0050129A">
      <w:pPr>
        <w:pStyle w:val="TextoNormalSangraFrancesa"/>
        <w:rPr>
          <w:rStyle w:val="TextoNormalNegritaCaracter"/>
        </w:rPr>
      </w:pPr>
      <w:r w:rsidRPr="0050129A">
        <w:rPr>
          <w:rStyle w:val="TextoNormalCursivaCaracter"/>
        </w:rPr>
        <w:t>Diferencias retributivas</w:t>
      </w:r>
      <w:r>
        <w:t xml:space="preserve"> véase </w:t>
      </w:r>
      <w:hyperlink w:anchor="DESCRIPTORALFABETICO434" w:history="1">
        <w:r w:rsidRPr="0050129A">
          <w:rPr>
            <w:rStyle w:val="TextoNormalNegritaCaracter"/>
          </w:rPr>
          <w:t>Diferencias salariales</w:t>
        </w:r>
      </w:hyperlink>
    </w:p>
    <w:p w:rsidR="0050129A" w:rsidRPr="0050129A" w:rsidRDefault="0050129A" w:rsidP="0050129A">
      <w:pPr>
        <w:pStyle w:val="TextoNormalSangraFrancesa"/>
        <w:rPr>
          <w:rStyle w:val="TextoNormalCaracter"/>
        </w:rPr>
      </w:pPr>
      <w:bookmarkStart w:id="967" w:name="DESCRIPTORALFABETICO434"/>
      <w:r w:rsidRPr="0050129A">
        <w:rPr>
          <w:rStyle w:val="TextoNormalNegritaCaracter"/>
        </w:rPr>
        <w:t>Diferencias salariales</w:t>
      </w:r>
      <w:bookmarkEnd w:id="967"/>
      <w:r w:rsidRPr="0050129A">
        <w:rPr>
          <w:rStyle w:val="TextoNormalCaracter"/>
        </w:rPr>
        <w:t xml:space="preserve">, Auto </w:t>
      </w:r>
      <w:hyperlink w:anchor="AUTO_2008_112" w:history="1">
        <w:r w:rsidRPr="0050129A">
          <w:rPr>
            <w:rStyle w:val="TextoNormalCaracter"/>
          </w:rPr>
          <w:t>112/2008</w:t>
        </w:r>
      </w:hyperlink>
      <w:r w:rsidRPr="0050129A">
        <w:rPr>
          <w:rStyle w:val="TextoNormalCaracter"/>
        </w:rPr>
        <w:t>.</w:t>
      </w:r>
    </w:p>
    <w:p w:rsidR="0050129A" w:rsidRPr="0050129A" w:rsidRDefault="0050129A" w:rsidP="0050129A">
      <w:pPr>
        <w:pStyle w:val="TextoNormalSangraFrancesa"/>
        <w:rPr>
          <w:rStyle w:val="TextoNormalCaracter"/>
        </w:rPr>
      </w:pPr>
      <w:bookmarkStart w:id="968" w:name="DESCRIPTORALFABETICO476"/>
      <w:r w:rsidRPr="0050129A">
        <w:rPr>
          <w:rStyle w:val="TextoNormalNegritaCaracter"/>
        </w:rPr>
        <w:t>Dilaciones indebidas en el procedimiento</w:t>
      </w:r>
      <w:bookmarkEnd w:id="968"/>
      <w:r w:rsidRPr="0050129A">
        <w:rPr>
          <w:rStyle w:val="TextoNormalCaracter"/>
        </w:rPr>
        <w:t xml:space="preserve">, Sentencia </w:t>
      </w:r>
      <w:hyperlink w:anchor="SENTENCIA_2008_38" w:history="1">
        <w:r w:rsidRPr="0050129A">
          <w:rPr>
            <w:rStyle w:val="TextoNormalCaracter"/>
          </w:rPr>
          <w:t>38/2008</w:t>
        </w:r>
      </w:hyperlink>
      <w:r w:rsidRPr="0050129A">
        <w:rPr>
          <w:rStyle w:val="TextoNormalCaracter"/>
        </w:rPr>
        <w:t>, f. 3.</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82" w:history="1">
        <w:r w:rsidRPr="0050129A">
          <w:rPr>
            <w:rStyle w:val="TextoNormalCaracter"/>
          </w:rPr>
          <w:t>82/2008</w:t>
        </w:r>
      </w:hyperlink>
      <w:r w:rsidRPr="0050129A">
        <w:rPr>
          <w:rStyle w:val="TextoNormalCaracter"/>
        </w:rPr>
        <w:t>.</w:t>
      </w:r>
    </w:p>
    <w:p w:rsidR="0050129A" w:rsidRPr="0050129A" w:rsidRDefault="0050129A" w:rsidP="0050129A">
      <w:pPr>
        <w:pStyle w:val="TextoNormalSangraFrancesa"/>
        <w:rPr>
          <w:rStyle w:val="TextoNormalCaracter"/>
        </w:rPr>
      </w:pPr>
      <w:bookmarkStart w:id="969" w:name="DESCRIPTORALFABETICO477"/>
      <w:r w:rsidRPr="0050129A">
        <w:rPr>
          <w:rStyle w:val="TextoNormalNegritaCaracter"/>
        </w:rPr>
        <w:t>Dilaciones por planteamiento de cuestión de inconstitucionalidad</w:t>
      </w:r>
      <w:bookmarkEnd w:id="969"/>
      <w:r w:rsidRPr="0050129A">
        <w:rPr>
          <w:rStyle w:val="TextoNormalCaracter"/>
        </w:rPr>
        <w:t xml:space="preserve">, Auto </w:t>
      </w:r>
      <w:hyperlink w:anchor="AUTO_2008_82" w:history="1">
        <w:r w:rsidRPr="0050129A">
          <w:rPr>
            <w:rStyle w:val="TextoNormalCaracter"/>
          </w:rPr>
          <w:t>82/2008</w:t>
        </w:r>
      </w:hyperlink>
      <w:r w:rsidRPr="0050129A">
        <w:rPr>
          <w:rStyle w:val="TextoNormalCaracter"/>
        </w:rPr>
        <w:t>.</w:t>
      </w:r>
    </w:p>
    <w:p w:rsidR="0050129A" w:rsidRPr="0050129A" w:rsidRDefault="0050129A" w:rsidP="0050129A">
      <w:pPr>
        <w:pStyle w:val="TextoNormalSangraFrancesa"/>
        <w:rPr>
          <w:rStyle w:val="TextoNormalCaracter"/>
        </w:rPr>
      </w:pPr>
      <w:bookmarkStart w:id="970" w:name="DESCRIPTORALFABETICO457"/>
      <w:r w:rsidRPr="0050129A">
        <w:rPr>
          <w:rStyle w:val="TextoNormalNegritaCaracter"/>
        </w:rPr>
        <w:t>Diligencia del órgano judicial en la averiguación del domicilio</w:t>
      </w:r>
      <w:bookmarkEnd w:id="970"/>
      <w:r w:rsidRPr="0050129A">
        <w:rPr>
          <w:rStyle w:val="TextoNormalCaracter"/>
        </w:rPr>
        <w:t xml:space="preserve">, Sentencia </w:t>
      </w:r>
      <w:hyperlink w:anchor="SENTENCIA_2008_2" w:history="1">
        <w:r w:rsidRPr="0050129A">
          <w:rPr>
            <w:rStyle w:val="TextoNormalCaracter"/>
          </w:rPr>
          <w:t>2/2008</w:t>
        </w:r>
      </w:hyperlink>
      <w:r w:rsidRPr="0050129A">
        <w:rPr>
          <w:rStyle w:val="TextoNormalCaracter"/>
        </w:rPr>
        <w:t>, ff. 2, 4.</w:t>
      </w:r>
    </w:p>
    <w:p w:rsidR="0050129A" w:rsidRPr="0050129A" w:rsidRDefault="0050129A" w:rsidP="0050129A">
      <w:pPr>
        <w:pStyle w:val="TextoNormalSangraFrancesa"/>
        <w:rPr>
          <w:rStyle w:val="TextoNormalCaracter"/>
        </w:rPr>
      </w:pPr>
      <w:bookmarkStart w:id="971" w:name="DESCRIPTORALFABETICO314"/>
      <w:r w:rsidRPr="0050129A">
        <w:rPr>
          <w:rStyle w:val="TextoNormalNegritaCaracter"/>
        </w:rPr>
        <w:t xml:space="preserve">Dimensión procesal del principio </w:t>
      </w:r>
      <w:r w:rsidRPr="0050129A">
        <w:rPr>
          <w:rStyle w:val="TextoNormalNegritaCaracter"/>
          <w:i/>
        </w:rPr>
        <w:t>non bis in idem</w:t>
      </w:r>
      <w:bookmarkEnd w:id="971"/>
      <w:r w:rsidRPr="0050129A">
        <w:rPr>
          <w:rStyle w:val="TextoNormalCaracter"/>
        </w:rPr>
        <w:t xml:space="preserve">, Sentencia </w:t>
      </w:r>
      <w:hyperlink w:anchor="SENTENCIA_2008_23" w:history="1">
        <w:r w:rsidRPr="0050129A">
          <w:rPr>
            <w:rStyle w:val="TextoNormalCaracter"/>
          </w:rPr>
          <w:t>23/2008</w:t>
        </w:r>
      </w:hyperlink>
      <w:r w:rsidRPr="0050129A">
        <w:rPr>
          <w:rStyle w:val="TextoNormalCaracter"/>
        </w:rPr>
        <w:t>, f. 3.</w:t>
      </w:r>
    </w:p>
    <w:p w:rsidR="0050129A" w:rsidRPr="0050129A" w:rsidRDefault="0050129A" w:rsidP="0050129A">
      <w:pPr>
        <w:pStyle w:val="TextoNormalSangraFrancesa"/>
        <w:rPr>
          <w:rStyle w:val="TextoNormalCaracter"/>
        </w:rPr>
      </w:pPr>
      <w:bookmarkStart w:id="972" w:name="DESCRIPTORALFABETICO292"/>
      <w:r w:rsidRPr="0050129A">
        <w:rPr>
          <w:rStyle w:val="TextoNormalNegritaCaracter"/>
        </w:rPr>
        <w:t>Diputados autonómicos</w:t>
      </w:r>
      <w:bookmarkEnd w:id="972"/>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ff. 1, 2, 3, 4, 5, 6, 7.</w:t>
      </w:r>
    </w:p>
    <w:p w:rsidR="0050129A" w:rsidRPr="0050129A" w:rsidRDefault="0050129A" w:rsidP="0050129A">
      <w:pPr>
        <w:pStyle w:val="TextoNormalSangraFrancesa"/>
        <w:rPr>
          <w:rStyle w:val="TextoNormalNegritaCaracter"/>
        </w:rPr>
      </w:pPr>
      <w:r w:rsidRPr="0050129A">
        <w:rPr>
          <w:rStyle w:val="TextoNormalCursivaCaracter"/>
        </w:rPr>
        <w:t>Discriminación normativa</w:t>
      </w:r>
      <w:r>
        <w:t xml:space="preserve"> véase </w:t>
      </w:r>
      <w:hyperlink w:anchor="DESCRIPTORALFABETICO46" w:history="1">
        <w:r w:rsidRPr="0050129A">
          <w:rPr>
            <w:rStyle w:val="TextoNormalNegritaCaracter"/>
          </w:rPr>
          <w:t>Tratamiento legal diferenciado</w:t>
        </w:r>
      </w:hyperlink>
    </w:p>
    <w:p w:rsidR="0050129A" w:rsidRPr="0050129A" w:rsidRDefault="0050129A" w:rsidP="0050129A">
      <w:pPr>
        <w:pStyle w:val="TextoNormalSangraFrancesa"/>
        <w:rPr>
          <w:rStyle w:val="TextoNormalCaracter"/>
        </w:rPr>
      </w:pPr>
      <w:bookmarkStart w:id="973" w:name="DESCRIPTORALFABETICO106"/>
      <w:r w:rsidRPr="0050129A">
        <w:rPr>
          <w:rStyle w:val="TextoNormalNegritaCaracter"/>
        </w:rPr>
        <w:t>Discriminación por indiferenciación</w:t>
      </w:r>
      <w:bookmarkEnd w:id="973"/>
      <w:r w:rsidRPr="0050129A">
        <w:rPr>
          <w:rStyle w:val="TextoNormalCaracter"/>
        </w:rPr>
        <w:t xml:space="preserve">, Auto </w:t>
      </w:r>
      <w:hyperlink w:anchor="AUTO_2008_71" w:history="1">
        <w:r w:rsidRPr="0050129A">
          <w:rPr>
            <w:rStyle w:val="TextoNormalCaracter"/>
          </w:rPr>
          <w:t>71/2008</w:t>
        </w:r>
      </w:hyperlink>
      <w:r w:rsidRPr="0050129A">
        <w:rPr>
          <w:rStyle w:val="TextoNormalCaracter"/>
        </w:rPr>
        <w:t>.</w:t>
      </w:r>
    </w:p>
    <w:p w:rsidR="0050129A" w:rsidRPr="0050129A" w:rsidRDefault="0050129A" w:rsidP="0050129A">
      <w:pPr>
        <w:pStyle w:val="TextoNormalSangraFrancesa"/>
        <w:rPr>
          <w:rStyle w:val="TextoNormalCaracter"/>
        </w:rPr>
      </w:pPr>
      <w:bookmarkStart w:id="974" w:name="DESCRIPTORALFABETICO285"/>
      <w:r w:rsidRPr="0050129A">
        <w:rPr>
          <w:rStyle w:val="TextoNormalNegritaCaracter"/>
        </w:rPr>
        <w:t>Disolución de grupos parlamentarios</w:t>
      </w:r>
      <w:bookmarkEnd w:id="974"/>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Disolución judicial de partidos políticos</w:t>
      </w:r>
      <w:r>
        <w:t xml:space="preserve"> véase </w:t>
      </w:r>
      <w:hyperlink w:anchor="DESCRIPTORALFABETICO270" w:history="1">
        <w:r w:rsidRPr="0050129A">
          <w:rPr>
            <w:rStyle w:val="TextoNormalNegritaCaracter"/>
          </w:rPr>
          <w:t>Ilegalización de partidos políticos</w:t>
        </w:r>
      </w:hyperlink>
    </w:p>
    <w:p w:rsidR="0050129A" w:rsidRPr="0050129A" w:rsidRDefault="0050129A" w:rsidP="0050129A">
      <w:pPr>
        <w:pStyle w:val="TextoNormalSangraFrancesa"/>
        <w:rPr>
          <w:rStyle w:val="TextoNormalCaracter"/>
        </w:rPr>
      </w:pPr>
      <w:bookmarkStart w:id="975" w:name="DESCRIPTORALFABETICO428"/>
      <w:r w:rsidRPr="0050129A">
        <w:rPr>
          <w:rStyle w:val="TextoNormalNegritaCaracter"/>
        </w:rPr>
        <w:t>Dispensación de medicamentos</w:t>
      </w:r>
      <w:bookmarkEnd w:id="975"/>
      <w:r w:rsidRPr="0050129A">
        <w:rPr>
          <w:rStyle w:val="TextoNormalCaracter"/>
        </w:rPr>
        <w:t xml:space="preserve">, Auto </w:t>
      </w:r>
      <w:hyperlink w:anchor="AUTO_2008_11" w:history="1">
        <w:r w:rsidRPr="0050129A">
          <w:rPr>
            <w:rStyle w:val="TextoNormalCaracter"/>
          </w:rPr>
          <w:t>11/2008</w:t>
        </w:r>
      </w:hyperlink>
      <w:r w:rsidRPr="0050129A">
        <w:rPr>
          <w:rStyle w:val="TextoNormalCaracter"/>
        </w:rPr>
        <w:t>.</w:t>
      </w:r>
    </w:p>
    <w:p w:rsidR="0050129A" w:rsidRPr="0050129A" w:rsidRDefault="0050129A" w:rsidP="0050129A">
      <w:pPr>
        <w:pStyle w:val="TextoNormalSangraFrancesa"/>
        <w:rPr>
          <w:rStyle w:val="TextoNormalCaracter"/>
        </w:rPr>
      </w:pPr>
      <w:bookmarkStart w:id="976" w:name="DESCRIPTORALFABETICO77"/>
      <w:r w:rsidRPr="0050129A">
        <w:rPr>
          <w:rStyle w:val="TextoNormalNegritaCaracter"/>
        </w:rPr>
        <w:lastRenderedPageBreak/>
        <w:t>Doble instancia penal</w:t>
      </w:r>
      <w:bookmarkEnd w:id="976"/>
      <w:r w:rsidRPr="0050129A">
        <w:rPr>
          <w:rStyle w:val="TextoNormalCaracter"/>
        </w:rPr>
        <w:t xml:space="preserve">, Sentencias </w:t>
      </w:r>
      <w:hyperlink w:anchor="SENTENCIA_2008_29" w:history="1">
        <w:r w:rsidRPr="0050129A">
          <w:rPr>
            <w:rStyle w:val="TextoNormalCaracter"/>
          </w:rPr>
          <w:t>29/2008</w:t>
        </w:r>
      </w:hyperlink>
      <w:r w:rsidRPr="0050129A">
        <w:rPr>
          <w:rStyle w:val="TextoNormalCaracter"/>
        </w:rPr>
        <w:t xml:space="preserve">, f. 3 a); </w:t>
      </w:r>
      <w:hyperlink w:anchor="SENTENCIA_2008_48" w:history="1">
        <w:r w:rsidRPr="0050129A">
          <w:rPr>
            <w:rStyle w:val="TextoNormalCaracter"/>
          </w:rPr>
          <w:t>48/2008</w:t>
        </w:r>
      </w:hyperlink>
      <w:r w:rsidRPr="0050129A">
        <w:rPr>
          <w:rStyle w:val="TextoNormalCaracter"/>
        </w:rPr>
        <w:t>, ff. 2, 4, 5.</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Alcance, </w:t>
      </w:r>
      <w:r w:rsidRPr="0050129A">
        <w:rPr>
          <w:rStyle w:val="TextoNormalCaracter"/>
        </w:rPr>
        <w:t xml:space="preserve">Sentencia </w:t>
      </w:r>
      <w:hyperlink w:anchor="SENTENCIA_2008_48" w:history="1">
        <w:r w:rsidRPr="0050129A">
          <w:rPr>
            <w:rStyle w:val="TextoNormalCaracter"/>
          </w:rPr>
          <w:t>48/2008</w:t>
        </w:r>
      </w:hyperlink>
      <w:r w:rsidRPr="0050129A">
        <w:rPr>
          <w:rStyle w:val="TextoNormalCaracter"/>
        </w:rPr>
        <w:t>, f. 2.</w:t>
      </w:r>
    </w:p>
    <w:p w:rsidR="0050129A" w:rsidRPr="0050129A" w:rsidRDefault="0050129A" w:rsidP="0050129A">
      <w:pPr>
        <w:pStyle w:val="TextoNormalSangraFrancesa"/>
        <w:rPr>
          <w:rStyle w:val="TextoNormalCaracter"/>
        </w:rPr>
      </w:pPr>
      <w:bookmarkStart w:id="977" w:name="DESCRIPTORALFABETICO372"/>
      <w:r w:rsidRPr="0050129A">
        <w:rPr>
          <w:rStyle w:val="TextoNormalNegritaCaracter"/>
        </w:rPr>
        <w:t>Doctrina del Tribunal Europeo de Derechos Humanos</w:t>
      </w:r>
      <w:bookmarkEnd w:id="977"/>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ff. 5 a 7; </w:t>
      </w:r>
      <w:hyperlink w:anchor="SENTENCIA_2008_48" w:history="1">
        <w:r w:rsidRPr="0050129A">
          <w:rPr>
            <w:rStyle w:val="TextoNormalCaracter"/>
          </w:rPr>
          <w:t>48/2008</w:t>
        </w:r>
      </w:hyperlink>
      <w:r w:rsidRPr="0050129A">
        <w:rPr>
          <w:rStyle w:val="TextoNormalCaracter"/>
        </w:rPr>
        <w:t xml:space="preserve">, ff. 2, 4, 5; </w:t>
      </w:r>
      <w:hyperlink w:anchor="SENTENCIA_2008_52" w:history="1">
        <w:r w:rsidRPr="0050129A">
          <w:rPr>
            <w:rStyle w:val="TextoNormalCaracter"/>
          </w:rPr>
          <w:t>52/2008</w:t>
        </w:r>
      </w:hyperlink>
      <w:r w:rsidRPr="0050129A">
        <w:rPr>
          <w:rStyle w:val="TextoNormalCaracter"/>
        </w:rPr>
        <w:t>, f. 2.</w:t>
      </w:r>
    </w:p>
    <w:p w:rsidR="0050129A" w:rsidRPr="0050129A" w:rsidRDefault="0050129A" w:rsidP="0050129A">
      <w:pPr>
        <w:pStyle w:val="TextoNormalSangraFrancesa"/>
        <w:rPr>
          <w:rStyle w:val="TextoNormalCaracter"/>
        </w:rPr>
      </w:pPr>
      <w:bookmarkStart w:id="978" w:name="DESCRIPTORALFABETICO325"/>
      <w:r w:rsidRPr="0050129A">
        <w:rPr>
          <w:rStyle w:val="TextoNormalNegritaCaracter"/>
        </w:rPr>
        <w:t>Domicilio</w:t>
      </w:r>
      <w:bookmarkEnd w:id="978"/>
      <w:r w:rsidRPr="0050129A">
        <w:rPr>
          <w:rStyle w:val="TextoNormalCaracter"/>
        </w:rPr>
        <w:t xml:space="preserve">, Sentencia </w:t>
      </w:r>
      <w:hyperlink w:anchor="SENTENCIA_2008_25" w:history="1">
        <w:r w:rsidRPr="0050129A">
          <w:rPr>
            <w:rStyle w:val="TextoNormalCaracter"/>
          </w:rPr>
          <w:t>25/2008</w:t>
        </w:r>
      </w:hyperlink>
      <w:r w:rsidRPr="0050129A">
        <w:rPr>
          <w:rStyle w:val="TextoNormalCaracter"/>
        </w:rPr>
        <w:t>, f. 6.</w:t>
      </w:r>
    </w:p>
    <w:p w:rsidR="0050129A" w:rsidRPr="0050129A" w:rsidRDefault="0050129A" w:rsidP="0050129A">
      <w:pPr>
        <w:pStyle w:val="TextoNormalSangraFrancesa"/>
        <w:rPr>
          <w:rStyle w:val="TextoNormalCaracter"/>
        </w:rPr>
      </w:pPr>
      <w:bookmarkStart w:id="979" w:name="DESCRIPTORALFABETICO347"/>
      <w:r w:rsidRPr="0050129A">
        <w:rPr>
          <w:rStyle w:val="TextoNormalNegritaCaracter"/>
        </w:rPr>
        <w:t>Dominio público portuario</w:t>
      </w:r>
      <w:bookmarkEnd w:id="979"/>
      <w:r w:rsidRPr="0050129A">
        <w:rPr>
          <w:rStyle w:val="TextoNormalCaracter"/>
        </w:rPr>
        <w:t xml:space="preserve">, Sentencia </w:t>
      </w:r>
      <w:hyperlink w:anchor="SENTENCIA_2008_31" w:history="1">
        <w:r w:rsidRPr="0050129A">
          <w:rPr>
            <w:rStyle w:val="TextoNormalCaracter"/>
          </w:rPr>
          <w:t>31/2008</w:t>
        </w:r>
      </w:hyperlink>
      <w:r w:rsidRPr="0050129A">
        <w:rPr>
          <w:rStyle w:val="TextoNormalCaracter"/>
        </w:rPr>
        <w:t>, f. 3.</w:t>
      </w:r>
    </w:p>
    <w:p w:rsidR="0050129A" w:rsidRPr="0050129A" w:rsidRDefault="0050129A" w:rsidP="0050129A">
      <w:pPr>
        <w:pStyle w:val="TextoNormalSangraFrancesa"/>
        <w:rPr>
          <w:rStyle w:val="TextoNormalCaracter"/>
        </w:rPr>
      </w:pPr>
      <w:bookmarkStart w:id="980" w:name="DESCRIPTORALFABETICO120"/>
      <w:r w:rsidRPr="0050129A">
        <w:rPr>
          <w:rStyle w:val="TextoNormalNegritaCaracter"/>
        </w:rPr>
        <w:t>Duración desproporcionada del procedimiento</w:t>
      </w:r>
      <w:bookmarkEnd w:id="980"/>
      <w:r w:rsidRPr="0050129A">
        <w:rPr>
          <w:rStyle w:val="TextoNormalCaracter"/>
        </w:rPr>
        <w:t xml:space="preserve">, Sentencia </w:t>
      </w:r>
      <w:hyperlink w:anchor="SENTENCIA_2008_38" w:history="1">
        <w:r w:rsidRPr="0050129A">
          <w:rPr>
            <w:rStyle w:val="TextoNormalCaracter"/>
          </w:rPr>
          <w:t>38/2008</w:t>
        </w:r>
      </w:hyperlink>
      <w:r w:rsidRPr="0050129A">
        <w:rPr>
          <w:rStyle w:val="TextoNormalCaracter"/>
        </w:rPr>
        <w:t>, ff. 2, 3.</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E</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981" w:name="DESCRIPTORALFABETICO532"/>
      <w:r w:rsidRPr="0050129A">
        <w:rPr>
          <w:rStyle w:val="TextoNormalNegritaCaracter"/>
        </w:rPr>
        <w:t>Efectos de la falta de personación del apelado</w:t>
      </w:r>
      <w:bookmarkEnd w:id="981"/>
      <w:r w:rsidRPr="0050129A">
        <w:rPr>
          <w:rStyle w:val="TextoNormalCaracter"/>
        </w:rPr>
        <w:t xml:space="preserve">, Auto </w:t>
      </w:r>
      <w:hyperlink w:anchor="AUTO_2008_47" w:history="1">
        <w:r w:rsidRPr="0050129A">
          <w:rPr>
            <w:rStyle w:val="TextoNormalCaracter"/>
          </w:rPr>
          <w:t>47/2008</w:t>
        </w:r>
      </w:hyperlink>
      <w:r w:rsidRPr="0050129A">
        <w:rPr>
          <w:rStyle w:val="TextoNormalCaracter"/>
        </w:rPr>
        <w:t>.</w:t>
      </w:r>
    </w:p>
    <w:p w:rsidR="0050129A" w:rsidRPr="0050129A" w:rsidRDefault="0050129A" w:rsidP="0050129A">
      <w:pPr>
        <w:pStyle w:val="TextoNormalSangraFrancesa"/>
        <w:rPr>
          <w:rStyle w:val="TextoNormalCaracter"/>
        </w:rPr>
      </w:pPr>
      <w:bookmarkStart w:id="982" w:name="DESCRIPTORALFABETICO472"/>
      <w:r w:rsidRPr="0050129A">
        <w:rPr>
          <w:rStyle w:val="TextoNormalNegritaCaracter"/>
        </w:rPr>
        <w:t>Eficacia de cosa juzgada penal</w:t>
      </w:r>
      <w:bookmarkEnd w:id="982"/>
      <w:r w:rsidRPr="0050129A">
        <w:rPr>
          <w:rStyle w:val="TextoNormalCaracter"/>
        </w:rPr>
        <w:t xml:space="preserve">, Sentencia </w:t>
      </w:r>
      <w:hyperlink w:anchor="SENTENCIA_2008_17" w:history="1">
        <w:r w:rsidRPr="0050129A">
          <w:rPr>
            <w:rStyle w:val="TextoNormalCaracter"/>
          </w:rPr>
          <w:t>17/2008</w:t>
        </w:r>
      </w:hyperlink>
      <w:r w:rsidRPr="0050129A">
        <w:rPr>
          <w:rStyle w:val="TextoNormalCaracter"/>
        </w:rPr>
        <w:t>, f. 4.</w:t>
      </w:r>
    </w:p>
    <w:p w:rsidR="0050129A" w:rsidRPr="0050129A" w:rsidRDefault="0050129A" w:rsidP="0050129A">
      <w:pPr>
        <w:pStyle w:val="TextoNormalSangraFrancesa"/>
        <w:rPr>
          <w:rStyle w:val="TextoNormalCaracter"/>
        </w:rPr>
      </w:pPr>
      <w:bookmarkStart w:id="983" w:name="DESCRIPTORALFABETICO480"/>
      <w:r w:rsidRPr="0050129A">
        <w:rPr>
          <w:rStyle w:val="TextoNormalNegritaCaracter"/>
        </w:rPr>
        <w:t>Ejecución de sentencias</w:t>
      </w:r>
      <w:bookmarkEnd w:id="983"/>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11" w:history="1">
        <w:r w:rsidRPr="0050129A">
          <w:rPr>
            <w:rStyle w:val="TextoNormalCaracter"/>
          </w:rPr>
          <w:t>11/2008</w:t>
        </w:r>
      </w:hyperlink>
      <w:r w:rsidRPr="0050129A">
        <w:rPr>
          <w:rStyle w:val="TextoNormalCaracter"/>
        </w:rPr>
        <w:t>, ff. 5, 6.</w:t>
      </w:r>
    </w:p>
    <w:p w:rsidR="0050129A" w:rsidRPr="0050129A" w:rsidRDefault="0050129A" w:rsidP="0050129A">
      <w:pPr>
        <w:pStyle w:val="TextoNormalSangraFrancesa"/>
        <w:rPr>
          <w:rStyle w:val="TextoNormalCaracter"/>
        </w:rPr>
      </w:pPr>
      <w:bookmarkStart w:id="984" w:name="DESCRIPTORALFABETICO482"/>
      <w:r w:rsidRPr="0050129A">
        <w:rPr>
          <w:rStyle w:val="TextoNormalNegritaCaracter"/>
        </w:rPr>
        <w:t>Ejecución provisional de resoluciones judiciales</w:t>
      </w:r>
      <w:bookmarkEnd w:id="984"/>
      <w:r w:rsidRPr="0050129A">
        <w:rPr>
          <w:rStyle w:val="TextoNormalCaracter"/>
        </w:rPr>
        <w:t xml:space="preserve">, Sentencia </w:t>
      </w:r>
      <w:hyperlink w:anchor="SENTENCIA_2008_22" w:history="1">
        <w:r w:rsidRPr="0050129A">
          <w:rPr>
            <w:rStyle w:val="TextoNormalCaracter"/>
          </w:rPr>
          <w:t>22/2008</w:t>
        </w:r>
      </w:hyperlink>
      <w:r w:rsidRPr="0050129A">
        <w:rPr>
          <w:rStyle w:val="TextoNormalCaracter"/>
        </w:rPr>
        <w:t>, ff. 2 a 8.</w:t>
      </w:r>
    </w:p>
    <w:p w:rsidR="0050129A" w:rsidRPr="0050129A" w:rsidRDefault="0050129A" w:rsidP="0050129A">
      <w:pPr>
        <w:pStyle w:val="TextoNormalSangraFrancesa"/>
        <w:rPr>
          <w:rStyle w:val="TextoNormalNegritaCaracter"/>
        </w:rPr>
      </w:pPr>
      <w:r w:rsidRPr="0050129A">
        <w:rPr>
          <w:rStyle w:val="TextoNormalCursivaCaracter"/>
        </w:rPr>
        <w:t>Ejecutividad de las sentencias</w:t>
      </w:r>
      <w:r>
        <w:t xml:space="preserve"> véase </w:t>
      </w:r>
      <w:hyperlink w:anchor="DESCRIPTORALFABETICO480" w:history="1">
        <w:r w:rsidRPr="0050129A">
          <w:rPr>
            <w:rStyle w:val="TextoNormalNegritaCaracter"/>
          </w:rPr>
          <w:t>Ejecución de sentencias</w:t>
        </w:r>
      </w:hyperlink>
    </w:p>
    <w:p w:rsidR="0050129A" w:rsidRPr="0050129A" w:rsidRDefault="0050129A" w:rsidP="0050129A">
      <w:pPr>
        <w:pStyle w:val="TextoNormalSangraFrancesa"/>
        <w:rPr>
          <w:rStyle w:val="TextoNormalCaracter"/>
        </w:rPr>
      </w:pPr>
      <w:bookmarkStart w:id="985" w:name="DESCRIPTORALFABETICO568"/>
      <w:r w:rsidRPr="0050129A">
        <w:rPr>
          <w:rStyle w:val="TextoNormalNegritaCaracter"/>
        </w:rPr>
        <w:t>Ejercicio de la acción popular por personas jurídicas públicas</w:t>
      </w:r>
      <w:bookmarkEnd w:id="985"/>
      <w:r w:rsidRPr="0050129A">
        <w:rPr>
          <w:rStyle w:val="TextoNormalCaracter"/>
        </w:rPr>
        <w:t xml:space="preserve">, Sentencia </w:t>
      </w:r>
      <w:hyperlink w:anchor="SENTENCIA_2008_8" w:history="1">
        <w:r w:rsidRPr="0050129A">
          <w:rPr>
            <w:rStyle w:val="TextoNormalCaracter"/>
          </w:rPr>
          <w:t>8/2008</w:t>
        </w:r>
      </w:hyperlink>
      <w:r w:rsidRPr="0050129A">
        <w:rPr>
          <w:rStyle w:val="TextoNormalCaracter"/>
        </w:rPr>
        <w:t>, ff. 2, 3.</w:t>
      </w:r>
    </w:p>
    <w:p w:rsidR="0050129A" w:rsidRPr="0050129A" w:rsidRDefault="0050129A" w:rsidP="0050129A">
      <w:pPr>
        <w:pStyle w:val="TextoNormalSangraFrancesa"/>
        <w:rPr>
          <w:rStyle w:val="TextoNormalCaracter"/>
        </w:rPr>
      </w:pPr>
      <w:bookmarkStart w:id="986" w:name="DESCRIPTORALFABETICO258"/>
      <w:r w:rsidRPr="0050129A">
        <w:rPr>
          <w:rStyle w:val="TextoNormalNegritaCaracter"/>
        </w:rPr>
        <w:t>Elección de candidatos a magistrados por los parlamentos autonómicos</w:t>
      </w:r>
      <w:bookmarkEnd w:id="986"/>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7 a 17, VP I, VP II, VP III.</w:t>
      </w:r>
    </w:p>
    <w:p w:rsidR="0050129A" w:rsidRPr="0050129A" w:rsidRDefault="0050129A" w:rsidP="0050129A">
      <w:pPr>
        <w:pStyle w:val="TextoNormalSangraFrancesa"/>
        <w:rPr>
          <w:rStyle w:val="TextoNormalCaracter"/>
        </w:rPr>
      </w:pPr>
      <w:bookmarkStart w:id="987" w:name="DESCRIPTORALFABETICO259"/>
      <w:r w:rsidRPr="0050129A">
        <w:rPr>
          <w:rStyle w:val="TextoNormalNegritaCaracter"/>
        </w:rPr>
        <w:t>Elección de magistrados por el Congreso de los Diputados</w:t>
      </w:r>
      <w:bookmarkEnd w:id="987"/>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VP I, VP II.</w:t>
      </w:r>
    </w:p>
    <w:p w:rsidR="0050129A" w:rsidRPr="0050129A" w:rsidRDefault="0050129A" w:rsidP="0050129A">
      <w:pPr>
        <w:pStyle w:val="TextoNormalSangraFrancesa"/>
        <w:rPr>
          <w:rStyle w:val="TextoNormalCaracter"/>
        </w:rPr>
      </w:pPr>
      <w:bookmarkStart w:id="988" w:name="DESCRIPTORALFABETICO260"/>
      <w:r w:rsidRPr="0050129A">
        <w:rPr>
          <w:rStyle w:val="TextoNormalNegritaCaracter"/>
        </w:rPr>
        <w:t>Elección de magistrados por el Consejo General del Poder Judicial</w:t>
      </w:r>
      <w:bookmarkEnd w:id="988"/>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7, 14, VP I.</w:t>
      </w:r>
    </w:p>
    <w:p w:rsidR="0050129A" w:rsidRPr="0050129A" w:rsidRDefault="0050129A" w:rsidP="0050129A">
      <w:pPr>
        <w:pStyle w:val="TextoNormalSangraFrancesa"/>
        <w:rPr>
          <w:rStyle w:val="TextoNormalCaracter"/>
        </w:rPr>
      </w:pPr>
      <w:bookmarkStart w:id="989" w:name="DESCRIPTORALFABETICO261"/>
      <w:r w:rsidRPr="0050129A">
        <w:rPr>
          <w:rStyle w:val="TextoNormalNegritaCaracter"/>
        </w:rPr>
        <w:t>Elección de magistrados por el Gobierno</w:t>
      </w:r>
      <w:bookmarkEnd w:id="989"/>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7, 14, VP I.</w:t>
      </w:r>
    </w:p>
    <w:p w:rsidR="0050129A" w:rsidRPr="0050129A" w:rsidRDefault="0050129A" w:rsidP="0050129A">
      <w:pPr>
        <w:pStyle w:val="TextoNormalSangraFrancesa"/>
        <w:rPr>
          <w:rStyle w:val="TextoNormalCaracter"/>
        </w:rPr>
      </w:pPr>
      <w:bookmarkStart w:id="990" w:name="DESCRIPTORALFABETICO262"/>
      <w:r w:rsidRPr="0050129A">
        <w:rPr>
          <w:rStyle w:val="TextoNormalNegritaCaracter"/>
        </w:rPr>
        <w:t>Elección de magistrados por el Senado</w:t>
      </w:r>
      <w:bookmarkEnd w:id="990"/>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7 a 17, VP I, VP II, VP III.</w:t>
      </w:r>
    </w:p>
    <w:p w:rsidR="0050129A" w:rsidRPr="0050129A" w:rsidRDefault="0050129A" w:rsidP="0050129A">
      <w:pPr>
        <w:pStyle w:val="TextoNormalSangraFrancesa"/>
        <w:rPr>
          <w:rStyle w:val="TextoNormalCaracter"/>
        </w:rPr>
      </w:pPr>
      <w:bookmarkStart w:id="991" w:name="DESCRIPTORALFABETICO513"/>
      <w:r w:rsidRPr="0050129A">
        <w:rPr>
          <w:rStyle w:val="TextoNormalNegritaCaracter"/>
        </w:rPr>
        <w:t>Embargo de vivienda</w:t>
      </w:r>
      <w:bookmarkEnd w:id="991"/>
      <w:r w:rsidRPr="0050129A">
        <w:rPr>
          <w:rStyle w:val="TextoNormalCaracter"/>
        </w:rPr>
        <w:t xml:space="preserve">, Auto </w:t>
      </w:r>
      <w:hyperlink w:anchor="AUTO_2008_40" w:history="1">
        <w:r w:rsidRPr="0050129A">
          <w:rPr>
            <w:rStyle w:val="TextoNormalCaracter"/>
          </w:rPr>
          <w:t>40/2008</w:t>
        </w:r>
      </w:hyperlink>
      <w:r w:rsidRPr="0050129A">
        <w:rPr>
          <w:rStyle w:val="TextoNormalCaracter"/>
        </w:rPr>
        <w:t>.</w:t>
      </w:r>
    </w:p>
    <w:p w:rsidR="0050129A" w:rsidRPr="0050129A" w:rsidRDefault="0050129A" w:rsidP="0050129A">
      <w:pPr>
        <w:pStyle w:val="TextoNormalSangraFrancesa"/>
        <w:rPr>
          <w:rStyle w:val="TextoNormalCaracter"/>
        </w:rPr>
      </w:pPr>
      <w:bookmarkStart w:id="992" w:name="DESCRIPTORALFABETICO458"/>
      <w:r w:rsidRPr="0050129A">
        <w:rPr>
          <w:rStyle w:val="TextoNormalNegritaCaracter"/>
        </w:rPr>
        <w:t>Emplazamiento edictal</w:t>
      </w:r>
      <w:bookmarkEnd w:id="992"/>
      <w:r w:rsidRPr="0050129A">
        <w:rPr>
          <w:rStyle w:val="TextoNormalCaracter"/>
        </w:rPr>
        <w:t xml:space="preserve">, Sentencias </w:t>
      </w:r>
      <w:hyperlink w:anchor="SENTENCIA_2008_2" w:history="1">
        <w:r w:rsidRPr="0050129A">
          <w:rPr>
            <w:rStyle w:val="TextoNormalCaracter"/>
          </w:rPr>
          <w:t>2/2008</w:t>
        </w:r>
      </w:hyperlink>
      <w:r w:rsidRPr="0050129A">
        <w:rPr>
          <w:rStyle w:val="TextoNormalCaracter"/>
        </w:rPr>
        <w:t xml:space="preserve">, ff. 2 a 4; </w:t>
      </w:r>
      <w:hyperlink w:anchor="SENTENCIA_2008_32" w:history="1">
        <w:r w:rsidRPr="0050129A">
          <w:rPr>
            <w:rStyle w:val="TextoNormalCaracter"/>
          </w:rPr>
          <w:t>32/2008</w:t>
        </w:r>
      </w:hyperlink>
      <w:r w:rsidRPr="0050129A">
        <w:rPr>
          <w:rStyle w:val="TextoNormalCaracter"/>
        </w:rPr>
        <w:t>, f. 2.</w:t>
      </w:r>
    </w:p>
    <w:p w:rsidR="0050129A" w:rsidRPr="0050129A" w:rsidRDefault="0050129A" w:rsidP="0050129A">
      <w:pPr>
        <w:pStyle w:val="TextoNormalSangraFrancesa"/>
        <w:rPr>
          <w:rStyle w:val="TextoNormalCaracter"/>
        </w:rPr>
      </w:pPr>
      <w:bookmarkStart w:id="993" w:name="DESCRIPTORALFABETICO459"/>
      <w:r w:rsidRPr="0050129A">
        <w:rPr>
          <w:rStyle w:val="TextoNormalNegritaCaracter"/>
        </w:rPr>
        <w:t>Emplazamiento edictal causante de indefensión</w:t>
      </w:r>
      <w:bookmarkEnd w:id="993"/>
      <w:r w:rsidRPr="0050129A">
        <w:rPr>
          <w:rStyle w:val="TextoNormalCaracter"/>
        </w:rPr>
        <w:t xml:space="preserve">, Sentencia </w:t>
      </w:r>
      <w:hyperlink w:anchor="SENTENCIA_2008_32" w:history="1">
        <w:r w:rsidRPr="0050129A">
          <w:rPr>
            <w:rStyle w:val="TextoNormalCaracter"/>
          </w:rPr>
          <w:t>32/2008</w:t>
        </w:r>
      </w:hyperlink>
      <w:r w:rsidRPr="0050129A">
        <w:rPr>
          <w:rStyle w:val="TextoNormalCaracter"/>
        </w:rPr>
        <w:t>, f. 3.</w:t>
      </w:r>
    </w:p>
    <w:p w:rsidR="0050129A" w:rsidRPr="0050129A" w:rsidRDefault="0050129A" w:rsidP="0050129A">
      <w:pPr>
        <w:pStyle w:val="TextoNormalSangraFrancesa"/>
        <w:rPr>
          <w:rStyle w:val="TextoNormalCaracter"/>
        </w:rPr>
      </w:pPr>
      <w:bookmarkStart w:id="994" w:name="DESCRIPTORALFABETICO460"/>
      <w:r w:rsidRPr="0050129A">
        <w:rPr>
          <w:rStyle w:val="TextoNormalNegritaCaracter"/>
        </w:rPr>
        <w:t>Emplazamiento edictal sin agotar los medios de comunicación efectiva</w:t>
      </w:r>
      <w:bookmarkEnd w:id="994"/>
      <w:r w:rsidRPr="0050129A">
        <w:rPr>
          <w:rStyle w:val="TextoNormalCaracter"/>
        </w:rPr>
        <w:t xml:space="preserve">, Sentencias </w:t>
      </w:r>
      <w:hyperlink w:anchor="SENTENCIA_2008_2" w:history="1">
        <w:r w:rsidRPr="0050129A">
          <w:rPr>
            <w:rStyle w:val="TextoNormalCaracter"/>
          </w:rPr>
          <w:t>2/2008</w:t>
        </w:r>
      </w:hyperlink>
      <w:r w:rsidRPr="0050129A">
        <w:rPr>
          <w:rStyle w:val="TextoNormalCaracter"/>
        </w:rPr>
        <w:t xml:space="preserve">, ff. 2, 3; </w:t>
      </w:r>
      <w:hyperlink w:anchor="SENTENCIA_2008_32" w:history="1">
        <w:r w:rsidRPr="0050129A">
          <w:rPr>
            <w:rStyle w:val="TextoNormalCaracter"/>
          </w:rPr>
          <w:t>32/2008</w:t>
        </w:r>
      </w:hyperlink>
      <w:r w:rsidRPr="0050129A">
        <w:rPr>
          <w:rStyle w:val="TextoNormalCaracter"/>
        </w:rPr>
        <w:t>, f. 3.</w:t>
      </w:r>
    </w:p>
    <w:p w:rsidR="0050129A" w:rsidRPr="0050129A" w:rsidRDefault="0050129A" w:rsidP="0050129A">
      <w:pPr>
        <w:pStyle w:val="TextoNormalSangraFrancesa"/>
        <w:rPr>
          <w:rStyle w:val="TextoNormalNegritaCaracter"/>
        </w:rPr>
      </w:pPr>
      <w:r w:rsidRPr="0050129A">
        <w:rPr>
          <w:rStyle w:val="TextoNormalCursivaCaracter"/>
        </w:rPr>
        <w:t>Enaltecimiento del terrorismo</w:t>
      </w:r>
      <w:r>
        <w:t xml:space="preserve"> véase </w:t>
      </w:r>
      <w:hyperlink w:anchor="DESCRIPTORALFABETICO360" w:history="1">
        <w:r w:rsidRPr="0050129A">
          <w:rPr>
            <w:rStyle w:val="TextoNormalNegritaCaracter"/>
          </w:rPr>
          <w:t>Apología del terrorismo</w:t>
        </w:r>
      </w:hyperlink>
    </w:p>
    <w:p w:rsidR="0050129A" w:rsidRPr="0050129A" w:rsidRDefault="0050129A" w:rsidP="0050129A">
      <w:pPr>
        <w:pStyle w:val="TextoNormalSangraFrancesa"/>
        <w:rPr>
          <w:rStyle w:val="TextoNormalCaracter"/>
        </w:rPr>
      </w:pPr>
      <w:bookmarkStart w:id="995" w:name="DESCRIPTORALFABETICO484"/>
      <w:r w:rsidRPr="0050129A">
        <w:rPr>
          <w:rStyle w:val="TextoNormalNegritaCaracter"/>
        </w:rPr>
        <w:t>Error judicial</w:t>
      </w:r>
      <w:bookmarkEnd w:id="995"/>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Requisitos, </w:t>
      </w:r>
      <w:r w:rsidRPr="0050129A">
        <w:rPr>
          <w:rStyle w:val="TextoNormalCaracter"/>
        </w:rPr>
        <w:t xml:space="preserve">Auto </w:t>
      </w:r>
      <w:hyperlink w:anchor="AUTO_2008_46" w:history="1">
        <w:r w:rsidRPr="0050129A">
          <w:rPr>
            <w:rStyle w:val="TextoNormalCaracter"/>
          </w:rPr>
          <w:t>46/2008</w:t>
        </w:r>
      </w:hyperlink>
      <w:r w:rsidRPr="0050129A">
        <w:rPr>
          <w:rStyle w:val="TextoNormalCaracter"/>
        </w:rPr>
        <w:t>.</w:t>
      </w:r>
    </w:p>
    <w:p w:rsidR="0050129A" w:rsidRPr="0050129A" w:rsidRDefault="0050129A" w:rsidP="0050129A">
      <w:pPr>
        <w:pStyle w:val="TextoNormalSangraFrancesa"/>
        <w:rPr>
          <w:rStyle w:val="TextoNormalCaracter"/>
        </w:rPr>
      </w:pPr>
      <w:bookmarkStart w:id="996" w:name="DESCRIPTORALFABETICO78"/>
      <w:r w:rsidRPr="0050129A">
        <w:rPr>
          <w:rStyle w:val="TextoNormalNegritaCaracter"/>
        </w:rPr>
        <w:t>Error patente</w:t>
      </w:r>
      <w:bookmarkEnd w:id="996"/>
      <w:r w:rsidRPr="0050129A">
        <w:rPr>
          <w:rStyle w:val="TextoNormalCaracter"/>
        </w:rPr>
        <w:t xml:space="preserve">, Sentencia </w:t>
      </w:r>
      <w:hyperlink w:anchor="SENTENCIA_2008_21" w:history="1">
        <w:r w:rsidRPr="0050129A">
          <w:rPr>
            <w:rStyle w:val="TextoNormalCaracter"/>
          </w:rPr>
          <w:t>21/2008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 </w:t>
      </w:r>
      <w:hyperlink w:anchor="SENTENCIA_2008_4" w:history="1">
        <w:r w:rsidRPr="0050129A">
          <w:rPr>
            <w:rStyle w:val="TextoNormalCaracter"/>
          </w:rPr>
          <w:t>4/2008</w:t>
        </w:r>
      </w:hyperlink>
      <w:r w:rsidRPr="0050129A">
        <w:rPr>
          <w:rStyle w:val="TextoNormalCaracter"/>
        </w:rPr>
        <w:t>, f. 3.</w:t>
      </w:r>
    </w:p>
    <w:p w:rsidR="0050129A" w:rsidRPr="0050129A" w:rsidRDefault="0050129A" w:rsidP="0050129A">
      <w:pPr>
        <w:pStyle w:val="TextoNormalSangraFrancesa"/>
        <w:rPr>
          <w:rStyle w:val="TextoNormalCaracter"/>
        </w:rPr>
      </w:pPr>
      <w:bookmarkStart w:id="997" w:name="DESCRIPTORALFABETICO79"/>
      <w:r w:rsidRPr="0050129A">
        <w:rPr>
          <w:rStyle w:val="TextoNormalNegritaCaracter"/>
        </w:rPr>
        <w:t>Error patente con relevancia constitucional</w:t>
      </w:r>
      <w:bookmarkEnd w:id="997"/>
      <w:r w:rsidRPr="0050129A">
        <w:rPr>
          <w:rStyle w:val="TextoNormalCaracter"/>
        </w:rPr>
        <w:t xml:space="preserve">, Sentencia </w:t>
      </w:r>
      <w:hyperlink w:anchor="SENTENCIA_2008_4" w:history="1">
        <w:r w:rsidRPr="0050129A">
          <w:rPr>
            <w:rStyle w:val="TextoNormalCaracter"/>
          </w:rPr>
          <w:t>4/2008</w:t>
        </w:r>
      </w:hyperlink>
      <w:r w:rsidRPr="0050129A">
        <w:rPr>
          <w:rStyle w:val="TextoNormalCaracter"/>
        </w:rPr>
        <w:t>, f. 3.</w:t>
      </w:r>
    </w:p>
    <w:p w:rsidR="0050129A" w:rsidRPr="0050129A" w:rsidRDefault="0050129A" w:rsidP="0050129A">
      <w:pPr>
        <w:pStyle w:val="TextoNormalSangraFrancesa"/>
        <w:rPr>
          <w:rStyle w:val="TextoNormalCaracter"/>
        </w:rPr>
      </w:pPr>
      <w:bookmarkStart w:id="998" w:name="DESCRIPTORALFABETICO80"/>
      <w:r w:rsidRPr="0050129A">
        <w:rPr>
          <w:rStyle w:val="TextoNormalNegritaCaracter"/>
        </w:rPr>
        <w:t>Error patente inexistente</w:t>
      </w:r>
      <w:bookmarkEnd w:id="998"/>
      <w:r w:rsidRPr="0050129A">
        <w:rPr>
          <w:rStyle w:val="TextoNormalCaracter"/>
        </w:rPr>
        <w:t xml:space="preserve">, Sentencia </w:t>
      </w:r>
      <w:hyperlink w:anchor="SENTENCIA_2008_25" w:history="1">
        <w:r w:rsidRPr="0050129A">
          <w:rPr>
            <w:rStyle w:val="TextoNormalCaracter"/>
          </w:rPr>
          <w:t>25/2008</w:t>
        </w:r>
      </w:hyperlink>
      <w:r w:rsidRPr="0050129A">
        <w:rPr>
          <w:rStyle w:val="TextoNormalCaracter"/>
        </w:rPr>
        <w:t>, f. 5.</w:t>
      </w:r>
    </w:p>
    <w:p w:rsidR="0050129A" w:rsidRPr="0050129A" w:rsidRDefault="0050129A" w:rsidP="0050129A">
      <w:pPr>
        <w:pStyle w:val="TextoNormalSangraFrancesa"/>
        <w:rPr>
          <w:rStyle w:val="TextoNormalCaracter"/>
        </w:rPr>
      </w:pPr>
      <w:bookmarkStart w:id="999" w:name="DESCRIPTORALFABETICO81"/>
      <w:r w:rsidRPr="0050129A">
        <w:rPr>
          <w:rStyle w:val="TextoNormalNegritaCaracter"/>
        </w:rPr>
        <w:t>Error patente sin relevancia constitucional</w:t>
      </w:r>
      <w:bookmarkEnd w:id="999"/>
      <w:r w:rsidRPr="0050129A">
        <w:rPr>
          <w:rStyle w:val="TextoNormalCaracter"/>
        </w:rPr>
        <w:t xml:space="preserve">, Sentencia </w:t>
      </w:r>
      <w:hyperlink w:anchor="SENTENCIA_2008_21" w:history="1">
        <w:r w:rsidRPr="0050129A">
          <w:rPr>
            <w:rStyle w:val="TextoNormalCaracter"/>
          </w:rPr>
          <w:t>21/2008</w:t>
        </w:r>
      </w:hyperlink>
      <w:r w:rsidRPr="0050129A">
        <w:rPr>
          <w:rStyle w:val="TextoNormalCaracter"/>
        </w:rPr>
        <w:t>, f. 2.</w:t>
      </w:r>
    </w:p>
    <w:p w:rsidR="0050129A" w:rsidRPr="0050129A" w:rsidRDefault="0050129A" w:rsidP="0050129A">
      <w:pPr>
        <w:pStyle w:val="TextoNormalSangraFrancesa"/>
        <w:rPr>
          <w:rStyle w:val="TextoNormalCaracter"/>
        </w:rPr>
      </w:pPr>
      <w:bookmarkStart w:id="1000" w:name="DESCRIPTORALFABETICO348"/>
      <w:r w:rsidRPr="0050129A">
        <w:rPr>
          <w:rStyle w:val="TextoNormalNegritaCaracter"/>
        </w:rPr>
        <w:t>Escolarización de menores</w:t>
      </w:r>
      <w:bookmarkEnd w:id="1000"/>
      <w:r w:rsidRPr="0050129A">
        <w:rPr>
          <w:rStyle w:val="TextoNormalCaracter"/>
        </w:rPr>
        <w:t xml:space="preserve">, Auto </w:t>
      </w:r>
      <w:hyperlink w:anchor="AUTO_2008_61" w:history="1">
        <w:r w:rsidRPr="0050129A">
          <w:rPr>
            <w:rStyle w:val="TextoNormalCaracter"/>
          </w:rPr>
          <w:t>61/2008</w:t>
        </w:r>
      </w:hyperlink>
      <w:r w:rsidRPr="0050129A">
        <w:rPr>
          <w:rStyle w:val="TextoNormalCaracter"/>
        </w:rPr>
        <w:t>.</w:t>
      </w:r>
    </w:p>
    <w:p w:rsidR="0050129A" w:rsidRPr="0050129A" w:rsidRDefault="0050129A" w:rsidP="0050129A">
      <w:pPr>
        <w:pStyle w:val="TextoNormalSangraFrancesa"/>
        <w:rPr>
          <w:rStyle w:val="TextoNormalCaracter"/>
        </w:rPr>
      </w:pPr>
      <w:bookmarkStart w:id="1001" w:name="DESCRIPTORALFABETICO374"/>
      <w:r w:rsidRPr="0050129A">
        <w:rPr>
          <w:rStyle w:val="TextoNormalNegritaCaracter"/>
        </w:rPr>
        <w:t>Especialidades procesales</w:t>
      </w:r>
      <w:bookmarkEnd w:id="1001"/>
      <w:r w:rsidRPr="0050129A">
        <w:rPr>
          <w:rStyle w:val="TextoNormalCaracter"/>
        </w:rPr>
        <w:t xml:space="preserve">, Sentencia </w:t>
      </w:r>
      <w:hyperlink w:anchor="SENTENCIA_2008_58" w:history="1">
        <w:r w:rsidRPr="0050129A">
          <w:rPr>
            <w:rStyle w:val="TextoNormalCaracter"/>
          </w:rPr>
          <w:t>58/2008</w:t>
        </w:r>
      </w:hyperlink>
      <w:r w:rsidRPr="0050129A">
        <w:rPr>
          <w:rStyle w:val="TextoNormalCaracter"/>
        </w:rPr>
        <w:t>, ff. 1, 4.</w:t>
      </w:r>
    </w:p>
    <w:p w:rsidR="0050129A" w:rsidRPr="0050129A" w:rsidRDefault="0050129A" w:rsidP="0050129A">
      <w:pPr>
        <w:pStyle w:val="TextoNormalSangraFrancesa"/>
        <w:rPr>
          <w:rStyle w:val="TextoNormalCaracter"/>
        </w:rPr>
      </w:pPr>
      <w:bookmarkStart w:id="1002" w:name="DESCRIPTORALFABETICO357"/>
      <w:r w:rsidRPr="0050129A">
        <w:rPr>
          <w:rStyle w:val="TextoNormalNegritaCaracter"/>
        </w:rPr>
        <w:t>Estafa</w:t>
      </w:r>
      <w:bookmarkEnd w:id="1002"/>
      <w:r w:rsidRPr="0050129A">
        <w:rPr>
          <w:rStyle w:val="TextoNormalCaracter"/>
        </w:rPr>
        <w:t xml:space="preserve">, Sentencia </w:t>
      </w:r>
      <w:hyperlink w:anchor="SENTENCIA_2008_29" w:history="1">
        <w:r w:rsidRPr="0050129A">
          <w:rPr>
            <w:rStyle w:val="TextoNormalCaracter"/>
          </w:rPr>
          <w:t>29/2008</w:t>
        </w:r>
      </w:hyperlink>
      <w:r w:rsidRPr="0050129A">
        <w:rPr>
          <w:rStyle w:val="TextoNormalCaracter"/>
        </w:rPr>
        <w:t>, f. 1.</w:t>
      </w:r>
    </w:p>
    <w:p w:rsidR="0050129A" w:rsidRPr="0050129A" w:rsidRDefault="0050129A" w:rsidP="0050129A">
      <w:pPr>
        <w:pStyle w:val="TextoNormalSangraFrancesa"/>
        <w:rPr>
          <w:rStyle w:val="TextoNormalCaracter"/>
        </w:rPr>
      </w:pPr>
      <w:bookmarkStart w:id="1003" w:name="DESCRIPTORALFABETICO263"/>
      <w:r w:rsidRPr="0050129A">
        <w:rPr>
          <w:rStyle w:val="TextoNormalNegritaCaracter"/>
        </w:rPr>
        <w:t>Estatuto jurídico de los magistrados del Tribunal Constitucional</w:t>
      </w:r>
      <w:bookmarkEnd w:id="1003"/>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7 b), c), 9, 10, VP I.</w:t>
      </w:r>
    </w:p>
    <w:p w:rsidR="0050129A" w:rsidRPr="0050129A" w:rsidRDefault="0050129A" w:rsidP="0050129A">
      <w:pPr>
        <w:pStyle w:val="TextoNormalSangraFrancesa"/>
        <w:rPr>
          <w:rStyle w:val="TextoNormalCaracter"/>
        </w:rPr>
      </w:pPr>
      <w:bookmarkStart w:id="1004" w:name="DESCRIPTORALFABETICO293"/>
      <w:r w:rsidRPr="0050129A">
        <w:rPr>
          <w:rStyle w:val="TextoNormalNegritaCaracter"/>
        </w:rPr>
        <w:lastRenderedPageBreak/>
        <w:t>Estatuto jurídico de los parlamentarios</w:t>
      </w:r>
      <w:bookmarkEnd w:id="1004"/>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 5.</w:t>
      </w:r>
    </w:p>
    <w:p w:rsidR="0050129A" w:rsidRPr="0050129A" w:rsidRDefault="0050129A" w:rsidP="0050129A">
      <w:pPr>
        <w:pStyle w:val="TextoNormalSangraFrancesa"/>
        <w:rPr>
          <w:rStyle w:val="TextoNormalCaracter"/>
        </w:rPr>
      </w:pPr>
      <w:bookmarkStart w:id="1005" w:name="DESCRIPTORALFABETICO485"/>
      <w:r w:rsidRPr="0050129A">
        <w:rPr>
          <w:rStyle w:val="TextoNormalNegritaCaracter"/>
        </w:rPr>
        <w:t>Estimación de excepción de cosa juzgada</w:t>
      </w:r>
      <w:bookmarkEnd w:id="1005"/>
      <w:r w:rsidRPr="0050129A">
        <w:rPr>
          <w:rStyle w:val="TextoNormalCaracter"/>
        </w:rPr>
        <w:t xml:space="preserve">, Sentencia </w:t>
      </w:r>
      <w:hyperlink w:anchor="SENTENCIA_2008_17" w:history="1">
        <w:r w:rsidRPr="0050129A">
          <w:rPr>
            <w:rStyle w:val="TextoNormalCaracter"/>
          </w:rPr>
          <w:t>17/2008</w:t>
        </w:r>
      </w:hyperlink>
      <w:r w:rsidRPr="0050129A">
        <w:rPr>
          <w:rStyle w:val="TextoNormalCaracter"/>
        </w:rPr>
        <w:t>, f. 5.</w:t>
      </w:r>
    </w:p>
    <w:p w:rsidR="0050129A" w:rsidRPr="0050129A" w:rsidRDefault="0050129A" w:rsidP="0050129A">
      <w:pPr>
        <w:pStyle w:val="TextoNormalSangraFrancesa"/>
        <w:rPr>
          <w:rStyle w:val="TextoNormalCaracter"/>
        </w:rPr>
      </w:pPr>
      <w:bookmarkStart w:id="1006" w:name="DESCRIPTORALFABETICO188"/>
      <w:r w:rsidRPr="0050129A">
        <w:rPr>
          <w:rStyle w:val="TextoNormalNegritaCaracter"/>
        </w:rPr>
        <w:t>Estimación de recurso de súplica contra Autos del Tribunal Constitucional</w:t>
      </w:r>
      <w:bookmarkEnd w:id="1006"/>
      <w:r w:rsidRPr="0050129A">
        <w:rPr>
          <w:rStyle w:val="TextoNormalCaracter"/>
        </w:rPr>
        <w:t xml:space="preserve">, Auto </w:t>
      </w:r>
      <w:hyperlink w:anchor="AUTO_2008_85" w:history="1">
        <w:r w:rsidRPr="0050129A">
          <w:rPr>
            <w:rStyle w:val="TextoNormalCaracter"/>
          </w:rPr>
          <w:t>85/2008</w:t>
        </w:r>
      </w:hyperlink>
      <w:r w:rsidRPr="0050129A">
        <w:rPr>
          <w:rStyle w:val="TextoNormalCaracter"/>
        </w:rPr>
        <w:t>.</w:t>
      </w:r>
    </w:p>
    <w:p w:rsidR="0050129A" w:rsidRPr="0050129A" w:rsidRDefault="0050129A" w:rsidP="0050129A">
      <w:pPr>
        <w:pStyle w:val="TextoNormalSangraFrancesa"/>
        <w:rPr>
          <w:rStyle w:val="TextoNormalCaracter"/>
        </w:rPr>
      </w:pPr>
      <w:bookmarkStart w:id="1007" w:name="DESCRIPTORALFABETICO190"/>
      <w:r w:rsidRPr="0050129A">
        <w:rPr>
          <w:rStyle w:val="TextoNormalNegritaCaracter"/>
        </w:rPr>
        <w:t>Estimación de recurso de súplica contra providencias de inadmisión del Tribunal Constitucional</w:t>
      </w:r>
      <w:bookmarkEnd w:id="1007"/>
      <w:r w:rsidRPr="0050129A">
        <w:rPr>
          <w:rStyle w:val="TextoNormalCaracter"/>
        </w:rPr>
        <w:t xml:space="preserve">, Autos </w:t>
      </w:r>
      <w:hyperlink w:anchor="AUTO_2008_58" w:history="1">
        <w:r w:rsidRPr="0050129A">
          <w:rPr>
            <w:rStyle w:val="TextoNormalCaracter"/>
          </w:rPr>
          <w:t>58/2008</w:t>
        </w:r>
      </w:hyperlink>
      <w:r w:rsidRPr="0050129A">
        <w:rPr>
          <w:rStyle w:val="TextoNormalCaracter"/>
        </w:rPr>
        <w:t xml:space="preserve">; </w:t>
      </w:r>
      <w:hyperlink w:anchor="AUTO_2008_62" w:history="1">
        <w:r w:rsidRPr="0050129A">
          <w:rPr>
            <w:rStyle w:val="TextoNormalCaracter"/>
          </w:rPr>
          <w:t>62/2008</w:t>
        </w:r>
      </w:hyperlink>
      <w:r w:rsidRPr="0050129A">
        <w:rPr>
          <w:rStyle w:val="TextoNormalCaracter"/>
        </w:rPr>
        <w:t>.</w:t>
      </w:r>
    </w:p>
    <w:p w:rsidR="0050129A" w:rsidRPr="0050129A" w:rsidRDefault="0050129A" w:rsidP="0050129A">
      <w:pPr>
        <w:pStyle w:val="TextoNormalSangraFrancesa"/>
        <w:rPr>
          <w:rStyle w:val="TextoNormalCaracter"/>
        </w:rPr>
      </w:pPr>
      <w:bookmarkStart w:id="1008" w:name="DESCRIPTORALFABETICO217"/>
      <w:r w:rsidRPr="0050129A">
        <w:rPr>
          <w:rStyle w:val="TextoNormalNegritaCaracter"/>
        </w:rPr>
        <w:t>Examen de oficio de requisitos procesales de la demanda de amparo</w:t>
      </w:r>
      <w:bookmarkEnd w:id="1008"/>
      <w:r w:rsidRPr="0050129A">
        <w:rPr>
          <w:rStyle w:val="TextoNormalCaracter"/>
        </w:rPr>
        <w:t xml:space="preserve">, Autos </w:t>
      </w:r>
      <w:hyperlink w:anchor="AUTO_2008_89" w:history="1">
        <w:r w:rsidRPr="0050129A">
          <w:rPr>
            <w:rStyle w:val="TextoNormalCaracter"/>
          </w:rPr>
          <w:t>89/2008</w:t>
        </w:r>
      </w:hyperlink>
      <w:r w:rsidRPr="0050129A">
        <w:rPr>
          <w:rStyle w:val="TextoNormalCaracter"/>
        </w:rPr>
        <w:t xml:space="preserve">; </w:t>
      </w:r>
      <w:hyperlink w:anchor="AUTO_2008_100" w:history="1">
        <w:r w:rsidRPr="0050129A">
          <w:rPr>
            <w:rStyle w:val="TextoNormalCaracter"/>
          </w:rPr>
          <w:t>100/2008</w:t>
        </w:r>
      </w:hyperlink>
      <w:r w:rsidRPr="0050129A">
        <w:rPr>
          <w:rStyle w:val="TextoNormalCaracter"/>
        </w:rPr>
        <w:t>.</w:t>
      </w:r>
    </w:p>
    <w:p w:rsidR="0050129A" w:rsidRPr="0050129A" w:rsidRDefault="0050129A" w:rsidP="0050129A">
      <w:pPr>
        <w:pStyle w:val="TextoNormalSangraFrancesa"/>
        <w:rPr>
          <w:rStyle w:val="TextoNormalCaracter"/>
        </w:rPr>
      </w:pPr>
      <w:bookmarkStart w:id="1009" w:name="DESCRIPTORALFABETICO443"/>
      <w:r w:rsidRPr="0050129A">
        <w:rPr>
          <w:rStyle w:val="TextoNormalNegritaCaracter"/>
        </w:rPr>
        <w:t>Exceso de jurisdicción</w:t>
      </w:r>
      <w:bookmarkEnd w:id="1009"/>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Exceso o abuso de jurisdicción</w:t>
      </w:r>
      <w:r>
        <w:t xml:space="preserve"> véase </w:t>
      </w:r>
      <w:hyperlink w:anchor="DESCRIPTORALFABETICO443" w:history="1">
        <w:r w:rsidRPr="0050129A">
          <w:rPr>
            <w:rStyle w:val="TextoNormalNegritaCaracter"/>
          </w:rPr>
          <w:t>Exceso de jurisdicción</w:t>
        </w:r>
      </w:hyperlink>
    </w:p>
    <w:p w:rsidR="0050129A" w:rsidRPr="0050129A" w:rsidRDefault="0050129A" w:rsidP="0050129A">
      <w:pPr>
        <w:pStyle w:val="TextoNormalSangraFrancesa"/>
        <w:rPr>
          <w:rStyle w:val="TextoNormalCaracter"/>
        </w:rPr>
      </w:pPr>
      <w:bookmarkStart w:id="1010" w:name="DESCRIPTORALFABETICO587"/>
      <w:r w:rsidRPr="0050129A">
        <w:rPr>
          <w:rStyle w:val="TextoNormalNegritaCaracter"/>
        </w:rPr>
        <w:t>Exclusión de doble abono de prisión provisional</w:t>
      </w:r>
      <w:bookmarkEnd w:id="1010"/>
      <w:r w:rsidRPr="0050129A">
        <w:rPr>
          <w:rStyle w:val="TextoNormalCaracter"/>
        </w:rPr>
        <w:t xml:space="preserve">, Sentencia </w:t>
      </w:r>
      <w:hyperlink w:anchor="SENTENCIA_2008_57" w:history="1">
        <w:r w:rsidRPr="0050129A">
          <w:rPr>
            <w:rStyle w:val="TextoNormalCaracter"/>
          </w:rPr>
          <w:t>57/2008</w:t>
        </w:r>
      </w:hyperlink>
      <w:r w:rsidRPr="0050129A">
        <w:rPr>
          <w:rStyle w:val="TextoNormalCaracter"/>
        </w:rPr>
        <w:t>, ff. 2, 6 a 8.</w:t>
      </w:r>
    </w:p>
    <w:p w:rsidR="0050129A" w:rsidRPr="0050129A" w:rsidRDefault="0050129A" w:rsidP="0050129A">
      <w:pPr>
        <w:pStyle w:val="TextoNormalSangraFrancesa"/>
        <w:rPr>
          <w:rStyle w:val="TextoNormalCaracter"/>
        </w:rPr>
      </w:pPr>
      <w:bookmarkStart w:id="1011" w:name="DESCRIPTORALFABETICO328"/>
      <w:r w:rsidRPr="0050129A">
        <w:rPr>
          <w:rStyle w:val="TextoNormalNegritaCaracter"/>
        </w:rPr>
        <w:t>Exclusión de la democracia militante</w:t>
      </w:r>
      <w:bookmarkEnd w:id="1011"/>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6.</w:t>
      </w:r>
    </w:p>
    <w:p w:rsidR="0050129A" w:rsidRPr="0050129A" w:rsidRDefault="0050129A" w:rsidP="0050129A">
      <w:pPr>
        <w:pStyle w:val="TextoNormalSangraFrancesa"/>
        <w:rPr>
          <w:rStyle w:val="TextoNormalCaracter"/>
        </w:rPr>
      </w:pPr>
      <w:bookmarkStart w:id="1012" w:name="DESCRIPTORALFABETICO70"/>
      <w:r w:rsidRPr="0050129A">
        <w:rPr>
          <w:rStyle w:val="TextoNormalNegritaCaracter"/>
        </w:rPr>
        <w:t>Exclusión legal de acceso a la jurisdicción</w:t>
      </w:r>
      <w:bookmarkEnd w:id="1012"/>
      <w:r w:rsidRPr="0050129A">
        <w:rPr>
          <w:rStyle w:val="TextoNormalCaracter"/>
        </w:rPr>
        <w:t xml:space="preserve">, Sentencia </w:t>
      </w:r>
      <w:hyperlink w:anchor="SENTENCIA_2008_26" w:history="1">
        <w:r w:rsidRPr="0050129A">
          <w:rPr>
            <w:rStyle w:val="TextoNormalCaracter"/>
          </w:rPr>
          <w:t>26/2008</w:t>
        </w:r>
      </w:hyperlink>
      <w:r w:rsidRPr="0050129A">
        <w:rPr>
          <w:rStyle w:val="TextoNormalCaracter"/>
        </w:rPr>
        <w:t>, ff. 3, 4, 5, 6, 7, 8, 9, 10, 11.</w:t>
      </w:r>
    </w:p>
    <w:p w:rsidR="0050129A" w:rsidRPr="0050129A" w:rsidRDefault="0050129A" w:rsidP="0050129A">
      <w:pPr>
        <w:pStyle w:val="TextoNormalSangraFrancesa"/>
        <w:rPr>
          <w:rStyle w:val="TextoNormalCaracter"/>
        </w:rPr>
      </w:pPr>
      <w:bookmarkStart w:id="1013" w:name="DESCRIPTORALFABETICO467"/>
      <w:r w:rsidRPr="0050129A">
        <w:rPr>
          <w:rStyle w:val="TextoNormalNegritaCaracter"/>
        </w:rPr>
        <w:t>Exención de consignación</w:t>
      </w:r>
      <w:bookmarkEnd w:id="1013"/>
      <w:r w:rsidRPr="0050129A">
        <w:rPr>
          <w:rStyle w:val="TextoNormalCaracter"/>
        </w:rPr>
        <w:t xml:space="preserve">, Sentencia </w:t>
      </w:r>
      <w:hyperlink w:anchor="SENTENCIA_2008_33" w:history="1">
        <w:r w:rsidRPr="0050129A">
          <w:rPr>
            <w:rStyle w:val="TextoNormalCaracter"/>
          </w:rPr>
          <w:t>33/2008</w:t>
        </w:r>
      </w:hyperlink>
      <w:r w:rsidRPr="0050129A">
        <w:rPr>
          <w:rStyle w:val="TextoNormalCaracter"/>
        </w:rPr>
        <w:t>, f. 3.</w:t>
      </w:r>
    </w:p>
    <w:p w:rsidR="0050129A" w:rsidRPr="0050129A" w:rsidRDefault="0050129A" w:rsidP="0050129A">
      <w:pPr>
        <w:pStyle w:val="TextoNormalSangraFrancesa"/>
        <w:rPr>
          <w:rStyle w:val="TextoNormalCaracter"/>
        </w:rPr>
      </w:pPr>
      <w:bookmarkStart w:id="1014" w:name="DESCRIPTORALFABETICO388"/>
      <w:r w:rsidRPr="0050129A">
        <w:rPr>
          <w:rStyle w:val="TextoNormalNegritaCaracter"/>
        </w:rPr>
        <w:t>Exposición de motivos</w:t>
      </w:r>
      <w:bookmarkEnd w:id="1014"/>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5.</w:t>
      </w:r>
    </w:p>
    <w:p w:rsidR="0050129A" w:rsidRPr="0050129A" w:rsidRDefault="0050129A" w:rsidP="0050129A">
      <w:pPr>
        <w:pStyle w:val="TextoNormalSangraFrancesa"/>
        <w:rPr>
          <w:rStyle w:val="TextoNormalCaracter"/>
        </w:rPr>
      </w:pPr>
      <w:bookmarkStart w:id="1015" w:name="DESCRIPTORALFABETICO132"/>
      <w:r w:rsidRPr="0050129A">
        <w:rPr>
          <w:rStyle w:val="TextoNormalNegritaCaracter"/>
        </w:rPr>
        <w:t>Expresiones vejatorias</w:t>
      </w:r>
      <w:bookmarkEnd w:id="1015"/>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ff. 6, 7.</w:t>
      </w:r>
    </w:p>
    <w:p w:rsidR="0050129A" w:rsidRPr="0050129A" w:rsidRDefault="0050129A" w:rsidP="0050129A">
      <w:pPr>
        <w:pStyle w:val="TextoNormalSangraFrancesa"/>
        <w:rPr>
          <w:rStyle w:val="TextoNormalNegritaCaracter"/>
        </w:rPr>
      </w:pPr>
      <w:r w:rsidRPr="0050129A">
        <w:rPr>
          <w:rStyle w:val="TextoNormalCursivaCaracter"/>
        </w:rPr>
        <w:t>Extemporaneidad de la demanda de amparo</w:t>
      </w:r>
      <w:r>
        <w:t xml:space="preserve"> véase </w:t>
      </w:r>
      <w:hyperlink w:anchor="DESCRIPTORALFABETICO226" w:history="1">
        <w:r w:rsidRPr="0050129A">
          <w:rPr>
            <w:rStyle w:val="TextoNormalNegritaCaracter"/>
          </w:rPr>
          <w:t>Extemporaneidad del recurso de amparo</w:t>
        </w:r>
      </w:hyperlink>
    </w:p>
    <w:p w:rsidR="0050129A" w:rsidRPr="0050129A" w:rsidRDefault="0050129A" w:rsidP="0050129A">
      <w:pPr>
        <w:pStyle w:val="TextoNormalSangraFrancesa"/>
        <w:rPr>
          <w:rStyle w:val="TextoNormalCaracter"/>
        </w:rPr>
      </w:pPr>
      <w:bookmarkStart w:id="1016" w:name="DESCRIPTORALFABETICO226"/>
      <w:r w:rsidRPr="0050129A">
        <w:rPr>
          <w:rStyle w:val="TextoNormalNegritaCaracter"/>
        </w:rPr>
        <w:t>Extemporaneidad del recurso de amparo</w:t>
      </w:r>
      <w:bookmarkEnd w:id="1016"/>
      <w:r w:rsidRPr="0050129A">
        <w:rPr>
          <w:rStyle w:val="TextoNormalCaracter"/>
        </w:rPr>
        <w:t xml:space="preserve">, Sentencias </w:t>
      </w:r>
      <w:hyperlink w:anchor="SENTENCIA_2008_13" w:history="1">
        <w:r w:rsidRPr="0050129A">
          <w:rPr>
            <w:rStyle w:val="TextoNormalCaracter"/>
          </w:rPr>
          <w:t>13/2008</w:t>
        </w:r>
      </w:hyperlink>
      <w:r w:rsidRPr="0050129A">
        <w:rPr>
          <w:rStyle w:val="TextoNormalCaracter"/>
        </w:rPr>
        <w:t xml:space="preserve">, f. 2; </w:t>
      </w:r>
      <w:hyperlink w:anchor="SENTENCIA_2008_20" w:history="1">
        <w:r w:rsidRPr="0050129A">
          <w:rPr>
            <w:rStyle w:val="TextoNormalCaracter"/>
          </w:rPr>
          <w:t>20/2008</w:t>
        </w:r>
      </w:hyperlink>
      <w:r w:rsidRPr="0050129A">
        <w:rPr>
          <w:rStyle w:val="TextoNormalCaracter"/>
        </w:rPr>
        <w:t>, f. 3.</w:t>
      </w:r>
    </w:p>
    <w:p w:rsidR="0050129A" w:rsidRPr="0050129A" w:rsidRDefault="0050129A" w:rsidP="0050129A">
      <w:pPr>
        <w:pStyle w:val="TextoNormalSangraFrancesa"/>
        <w:rPr>
          <w:rStyle w:val="TextoNormalCaracter"/>
        </w:rPr>
      </w:pPr>
      <w:bookmarkStart w:id="1017" w:name="DESCRIPTORALFABETICO227"/>
      <w:r w:rsidRPr="0050129A">
        <w:rPr>
          <w:rStyle w:val="TextoNormalNegritaCaracter"/>
        </w:rPr>
        <w:t>Extemporaneidad por recurso manifiestamente improcedente</w:t>
      </w:r>
      <w:bookmarkEnd w:id="1017"/>
      <w:r w:rsidRPr="0050129A">
        <w:rPr>
          <w:rStyle w:val="TextoNormalCaracter"/>
        </w:rPr>
        <w:t xml:space="preserve">, Auto </w:t>
      </w:r>
      <w:hyperlink w:anchor="AUTO_2008_63" w:history="1">
        <w:r w:rsidRPr="0050129A">
          <w:rPr>
            <w:rStyle w:val="TextoNormalCaracter"/>
          </w:rPr>
          <w:t>63/2008</w:t>
        </w:r>
      </w:hyperlink>
      <w:r w:rsidRPr="0050129A">
        <w:rPr>
          <w:rStyle w:val="TextoNormalCaracter"/>
        </w:rPr>
        <w:t>.</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F</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018" w:name="DESCRIPTORALFABETICO402"/>
      <w:r w:rsidRPr="0050129A">
        <w:rPr>
          <w:rStyle w:val="TextoNormalNegritaCaracter"/>
        </w:rPr>
        <w:t>Fallecimiento</w:t>
      </w:r>
      <w:bookmarkEnd w:id="1018"/>
      <w:r w:rsidRPr="0050129A">
        <w:rPr>
          <w:rStyle w:val="TextoNormalCaracter"/>
        </w:rPr>
        <w:t xml:space="preserve">, Sentencias </w:t>
      </w:r>
      <w:hyperlink w:anchor="SENTENCIA_2008_51" w:history="1">
        <w:r w:rsidRPr="0050129A">
          <w:rPr>
            <w:rStyle w:val="TextoNormalCaracter"/>
          </w:rPr>
          <w:t>51/2008</w:t>
        </w:r>
      </w:hyperlink>
      <w:r w:rsidRPr="0050129A">
        <w:rPr>
          <w:rStyle w:val="TextoNormalCaracter"/>
        </w:rPr>
        <w:t xml:space="preserve">, ff. 6, 7; </w:t>
      </w:r>
      <w:hyperlink w:anchor="SENTENCIA_2008_53" w:history="1">
        <w:r w:rsidRPr="0050129A">
          <w:rPr>
            <w:rStyle w:val="TextoNormalCaracter"/>
          </w:rPr>
          <w:t>53/2008</w:t>
        </w:r>
      </w:hyperlink>
      <w:r w:rsidRPr="0050129A">
        <w:rPr>
          <w:rStyle w:val="TextoNormalCaracter"/>
        </w:rPr>
        <w:t>, f. único.</w:t>
      </w:r>
    </w:p>
    <w:p w:rsidR="0050129A" w:rsidRPr="0050129A" w:rsidRDefault="0050129A" w:rsidP="0050129A">
      <w:pPr>
        <w:pStyle w:val="TextoNormalSangraFrancesa"/>
        <w:rPr>
          <w:rStyle w:val="TextoNormalCaracter"/>
        </w:rPr>
      </w:pPr>
      <w:bookmarkStart w:id="1019" w:name="DESCRIPTORALFABETICO358"/>
      <w:r w:rsidRPr="0050129A">
        <w:rPr>
          <w:rStyle w:val="TextoNormalNegritaCaracter"/>
        </w:rPr>
        <w:t>Falsedad documental</w:t>
      </w:r>
      <w:bookmarkEnd w:id="1019"/>
      <w:r w:rsidRPr="0050129A">
        <w:rPr>
          <w:rStyle w:val="TextoNormalCaracter"/>
        </w:rPr>
        <w:t xml:space="preserve">, Sentencia </w:t>
      </w:r>
      <w:hyperlink w:anchor="SENTENCIA_2008_29" w:history="1">
        <w:r w:rsidRPr="0050129A">
          <w:rPr>
            <w:rStyle w:val="TextoNormalCaracter"/>
          </w:rPr>
          <w:t>29/2008</w:t>
        </w:r>
      </w:hyperlink>
      <w:r w:rsidRPr="0050129A">
        <w:rPr>
          <w:rStyle w:val="TextoNormalCaracter"/>
        </w:rPr>
        <w:t>, f. 1.</w:t>
      </w:r>
    </w:p>
    <w:p w:rsidR="0050129A" w:rsidRPr="0050129A" w:rsidRDefault="0050129A" w:rsidP="0050129A">
      <w:pPr>
        <w:pStyle w:val="TextoNormalSangraFrancesa"/>
        <w:rPr>
          <w:rStyle w:val="TextoNormalNegritaCaracter"/>
        </w:rPr>
      </w:pPr>
      <w:r w:rsidRPr="0050129A">
        <w:rPr>
          <w:rStyle w:val="TextoNormalCursivaCaracter"/>
        </w:rPr>
        <w:t>Falsificación de documento</w:t>
      </w:r>
      <w:r>
        <w:t xml:space="preserve"> véase </w:t>
      </w:r>
      <w:hyperlink w:anchor="DESCRIPTORALFABETICO358" w:history="1">
        <w:r w:rsidRPr="0050129A">
          <w:rPr>
            <w:rStyle w:val="TextoNormalNegritaCaracter"/>
          </w:rPr>
          <w:t>Falsedad documental</w:t>
        </w:r>
      </w:hyperlink>
    </w:p>
    <w:p w:rsidR="0050129A" w:rsidRPr="0050129A" w:rsidRDefault="0050129A" w:rsidP="0050129A">
      <w:pPr>
        <w:pStyle w:val="TextoNormalSangraFrancesa"/>
        <w:rPr>
          <w:rStyle w:val="TextoNormalCaracter"/>
        </w:rPr>
      </w:pPr>
      <w:bookmarkStart w:id="1020" w:name="DESCRIPTORALFABETICO121"/>
      <w:r w:rsidRPr="0050129A">
        <w:rPr>
          <w:rStyle w:val="TextoNormalNegritaCaracter"/>
        </w:rPr>
        <w:t>Falta de denuncia de las dilaciones</w:t>
      </w:r>
      <w:bookmarkEnd w:id="1020"/>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021" w:name="DESCRIPTORALFABETICO478"/>
      <w:r w:rsidRPr="0050129A">
        <w:rPr>
          <w:rStyle w:val="TextoNormalNegritaCaracter"/>
        </w:rPr>
        <w:t>Falta de diligencia procesal</w:t>
      </w:r>
      <w:bookmarkEnd w:id="1021"/>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bookmarkStart w:id="1022" w:name="DESCRIPTORALFABETICO35"/>
      <w:r w:rsidRPr="0050129A">
        <w:rPr>
          <w:rStyle w:val="TextoNormalNegritaCaracter"/>
        </w:rPr>
        <w:t>Falta de identidad de supuestos de hecho</w:t>
      </w:r>
      <w:bookmarkEnd w:id="1022"/>
      <w:r w:rsidRPr="0050129A">
        <w:rPr>
          <w:rStyle w:val="TextoNormalCaracter"/>
        </w:rPr>
        <w:t xml:space="preserve">, Auto </w:t>
      </w:r>
      <w:hyperlink w:anchor="AUTO_2008_86" w:history="1">
        <w:r w:rsidRPr="0050129A">
          <w:rPr>
            <w:rStyle w:val="TextoNormalCaracter"/>
          </w:rPr>
          <w:t>86/2008</w:t>
        </w:r>
      </w:hyperlink>
      <w:r w:rsidRPr="0050129A">
        <w:rPr>
          <w:rStyle w:val="TextoNormalCaracter"/>
        </w:rPr>
        <w:t>.</w:t>
      </w:r>
    </w:p>
    <w:p w:rsidR="0050129A" w:rsidRPr="0050129A" w:rsidRDefault="0050129A" w:rsidP="0050129A">
      <w:pPr>
        <w:pStyle w:val="TextoNormalSangraFrancesa"/>
        <w:rPr>
          <w:rStyle w:val="TextoNormalCaracter"/>
        </w:rPr>
      </w:pPr>
      <w:bookmarkStart w:id="1023" w:name="DESCRIPTORALFABETICO95"/>
      <w:r w:rsidRPr="0050129A">
        <w:rPr>
          <w:rStyle w:val="TextoNormalNegritaCaracter"/>
        </w:rPr>
        <w:t>Falta de motivación de las sentencias</w:t>
      </w:r>
      <w:bookmarkEnd w:id="1023"/>
      <w:r w:rsidRPr="0050129A">
        <w:rPr>
          <w:rStyle w:val="TextoNormalCaracter"/>
        </w:rPr>
        <w:t xml:space="preserve">, Sentencia </w:t>
      </w:r>
      <w:hyperlink w:anchor="SENTENCIA_2008_16" w:history="1">
        <w:r w:rsidRPr="0050129A">
          <w:rPr>
            <w:rStyle w:val="TextoNormalCaracter"/>
          </w:rPr>
          <w:t>16/2008</w:t>
        </w:r>
      </w:hyperlink>
      <w:r w:rsidRPr="0050129A">
        <w:rPr>
          <w:rStyle w:val="TextoNormalCaracter"/>
        </w:rPr>
        <w:t>, ff. 2, 3.</w:t>
      </w:r>
    </w:p>
    <w:p w:rsidR="0050129A" w:rsidRPr="0050129A" w:rsidRDefault="0050129A" w:rsidP="0050129A">
      <w:pPr>
        <w:pStyle w:val="TextoNormalSangraFrancesa"/>
        <w:rPr>
          <w:rStyle w:val="TextoNormalCaracter"/>
        </w:rPr>
      </w:pPr>
      <w:bookmarkStart w:id="1024" w:name="DESCRIPTORALFABETICO461"/>
      <w:r w:rsidRPr="0050129A">
        <w:rPr>
          <w:rStyle w:val="TextoNormalNegritaCaracter"/>
        </w:rPr>
        <w:t>Falta de notificación a terceros interesados</w:t>
      </w:r>
      <w:bookmarkEnd w:id="1024"/>
      <w:r w:rsidRPr="0050129A">
        <w:rPr>
          <w:rStyle w:val="TextoNormalCaracter"/>
        </w:rPr>
        <w:t xml:space="preserve">, Sentencia </w:t>
      </w:r>
      <w:hyperlink w:anchor="SENTENCIA_2008_6" w:history="1">
        <w:r w:rsidRPr="0050129A">
          <w:rPr>
            <w:rStyle w:val="TextoNormalCaracter"/>
          </w:rPr>
          <w:t>6/2008</w:t>
        </w:r>
      </w:hyperlink>
      <w:r w:rsidRPr="0050129A">
        <w:rPr>
          <w:rStyle w:val="TextoNormalCaracter"/>
        </w:rPr>
        <w:t>, f. 3.</w:t>
      </w:r>
    </w:p>
    <w:p w:rsidR="0050129A" w:rsidRPr="0050129A" w:rsidRDefault="0050129A" w:rsidP="0050129A">
      <w:pPr>
        <w:pStyle w:val="TextoNormalSangraFrancesa"/>
        <w:rPr>
          <w:rStyle w:val="TextoNormalCaracter"/>
        </w:rPr>
      </w:pPr>
      <w:bookmarkStart w:id="1025" w:name="DESCRIPTORALFABETICO462"/>
      <w:r w:rsidRPr="0050129A">
        <w:rPr>
          <w:rStyle w:val="TextoNormalNegritaCaracter"/>
        </w:rPr>
        <w:t>Falta de notificación personal al interesado</w:t>
      </w:r>
      <w:bookmarkEnd w:id="1025"/>
      <w:r w:rsidRPr="0050129A">
        <w:rPr>
          <w:rStyle w:val="TextoNormalCaracter"/>
        </w:rPr>
        <w:t xml:space="preserve">, Sentencia </w:t>
      </w:r>
      <w:hyperlink w:anchor="SENTENCIA_2008_2" w:history="1">
        <w:r w:rsidRPr="0050129A">
          <w:rPr>
            <w:rStyle w:val="TextoNormalCaracter"/>
          </w:rPr>
          <w:t>2/2008</w:t>
        </w:r>
      </w:hyperlink>
      <w:r w:rsidRPr="0050129A">
        <w:rPr>
          <w:rStyle w:val="TextoNormalCaracter"/>
        </w:rPr>
        <w:t>, ff. 2 a 4.</w:t>
      </w:r>
    </w:p>
    <w:p w:rsidR="0050129A" w:rsidRPr="0050129A" w:rsidRDefault="0050129A" w:rsidP="0050129A">
      <w:pPr>
        <w:pStyle w:val="TextoNormalSangraFrancesa"/>
        <w:rPr>
          <w:rStyle w:val="TextoNormalCaracter"/>
        </w:rPr>
      </w:pPr>
      <w:bookmarkStart w:id="1026" w:name="DESCRIPTORALFABETICO489"/>
      <w:r w:rsidRPr="0050129A">
        <w:rPr>
          <w:rStyle w:val="TextoNormalNegritaCaracter"/>
        </w:rPr>
        <w:t>Falta de práctica de prueba</w:t>
      </w:r>
      <w:bookmarkEnd w:id="1026"/>
      <w:r w:rsidRPr="0050129A">
        <w:rPr>
          <w:rStyle w:val="TextoNormalCaracter"/>
        </w:rPr>
        <w:t xml:space="preserve">, Sentencia </w:t>
      </w:r>
      <w:hyperlink w:anchor="SENTENCIA_2008_48" w:history="1">
        <w:r w:rsidRPr="0050129A">
          <w:rPr>
            <w:rStyle w:val="TextoNormalCaracter"/>
          </w:rPr>
          <w:t>48/2008</w:t>
        </w:r>
      </w:hyperlink>
      <w:r w:rsidRPr="0050129A">
        <w:rPr>
          <w:rStyle w:val="TextoNormalCaracter"/>
        </w:rPr>
        <w:t>, f. 3.</w:t>
      </w:r>
    </w:p>
    <w:p w:rsidR="0050129A" w:rsidRPr="0050129A" w:rsidRDefault="0050129A" w:rsidP="0050129A">
      <w:pPr>
        <w:pStyle w:val="TextoNormalSangraFrancesa"/>
        <w:rPr>
          <w:rStyle w:val="TextoNormalCaracter"/>
        </w:rPr>
      </w:pPr>
      <w:bookmarkStart w:id="1027" w:name="DESCRIPTORALFABETICO363"/>
      <w:r w:rsidRPr="0050129A">
        <w:rPr>
          <w:rStyle w:val="TextoNormalNegritaCaracter"/>
        </w:rPr>
        <w:t>Faltas penales</w:t>
      </w:r>
      <w:bookmarkEnd w:id="1027"/>
      <w:r w:rsidRPr="0050129A">
        <w:rPr>
          <w:rStyle w:val="TextoNormalCaracter"/>
        </w:rPr>
        <w:t xml:space="preserve">, Sentencia </w:t>
      </w:r>
      <w:hyperlink w:anchor="SENTENCIA_2008_28" w:history="1">
        <w:r w:rsidRPr="0050129A">
          <w:rPr>
            <w:rStyle w:val="TextoNormalCaracter"/>
          </w:rPr>
          <w:t>28/2008</w:t>
        </w:r>
      </w:hyperlink>
      <w:r w:rsidRPr="0050129A">
        <w:rPr>
          <w:rStyle w:val="TextoNormalCaracter"/>
        </w:rPr>
        <w:t>, f. 1.</w:t>
      </w:r>
    </w:p>
    <w:p w:rsidR="0050129A" w:rsidRPr="0050129A" w:rsidRDefault="0050129A" w:rsidP="0050129A">
      <w:pPr>
        <w:pStyle w:val="TextoNormalSangraFrancesa"/>
        <w:rPr>
          <w:rStyle w:val="TextoNormalCaracter"/>
        </w:rPr>
      </w:pPr>
      <w:bookmarkStart w:id="1028" w:name="DESCRIPTORALFABETICO216"/>
      <w:r w:rsidRPr="0050129A">
        <w:rPr>
          <w:rStyle w:val="TextoNormalNegritaCaracter"/>
        </w:rPr>
        <w:t>Fijación de la pretensión de amparo</w:t>
      </w:r>
      <w:bookmarkEnd w:id="1028"/>
      <w:r w:rsidRPr="0050129A">
        <w:rPr>
          <w:rStyle w:val="TextoNormalCaracter"/>
        </w:rPr>
        <w:t xml:space="preserve">, Sentencias </w:t>
      </w:r>
      <w:hyperlink w:anchor="SENTENCIA_2008_5" w:history="1">
        <w:r w:rsidRPr="0050129A">
          <w:rPr>
            <w:rStyle w:val="TextoNormalCaracter"/>
          </w:rPr>
          <w:t>5/2008</w:t>
        </w:r>
      </w:hyperlink>
      <w:r w:rsidRPr="0050129A">
        <w:rPr>
          <w:rStyle w:val="TextoNormalCaracter"/>
        </w:rPr>
        <w:t xml:space="preserve">, f. 2; </w:t>
      </w:r>
      <w:hyperlink w:anchor="SENTENCIA_2008_7" w:history="1">
        <w:r w:rsidRPr="0050129A">
          <w:rPr>
            <w:rStyle w:val="TextoNormalCaracter"/>
          </w:rPr>
          <w:t>7/2008</w:t>
        </w:r>
      </w:hyperlink>
      <w:r w:rsidRPr="0050129A">
        <w:rPr>
          <w:rStyle w:val="TextoNormalCaracter"/>
        </w:rPr>
        <w:t xml:space="preserve">, f. 1; </w:t>
      </w:r>
      <w:hyperlink w:anchor="SENTENCIA_2008_11" w:history="1">
        <w:r w:rsidRPr="0050129A">
          <w:rPr>
            <w:rStyle w:val="TextoNormalCaracter"/>
          </w:rPr>
          <w:t>11/2008</w:t>
        </w:r>
      </w:hyperlink>
      <w:r w:rsidRPr="0050129A">
        <w:rPr>
          <w:rStyle w:val="TextoNormalCaracter"/>
        </w:rPr>
        <w:t>, f. 9.</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82" w:history="1">
        <w:r w:rsidRPr="0050129A">
          <w:rPr>
            <w:rStyle w:val="TextoNormalCaracter"/>
          </w:rPr>
          <w:t>82/2008</w:t>
        </w:r>
      </w:hyperlink>
      <w:r w:rsidRPr="0050129A">
        <w:rPr>
          <w:rStyle w:val="TextoNormalCaracter"/>
        </w:rPr>
        <w:t>.</w:t>
      </w:r>
    </w:p>
    <w:p w:rsidR="0050129A" w:rsidRPr="0050129A" w:rsidRDefault="0050129A" w:rsidP="0050129A">
      <w:pPr>
        <w:pStyle w:val="TextoNormalSangraFrancesa"/>
        <w:rPr>
          <w:rStyle w:val="TextoNormalCaracter"/>
        </w:rPr>
      </w:pPr>
      <w:bookmarkStart w:id="1029" w:name="DESCRIPTORALFABETICO42"/>
      <w:r w:rsidRPr="0050129A">
        <w:rPr>
          <w:rStyle w:val="TextoNormalNegritaCaracter"/>
        </w:rPr>
        <w:t>Finalidad legítima de la norma</w:t>
      </w:r>
      <w:bookmarkEnd w:id="1029"/>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8.</w:t>
      </w:r>
    </w:p>
    <w:p w:rsidR="0050129A" w:rsidRPr="0050129A" w:rsidRDefault="0050129A" w:rsidP="0050129A">
      <w:pPr>
        <w:pStyle w:val="TextoNormalSangraFrancesa"/>
        <w:rPr>
          <w:rStyle w:val="TextoNormalCaracter"/>
        </w:rPr>
      </w:pPr>
      <w:bookmarkStart w:id="1030" w:name="DESCRIPTORALFABETICO91"/>
      <w:r w:rsidRPr="0050129A">
        <w:rPr>
          <w:rStyle w:val="TextoNormalNegritaCaracter"/>
        </w:rPr>
        <w:t>Fórmulas estereotipadas</w:t>
      </w:r>
      <w:bookmarkEnd w:id="1030"/>
      <w:r w:rsidRPr="0050129A">
        <w:rPr>
          <w:rStyle w:val="TextoNormalCaracter"/>
        </w:rPr>
        <w:t xml:space="preserve">, Sentencias </w:t>
      </w:r>
      <w:hyperlink w:anchor="SENTENCIA_2008_5" w:history="1">
        <w:r w:rsidRPr="0050129A">
          <w:rPr>
            <w:rStyle w:val="TextoNormalCaracter"/>
          </w:rPr>
          <w:t>5/2008</w:t>
        </w:r>
      </w:hyperlink>
      <w:r w:rsidRPr="0050129A">
        <w:rPr>
          <w:rStyle w:val="TextoNormalCaracter"/>
        </w:rPr>
        <w:t xml:space="preserve">, f. 5; </w:t>
      </w:r>
      <w:hyperlink w:anchor="SENTENCIA_2008_35" w:history="1">
        <w:r w:rsidRPr="0050129A">
          <w:rPr>
            <w:rStyle w:val="TextoNormalCaracter"/>
          </w:rPr>
          <w:t>35/2008</w:t>
        </w:r>
      </w:hyperlink>
      <w:r w:rsidRPr="0050129A">
        <w:rPr>
          <w:rStyle w:val="TextoNormalCaracter"/>
        </w:rPr>
        <w:t>, f. 4.</w:t>
      </w:r>
    </w:p>
    <w:p w:rsidR="0050129A" w:rsidRPr="0050129A" w:rsidRDefault="0050129A" w:rsidP="0050129A">
      <w:pPr>
        <w:pStyle w:val="TextoNormalSangraFrancesa"/>
        <w:rPr>
          <w:rStyle w:val="TextoNormalCaracter"/>
        </w:rPr>
      </w:pPr>
      <w:bookmarkStart w:id="1031" w:name="DESCRIPTORALFABETICO303"/>
      <w:r w:rsidRPr="0050129A">
        <w:rPr>
          <w:rStyle w:val="TextoNormalNegritaCaracter"/>
        </w:rPr>
        <w:t>Fragmentación política</w:t>
      </w:r>
      <w:bookmarkEnd w:id="1031"/>
      <w:r w:rsidRPr="0050129A">
        <w:rPr>
          <w:rStyle w:val="TextoNormalCaracter"/>
        </w:rPr>
        <w:t xml:space="preserve">, Sentencias </w:t>
      </w:r>
      <w:hyperlink w:anchor="SENTENCIA_2008_12" w:history="1">
        <w:r w:rsidRPr="0050129A">
          <w:rPr>
            <w:rStyle w:val="TextoNormalCaracter"/>
          </w:rPr>
          <w:t>12/2008</w:t>
        </w:r>
      </w:hyperlink>
      <w:r w:rsidRPr="0050129A">
        <w:rPr>
          <w:rStyle w:val="TextoNormalCaracter"/>
        </w:rPr>
        <w:t xml:space="preserve">, f. 9, VP; </w:t>
      </w:r>
      <w:hyperlink w:anchor="SENTENCIA_2008_49" w:history="1">
        <w:r w:rsidRPr="0050129A">
          <w:rPr>
            <w:rStyle w:val="TextoNormalCaracter"/>
          </w:rPr>
          <w:t>49/2008</w:t>
        </w:r>
      </w:hyperlink>
      <w:r w:rsidRPr="0050129A">
        <w:rPr>
          <w:rStyle w:val="TextoNormalCaracter"/>
        </w:rPr>
        <w:t>, f. 17.</w:t>
      </w:r>
    </w:p>
    <w:p w:rsidR="0050129A" w:rsidRPr="0050129A" w:rsidRDefault="0050129A" w:rsidP="0050129A">
      <w:pPr>
        <w:pStyle w:val="TextoNormalSangraFrancesa"/>
        <w:rPr>
          <w:rStyle w:val="TextoNormalCaracter"/>
        </w:rPr>
      </w:pPr>
      <w:bookmarkStart w:id="1032" w:name="DESCRIPTORALFABETICO531"/>
      <w:r w:rsidRPr="0050129A">
        <w:rPr>
          <w:rStyle w:val="TextoNormalNegritaCaracter"/>
        </w:rPr>
        <w:t>Función revisora del recurso de apelación</w:t>
      </w:r>
      <w:bookmarkEnd w:id="1032"/>
      <w:r w:rsidRPr="0050129A">
        <w:rPr>
          <w:rStyle w:val="TextoNormalCaracter"/>
        </w:rPr>
        <w:t xml:space="preserve">, Sentencia </w:t>
      </w:r>
      <w:hyperlink w:anchor="SENTENCIA_2008_48" w:history="1">
        <w:r w:rsidRPr="0050129A">
          <w:rPr>
            <w:rStyle w:val="TextoNormalCaracter"/>
          </w:rPr>
          <w:t>48/2008</w:t>
        </w:r>
      </w:hyperlink>
      <w:r w:rsidRPr="0050129A">
        <w:rPr>
          <w:rStyle w:val="TextoNormalCaracter"/>
        </w:rPr>
        <w:t>, f. 2.</w:t>
      </w:r>
    </w:p>
    <w:p w:rsidR="0050129A" w:rsidRPr="0050129A" w:rsidRDefault="0050129A" w:rsidP="0050129A">
      <w:pPr>
        <w:pStyle w:val="TextoNormalSangraFrancesa"/>
        <w:rPr>
          <w:rStyle w:val="TextoNormalCaracter"/>
        </w:rPr>
      </w:pPr>
      <w:bookmarkStart w:id="1033" w:name="DESCRIPTORALFABETICO298"/>
      <w:r w:rsidRPr="0050129A">
        <w:rPr>
          <w:rStyle w:val="TextoNormalNegritaCaracter"/>
        </w:rPr>
        <w:t>Funciones constitucionales del Senado</w:t>
      </w:r>
      <w:bookmarkEnd w:id="1033"/>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7 a), 14, VP I, VP II, VP III.</w:t>
      </w:r>
    </w:p>
    <w:p w:rsidR="0050129A" w:rsidRPr="0050129A" w:rsidRDefault="0050129A" w:rsidP="0050129A">
      <w:pPr>
        <w:pStyle w:val="TextoNormalSangraFrancesa"/>
        <w:rPr>
          <w:rStyle w:val="TextoNormalCaracter"/>
        </w:rPr>
      </w:pPr>
      <w:bookmarkStart w:id="1034" w:name="DESCRIPTORALFABETICO183"/>
      <w:r w:rsidRPr="0050129A">
        <w:rPr>
          <w:rStyle w:val="TextoNormalNegritaCaracter"/>
        </w:rPr>
        <w:t>Fundamentación de la recusación de magistrados del Tribunal Constitucional</w:t>
      </w:r>
      <w:bookmarkEnd w:id="1034"/>
      <w:r w:rsidRPr="0050129A">
        <w:rPr>
          <w:rStyle w:val="TextoNormalCaracter"/>
        </w:rPr>
        <w:t xml:space="preserve">, Auto </w:t>
      </w:r>
      <w:hyperlink w:anchor="AUTO_2008_81" w:history="1">
        <w:r w:rsidRPr="0050129A">
          <w:rPr>
            <w:rStyle w:val="TextoNormalCaracter"/>
          </w:rPr>
          <w:t>81/2008</w:t>
        </w:r>
      </w:hyperlink>
      <w:r w:rsidRPr="0050129A">
        <w:rPr>
          <w:rStyle w:val="TextoNormalCaracter"/>
        </w:rPr>
        <w:t>.</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G</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035" w:name="DESCRIPTORALFABETICO157"/>
      <w:r w:rsidRPr="0050129A">
        <w:rPr>
          <w:rStyle w:val="TextoNormalNegritaCaracter"/>
        </w:rPr>
        <w:t>Garantía de supremacía de la Constitución</w:t>
      </w:r>
      <w:bookmarkEnd w:id="1035"/>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3, 4.</w:t>
      </w:r>
    </w:p>
    <w:p w:rsidR="0050129A" w:rsidRPr="0050129A" w:rsidRDefault="0050129A" w:rsidP="0050129A">
      <w:pPr>
        <w:pStyle w:val="TextoNormalSangraFrancesa"/>
        <w:rPr>
          <w:rStyle w:val="TextoNormalNegritaCaracter"/>
        </w:rPr>
      </w:pPr>
      <w:r w:rsidRPr="0050129A">
        <w:rPr>
          <w:rStyle w:val="TextoNormalCursivaCaracter"/>
        </w:rPr>
        <w:t>Garantía indemnizatoria</w:t>
      </w:r>
      <w:r>
        <w:t xml:space="preserve"> véase </w:t>
      </w:r>
      <w:hyperlink w:anchor="DESCRIPTORALFABETICO423" w:history="1">
        <w:r w:rsidRPr="0050129A">
          <w:rPr>
            <w:rStyle w:val="TextoNormalNegritaCaracter"/>
          </w:rPr>
          <w:t>Indemnización</w:t>
        </w:r>
      </w:hyperlink>
    </w:p>
    <w:p w:rsidR="0050129A" w:rsidRPr="0050129A" w:rsidRDefault="0050129A" w:rsidP="0050129A">
      <w:pPr>
        <w:pStyle w:val="TextoNormalSangraFrancesa"/>
        <w:rPr>
          <w:rStyle w:val="TextoNormalCaracter"/>
        </w:rPr>
      </w:pPr>
      <w:bookmarkStart w:id="1036" w:name="DESCRIPTORALFABETICO323"/>
      <w:r w:rsidRPr="0050129A">
        <w:rPr>
          <w:rStyle w:val="TextoNormalNegritaCaracter"/>
        </w:rPr>
        <w:t>Garantías constitucionales</w:t>
      </w:r>
      <w:bookmarkEnd w:id="1036"/>
      <w:r w:rsidRPr="0050129A">
        <w:rPr>
          <w:rStyle w:val="TextoNormalCaracter"/>
        </w:rPr>
        <w:t xml:space="preserve">, Sentencia </w:t>
      </w:r>
      <w:hyperlink w:anchor="SENTENCIA_2008_5" w:history="1">
        <w:r w:rsidRPr="0050129A">
          <w:rPr>
            <w:rStyle w:val="TextoNormalCaracter"/>
          </w:rPr>
          <w:t>5/2008</w:t>
        </w:r>
      </w:hyperlink>
      <w:r w:rsidRPr="0050129A">
        <w:rPr>
          <w:rStyle w:val="TextoNormalCaracter"/>
        </w:rPr>
        <w:t>, f. 4.</w:t>
      </w:r>
    </w:p>
    <w:p w:rsidR="0050129A" w:rsidRPr="0050129A" w:rsidRDefault="0050129A" w:rsidP="0050129A">
      <w:pPr>
        <w:pStyle w:val="TextoNormalSangraFrancesa"/>
        <w:rPr>
          <w:rStyle w:val="TextoNormalCaracter"/>
        </w:rPr>
      </w:pPr>
      <w:bookmarkStart w:id="1037" w:name="DESCRIPTORALFABETICO547"/>
      <w:r w:rsidRPr="0050129A">
        <w:rPr>
          <w:rStyle w:val="TextoNormalNegritaCaracter"/>
        </w:rPr>
        <w:t>Garantías en el procedimiento de adopción</w:t>
      </w:r>
      <w:bookmarkEnd w:id="1037"/>
      <w:r w:rsidRPr="0050129A">
        <w:rPr>
          <w:rStyle w:val="TextoNormalCaracter"/>
        </w:rPr>
        <w:t xml:space="preserve">, Sentencia </w:t>
      </w:r>
      <w:hyperlink w:anchor="SENTENCIA_2008_58" w:history="1">
        <w:r w:rsidRPr="0050129A">
          <w:rPr>
            <w:rStyle w:val="TextoNormalCaracter"/>
          </w:rPr>
          <w:t>58/2008</w:t>
        </w:r>
      </w:hyperlink>
      <w:r w:rsidRPr="0050129A">
        <w:rPr>
          <w:rStyle w:val="TextoNormalCaracter"/>
        </w:rPr>
        <w:t>, ff. 1, 2, 3, 4, 5.</w:t>
      </w:r>
    </w:p>
    <w:p w:rsidR="0050129A" w:rsidRPr="0050129A" w:rsidRDefault="0050129A" w:rsidP="0050129A">
      <w:pPr>
        <w:pStyle w:val="TextoNormalSangraFrancesa"/>
        <w:rPr>
          <w:rStyle w:val="TextoNormalNegritaCaracter"/>
        </w:rPr>
      </w:pPr>
      <w:r w:rsidRPr="0050129A">
        <w:rPr>
          <w:rStyle w:val="TextoNormalCursivaCaracter"/>
        </w:rPr>
        <w:t>Garantías jurisdiccionales</w:t>
      </w:r>
      <w:r>
        <w:t xml:space="preserve"> véase </w:t>
      </w:r>
      <w:hyperlink w:anchor="DESCRIPTORALFABETICO122" w:history="1">
        <w:r w:rsidRPr="0050129A">
          <w:rPr>
            <w:rStyle w:val="TextoNormalNegritaCaracter"/>
          </w:rPr>
          <w:t>Garantías procesales</w:t>
        </w:r>
      </w:hyperlink>
    </w:p>
    <w:p w:rsidR="0050129A" w:rsidRPr="0050129A" w:rsidRDefault="0050129A" w:rsidP="0050129A">
      <w:pPr>
        <w:pStyle w:val="TextoNormalSangraFrancesa"/>
        <w:rPr>
          <w:rStyle w:val="TextoNormalCaracter"/>
        </w:rPr>
      </w:pPr>
      <w:bookmarkStart w:id="1038" w:name="DESCRIPTORALFABETICO122"/>
      <w:r w:rsidRPr="0050129A">
        <w:rPr>
          <w:rStyle w:val="TextoNormalNegritaCaracter"/>
        </w:rPr>
        <w:t>Garantías procesales</w:t>
      </w:r>
      <w:bookmarkEnd w:id="1038"/>
      <w:r w:rsidRPr="0050129A">
        <w:rPr>
          <w:rStyle w:val="TextoNormalCaracter"/>
        </w:rPr>
        <w:t xml:space="preserve">, Sentencia </w:t>
      </w:r>
      <w:hyperlink w:anchor="SENTENCIA_2008_29" w:history="1">
        <w:r w:rsidRPr="0050129A">
          <w:rPr>
            <w:rStyle w:val="TextoNormalCaracter"/>
          </w:rPr>
          <w:t>29/2008</w:t>
        </w:r>
      </w:hyperlink>
      <w:r w:rsidRPr="0050129A">
        <w:rPr>
          <w:rStyle w:val="TextoNormalCaracter"/>
        </w:rPr>
        <w:t>, f. 3 b).</w:t>
      </w:r>
    </w:p>
    <w:p w:rsidR="0050129A" w:rsidRPr="0050129A" w:rsidRDefault="0050129A" w:rsidP="0050129A">
      <w:pPr>
        <w:pStyle w:val="TextoNormalSangraFrancesa"/>
        <w:rPr>
          <w:rStyle w:val="TextoNormalCaracter"/>
        </w:rPr>
      </w:pPr>
      <w:bookmarkStart w:id="1039" w:name="DESCRIPTORALFABETICO5"/>
      <w:r w:rsidRPr="0050129A">
        <w:rPr>
          <w:rStyle w:val="TextoNormalNegritaCaracter"/>
        </w:rPr>
        <w:t>Gravamen fiscal</w:t>
      </w:r>
      <w:bookmarkEnd w:id="1039"/>
      <w:r w:rsidRPr="0050129A">
        <w:rPr>
          <w:rStyle w:val="TextoNormalCaracter"/>
        </w:rPr>
        <w:t xml:space="preserve">, Auto </w:t>
      </w:r>
      <w:hyperlink w:anchor="AUTO_2008_71" w:history="1">
        <w:r w:rsidRPr="0050129A">
          <w:rPr>
            <w:rStyle w:val="TextoNormalCaracter"/>
          </w:rPr>
          <w:t>71/2008</w:t>
        </w:r>
      </w:hyperlink>
      <w:r w:rsidRPr="0050129A">
        <w:rPr>
          <w:rStyle w:val="TextoNormalCaracter"/>
        </w:rPr>
        <w:t>.</w:t>
      </w:r>
    </w:p>
    <w:p w:rsidR="0050129A" w:rsidRPr="0050129A" w:rsidRDefault="0050129A" w:rsidP="0050129A">
      <w:pPr>
        <w:pStyle w:val="TextoNormalSangraFrancesa"/>
        <w:rPr>
          <w:rStyle w:val="TextoNormalCaracter"/>
        </w:rPr>
      </w:pPr>
      <w:bookmarkStart w:id="1040" w:name="DESCRIPTORALFABETICO286"/>
      <w:r w:rsidRPr="0050129A">
        <w:rPr>
          <w:rStyle w:val="TextoNormalNegritaCaracter"/>
        </w:rPr>
        <w:t>Grupo mixto</w:t>
      </w:r>
      <w:bookmarkEnd w:id="1040"/>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ff. 3 a 7.</w:t>
      </w:r>
    </w:p>
    <w:p w:rsidR="0050129A" w:rsidRPr="0050129A" w:rsidRDefault="0050129A" w:rsidP="0050129A">
      <w:pPr>
        <w:pStyle w:val="TextoNormalSangraFrancesa"/>
        <w:rPr>
          <w:rStyle w:val="TextoNormalCaracter"/>
        </w:rPr>
      </w:pPr>
      <w:bookmarkStart w:id="1041" w:name="DESCRIPTORALFABETICO284"/>
      <w:r w:rsidRPr="0050129A">
        <w:rPr>
          <w:rStyle w:val="TextoNormalNegritaCaracter"/>
        </w:rPr>
        <w:t>Grupos parlamentarios</w:t>
      </w:r>
      <w:bookmarkEnd w:id="1041"/>
      <w:r w:rsidRPr="0050129A">
        <w:rPr>
          <w:rStyle w:val="TextoNormalCaracter"/>
        </w:rPr>
        <w:t xml:space="preserve">, Sentencias </w:t>
      </w:r>
      <w:hyperlink w:anchor="SENTENCIA_2008_39" w:history="1">
        <w:r w:rsidRPr="0050129A">
          <w:rPr>
            <w:rStyle w:val="TextoNormalCaracter"/>
          </w:rPr>
          <w:t>39/2008</w:t>
        </w:r>
      </w:hyperlink>
      <w:r w:rsidRPr="0050129A">
        <w:rPr>
          <w:rStyle w:val="TextoNormalCaracter"/>
        </w:rPr>
        <w:t xml:space="preserve">, ff. 2 a 7; </w:t>
      </w:r>
      <w:hyperlink w:anchor="SENTENCIA_2008_50" w:history="1">
        <w:r w:rsidRPr="0050129A">
          <w:rPr>
            <w:rStyle w:val="TextoNormalCaracter"/>
          </w:rPr>
          <w:t>50/2008</w:t>
        </w:r>
      </w:hyperlink>
      <w:r w:rsidRPr="0050129A">
        <w:rPr>
          <w:rStyle w:val="TextoNormalCaracter"/>
        </w:rPr>
        <w:t>, f. 4.</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H</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042" w:name="DESCRIPTORALFABETICO54"/>
      <w:r w:rsidRPr="0050129A">
        <w:rPr>
          <w:rStyle w:val="TextoNormalNegritaCaracter"/>
          <w:i/>
        </w:rPr>
        <w:t>Habeas corpus</w:t>
      </w:r>
      <w:bookmarkEnd w:id="1042"/>
      <w:r w:rsidRPr="0050129A">
        <w:rPr>
          <w:rStyle w:val="TextoNormalCaracter"/>
        </w:rPr>
        <w:t xml:space="preserve">, Sentencias </w:t>
      </w:r>
      <w:hyperlink w:anchor="SENTENCIA_2008_35" w:history="1">
        <w:r w:rsidRPr="0050129A">
          <w:rPr>
            <w:rStyle w:val="TextoNormalCaracter"/>
          </w:rPr>
          <w:t>35/2008</w:t>
        </w:r>
      </w:hyperlink>
      <w:r w:rsidRPr="0050129A">
        <w:rPr>
          <w:rStyle w:val="TextoNormalCaracter"/>
        </w:rPr>
        <w:t xml:space="preserve">, ff. 2, 4; </w:t>
      </w:r>
      <w:hyperlink w:anchor="SENTENCIA_2008_37" w:history="1">
        <w:r w:rsidRPr="0050129A">
          <w:rPr>
            <w:rStyle w:val="TextoNormalCaracter"/>
          </w:rPr>
          <w:t>37/2008</w:t>
        </w:r>
      </w:hyperlink>
      <w:r w:rsidRPr="0050129A">
        <w:rPr>
          <w:rStyle w:val="TextoNormalCaracter"/>
        </w:rPr>
        <w:t>, ff. 2, 3.</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89" w:history="1">
        <w:r w:rsidRPr="0050129A">
          <w:rPr>
            <w:rStyle w:val="TextoNormalCaracter"/>
          </w:rPr>
          <w:t>89/2008</w:t>
        </w:r>
      </w:hyperlink>
      <w:r w:rsidRPr="0050129A">
        <w:rPr>
          <w:rStyle w:val="TextoNormalCaracter"/>
        </w:rPr>
        <w:t xml:space="preserve">; </w:t>
      </w:r>
      <w:hyperlink w:anchor="AUTO_2008_100" w:history="1">
        <w:r w:rsidRPr="0050129A">
          <w:rPr>
            <w:rStyle w:val="TextoNormalCaracter"/>
          </w:rPr>
          <w:t>100/2008</w:t>
        </w:r>
      </w:hyperlink>
      <w:r w:rsidRPr="0050129A">
        <w:rPr>
          <w:rStyle w:val="TextoNormalCaracter"/>
        </w:rPr>
        <w:t>.</w:t>
      </w:r>
    </w:p>
    <w:p w:rsidR="0050129A" w:rsidRPr="0050129A" w:rsidRDefault="0050129A" w:rsidP="0050129A">
      <w:pPr>
        <w:pStyle w:val="TextoNormalSangraFrancesa"/>
        <w:rPr>
          <w:rStyle w:val="TextoNormalCaracter"/>
        </w:rPr>
      </w:pPr>
      <w:bookmarkStart w:id="1043" w:name="DESCRIPTORALFABETICO523"/>
      <w:r w:rsidRPr="0050129A">
        <w:rPr>
          <w:rStyle w:val="TextoNormalNegritaCaracter"/>
        </w:rPr>
        <w:t>Habilitación para desistir sin poder especial</w:t>
      </w:r>
      <w:bookmarkEnd w:id="1043"/>
      <w:r w:rsidRPr="0050129A">
        <w:rPr>
          <w:rStyle w:val="TextoNormalCaracter"/>
        </w:rPr>
        <w:t xml:space="preserve">, Auto </w:t>
      </w:r>
      <w:hyperlink w:anchor="AUTO_2008_34" w:history="1">
        <w:r w:rsidRPr="0050129A">
          <w:rPr>
            <w:rStyle w:val="TextoNormalCaracter"/>
          </w:rPr>
          <w:t>34/2008</w:t>
        </w:r>
      </w:hyperlink>
      <w:r w:rsidRPr="0050129A">
        <w:rPr>
          <w:rStyle w:val="TextoNormalCaracter"/>
        </w:rPr>
        <w:t>.</w:t>
      </w:r>
    </w:p>
    <w:p w:rsidR="0050129A" w:rsidRPr="0050129A" w:rsidRDefault="0050129A" w:rsidP="0050129A">
      <w:pPr>
        <w:pStyle w:val="TextoNormalSangraFrancesa"/>
        <w:rPr>
          <w:rStyle w:val="TextoNormalCaracter"/>
        </w:rPr>
      </w:pPr>
      <w:bookmarkStart w:id="1044" w:name="DESCRIPTORALFABETICO492"/>
      <w:r w:rsidRPr="0050129A">
        <w:rPr>
          <w:rStyle w:val="TextoNormalNegritaCaracter"/>
        </w:rPr>
        <w:t>Hechos probados en otro orden jurisdiccional</w:t>
      </w:r>
      <w:bookmarkEnd w:id="1044"/>
      <w:r w:rsidRPr="0050129A">
        <w:rPr>
          <w:rStyle w:val="TextoNormalCaracter"/>
        </w:rPr>
        <w:t xml:space="preserve">, Sentencia </w:t>
      </w:r>
      <w:hyperlink w:anchor="SENTENCIA_2008_16" w:history="1">
        <w:r w:rsidRPr="0050129A">
          <w:rPr>
            <w:rStyle w:val="TextoNormalCaracter"/>
          </w:rPr>
          <w:t>16/2008</w:t>
        </w:r>
      </w:hyperlink>
      <w:r w:rsidRPr="0050129A">
        <w:rPr>
          <w:rStyle w:val="TextoNormalCaracter"/>
        </w:rPr>
        <w:t>, ff. 1, 2, 3, 4.</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I</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045" w:name="DESCRIPTORALFABETICO343"/>
      <w:r w:rsidRPr="0050129A">
        <w:rPr>
          <w:rStyle w:val="TextoNormalNegritaCaracter"/>
        </w:rPr>
        <w:t>Identificación del conductor</w:t>
      </w:r>
      <w:bookmarkEnd w:id="1045"/>
      <w:r w:rsidRPr="0050129A">
        <w:rPr>
          <w:rStyle w:val="TextoNormalCaracter"/>
        </w:rPr>
        <w:t xml:space="preserve">, Sentencia </w:t>
      </w:r>
      <w:hyperlink w:anchor="SENTENCIA_2008_54" w:history="1">
        <w:r w:rsidRPr="0050129A">
          <w:rPr>
            <w:rStyle w:val="TextoNormalCaracter"/>
          </w:rPr>
          <w:t>54/2008</w:t>
        </w:r>
      </w:hyperlink>
      <w:r w:rsidRPr="0050129A">
        <w:rPr>
          <w:rStyle w:val="TextoNormalCaracter"/>
        </w:rPr>
        <w:t>, f. 6.</w:t>
      </w:r>
    </w:p>
    <w:p w:rsidR="0050129A" w:rsidRPr="0050129A" w:rsidRDefault="0050129A" w:rsidP="0050129A">
      <w:pPr>
        <w:pStyle w:val="TextoNormalSangraFrancesa"/>
        <w:rPr>
          <w:rStyle w:val="TextoNormalNegritaCaracter"/>
        </w:rPr>
      </w:pPr>
      <w:r w:rsidRPr="0050129A">
        <w:rPr>
          <w:rStyle w:val="TextoNormalCursivaCaracter"/>
        </w:rPr>
        <w:t>Igualdad efectiva</w:t>
      </w:r>
      <w:r>
        <w:t xml:space="preserve"> véase </w:t>
      </w:r>
      <w:hyperlink w:anchor="DESCRIPTORALFABETICO306" w:history="1">
        <w:r w:rsidRPr="0050129A">
          <w:rPr>
            <w:rStyle w:val="TextoNormalNegritaCaracter"/>
          </w:rPr>
          <w:t>Igualdad material</w:t>
        </w:r>
      </w:hyperlink>
    </w:p>
    <w:p w:rsidR="0050129A" w:rsidRPr="0050129A" w:rsidRDefault="0050129A" w:rsidP="0050129A">
      <w:pPr>
        <w:pStyle w:val="TextoNormalSangraFrancesa"/>
        <w:rPr>
          <w:rStyle w:val="TextoNormalCaracter"/>
        </w:rPr>
      </w:pPr>
      <w:bookmarkStart w:id="1046" w:name="DESCRIPTORALFABETICO30"/>
      <w:r w:rsidRPr="0050129A">
        <w:rPr>
          <w:rStyle w:val="TextoNormalNegritaCaracter"/>
        </w:rPr>
        <w:t>Igualdad en el acceso a los cargos públicos</w:t>
      </w:r>
      <w:bookmarkEnd w:id="1046"/>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9.</w:t>
      </w:r>
    </w:p>
    <w:p w:rsidR="0050129A" w:rsidRPr="0050129A" w:rsidRDefault="0050129A" w:rsidP="0050129A">
      <w:pPr>
        <w:pStyle w:val="TextoNormalSangraFrancesa"/>
        <w:rPr>
          <w:rStyle w:val="TextoNormalCaracter"/>
        </w:rPr>
      </w:pPr>
      <w:bookmarkStart w:id="1047" w:name="DESCRIPTORALFABETICO36"/>
      <w:r w:rsidRPr="0050129A">
        <w:rPr>
          <w:rStyle w:val="TextoNormalNegritaCaracter"/>
        </w:rPr>
        <w:t>Igualdad en la aplicación de la ley</w:t>
      </w:r>
      <w:bookmarkEnd w:id="1047"/>
      <w:r w:rsidRPr="0050129A">
        <w:rPr>
          <w:rStyle w:val="TextoNormalCaracter"/>
        </w:rPr>
        <w:t xml:space="preserve">, Sentencias </w:t>
      </w:r>
      <w:hyperlink w:anchor="SENTENCIA_2008_13" w:history="1">
        <w:r w:rsidRPr="0050129A">
          <w:rPr>
            <w:rStyle w:val="TextoNormalCaracter"/>
          </w:rPr>
          <w:t>13/2008</w:t>
        </w:r>
      </w:hyperlink>
      <w:r w:rsidRPr="0050129A">
        <w:rPr>
          <w:rStyle w:val="TextoNormalCaracter"/>
        </w:rPr>
        <w:t xml:space="preserve">, f. 5; </w:t>
      </w:r>
      <w:hyperlink w:anchor="SENTENCIA_2008_30" w:history="1">
        <w:r w:rsidRPr="0050129A">
          <w:rPr>
            <w:rStyle w:val="TextoNormalCaracter"/>
          </w:rPr>
          <w:t>30/2008</w:t>
        </w:r>
      </w:hyperlink>
      <w:r w:rsidRPr="0050129A">
        <w:rPr>
          <w:rStyle w:val="TextoNormalCaracter"/>
        </w:rPr>
        <w:t xml:space="preserve">, f. 9; </w:t>
      </w:r>
      <w:hyperlink w:anchor="SENTENCIA_2008_43" w:history="1">
        <w:r w:rsidRPr="0050129A">
          <w:rPr>
            <w:rStyle w:val="TextoNormalCaracter"/>
          </w:rPr>
          <w:t>43/2008</w:t>
        </w:r>
      </w:hyperlink>
      <w:r w:rsidRPr="0050129A">
        <w:rPr>
          <w:rStyle w:val="TextoNormalCaracter"/>
        </w:rPr>
        <w:t>, f. 3.</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86" w:history="1">
        <w:r w:rsidRPr="0050129A">
          <w:rPr>
            <w:rStyle w:val="TextoNormalCaracter"/>
          </w:rPr>
          <w:t>86/2008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Vulnerada, </w:t>
      </w:r>
      <w:r w:rsidRPr="0050129A">
        <w:rPr>
          <w:rStyle w:val="TextoNormalCaracter"/>
        </w:rPr>
        <w:t xml:space="preserve">Sentencia </w:t>
      </w:r>
      <w:hyperlink w:anchor="SENTENCIA_2008_31" w:history="1">
        <w:r w:rsidRPr="0050129A">
          <w:rPr>
            <w:rStyle w:val="TextoNormalCaracter"/>
          </w:rPr>
          <w:t>31/2008</w:t>
        </w:r>
      </w:hyperlink>
      <w:r w:rsidRPr="0050129A">
        <w:rPr>
          <w:rStyle w:val="TextoNormalCaracter"/>
        </w:rPr>
        <w:t>, ff. 2, 3.</w:t>
      </w:r>
    </w:p>
    <w:p w:rsidR="0050129A" w:rsidRPr="0050129A" w:rsidRDefault="0050129A" w:rsidP="0050129A">
      <w:pPr>
        <w:pStyle w:val="TextoNormalSangraFrancesa"/>
        <w:rPr>
          <w:rStyle w:val="TextoNormalCaracter"/>
        </w:rPr>
      </w:pPr>
      <w:bookmarkStart w:id="1048" w:name="DESCRIPTORALFABETICO41"/>
      <w:r w:rsidRPr="0050129A">
        <w:rPr>
          <w:rStyle w:val="TextoNormalNegritaCaracter"/>
        </w:rPr>
        <w:t>Igualdad en la ley</w:t>
      </w:r>
      <w:bookmarkEnd w:id="1048"/>
      <w:r w:rsidRPr="0050129A">
        <w:rPr>
          <w:rStyle w:val="TextoNormalCaracter"/>
        </w:rPr>
        <w:t xml:space="preserve">, Auto </w:t>
      </w:r>
      <w:hyperlink w:anchor="AUTO_2008_72" w:history="1">
        <w:r w:rsidRPr="0050129A">
          <w:rPr>
            <w:rStyle w:val="TextoNormalCaracter"/>
          </w:rPr>
          <w:t>72/2008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Respetada, </w:t>
      </w:r>
      <w:r w:rsidRPr="0050129A">
        <w:rPr>
          <w:rStyle w:val="TextoNormalCaracter"/>
        </w:rPr>
        <w:t xml:space="preserve">Auto </w:t>
      </w:r>
      <w:hyperlink w:anchor="AUTO_2008_112" w:history="1">
        <w:r w:rsidRPr="0050129A">
          <w:rPr>
            <w:rStyle w:val="TextoNormalCaracter"/>
          </w:rPr>
          <w:t>112/2008</w:t>
        </w:r>
      </w:hyperlink>
      <w:r w:rsidRPr="0050129A">
        <w:rPr>
          <w:rStyle w:val="TextoNormalCaracter"/>
        </w:rPr>
        <w:t>.</w:t>
      </w:r>
    </w:p>
    <w:p w:rsidR="0050129A" w:rsidRPr="0050129A" w:rsidRDefault="0050129A" w:rsidP="0050129A">
      <w:pPr>
        <w:pStyle w:val="TextoNormalSangraFrancesa"/>
        <w:rPr>
          <w:rStyle w:val="TextoNormalCaracter"/>
        </w:rPr>
      </w:pPr>
      <w:bookmarkStart w:id="1049" w:name="DESCRIPTORALFABETICO306"/>
      <w:r w:rsidRPr="0050129A">
        <w:rPr>
          <w:rStyle w:val="TextoNormalNegritaCaracter"/>
        </w:rPr>
        <w:t>Igualdad material</w:t>
      </w:r>
      <w:bookmarkEnd w:id="1049"/>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4, 5, 6, 7, 8, 9, 10.</w:t>
      </w:r>
    </w:p>
    <w:p w:rsidR="0050129A" w:rsidRPr="0050129A" w:rsidRDefault="0050129A" w:rsidP="0050129A">
      <w:pPr>
        <w:pStyle w:val="TextoNormalSangraFrancesa"/>
        <w:rPr>
          <w:rStyle w:val="TextoNormalNegritaCaracter"/>
        </w:rPr>
      </w:pPr>
      <w:r w:rsidRPr="0050129A">
        <w:rPr>
          <w:rStyle w:val="TextoNormalCursivaCaracter"/>
        </w:rPr>
        <w:t>Igualdad real</w:t>
      </w:r>
      <w:r>
        <w:t xml:space="preserve"> véase </w:t>
      </w:r>
      <w:hyperlink w:anchor="DESCRIPTORALFABETICO306" w:history="1">
        <w:r w:rsidRPr="0050129A">
          <w:rPr>
            <w:rStyle w:val="TextoNormalNegritaCaracter"/>
          </w:rPr>
          <w:t>Igualdad material</w:t>
        </w:r>
      </w:hyperlink>
    </w:p>
    <w:p w:rsidR="0050129A" w:rsidRPr="0050129A" w:rsidRDefault="0050129A" w:rsidP="0050129A">
      <w:pPr>
        <w:pStyle w:val="TextoNormalSangraFrancesa"/>
        <w:rPr>
          <w:rStyle w:val="TextoNormalNegritaCaracter"/>
        </w:rPr>
      </w:pPr>
      <w:r w:rsidRPr="0050129A">
        <w:rPr>
          <w:rStyle w:val="TextoNormalCursivaCaracter"/>
        </w:rPr>
        <w:t>Igualdad real y efectiva</w:t>
      </w:r>
      <w:r>
        <w:t xml:space="preserve"> véase </w:t>
      </w:r>
      <w:hyperlink w:anchor="DESCRIPTORALFABETICO306" w:history="1">
        <w:r w:rsidRPr="0050129A">
          <w:rPr>
            <w:rStyle w:val="TextoNormalNegritaCaracter"/>
          </w:rPr>
          <w:t>Igualdad material</w:t>
        </w:r>
      </w:hyperlink>
    </w:p>
    <w:p w:rsidR="0050129A" w:rsidRPr="0050129A" w:rsidRDefault="0050129A" w:rsidP="0050129A">
      <w:pPr>
        <w:pStyle w:val="TextoNormalSangraFrancesa"/>
        <w:rPr>
          <w:rStyle w:val="TextoNormalCaracter"/>
        </w:rPr>
      </w:pPr>
      <w:bookmarkStart w:id="1050" w:name="DESCRIPTORALFABETICO270"/>
      <w:r w:rsidRPr="0050129A">
        <w:rPr>
          <w:rStyle w:val="TextoNormalNegritaCaracter"/>
        </w:rPr>
        <w:t>Ilegalización de partidos políticos</w:t>
      </w:r>
      <w:bookmarkEnd w:id="1050"/>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bookmarkStart w:id="1051" w:name="DESCRIPTORALFABETICO273"/>
      <w:r w:rsidRPr="0050129A">
        <w:rPr>
          <w:rStyle w:val="TextoNormalNegritaCaracter"/>
        </w:rPr>
        <w:t>Imparcialidad judicial</w:t>
      </w:r>
      <w:bookmarkEnd w:id="1051"/>
      <w:r w:rsidRPr="0050129A">
        <w:rPr>
          <w:rStyle w:val="TextoNormalCaracter"/>
        </w:rPr>
        <w:t xml:space="preserve">, Sentencia </w:t>
      </w:r>
      <w:hyperlink w:anchor="SENTENCIA_2008_11" w:history="1">
        <w:r w:rsidRPr="0050129A">
          <w:rPr>
            <w:rStyle w:val="TextoNormalCaracter"/>
          </w:rPr>
          <w:t>11/2008</w:t>
        </w:r>
      </w:hyperlink>
      <w:r w:rsidRPr="0050129A">
        <w:rPr>
          <w:rStyle w:val="TextoNormalCaracter"/>
        </w:rPr>
        <w:t>, f. 4.</w:t>
      </w:r>
    </w:p>
    <w:p w:rsidR="0050129A" w:rsidRPr="0050129A" w:rsidRDefault="0050129A" w:rsidP="0050129A">
      <w:pPr>
        <w:pStyle w:val="TextoNormalSangraFrancesa"/>
        <w:rPr>
          <w:rStyle w:val="TextoNormalCaracter"/>
        </w:rPr>
      </w:pPr>
      <w:bookmarkStart w:id="1052" w:name="DESCRIPTORALFABETICO483"/>
      <w:r w:rsidRPr="0050129A">
        <w:rPr>
          <w:rStyle w:val="TextoNormalNegritaCaracter"/>
        </w:rPr>
        <w:t>Imposibilidad de cumplimiento de resoluciones judiciales</w:t>
      </w:r>
      <w:bookmarkEnd w:id="1052"/>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bookmarkStart w:id="1053" w:name="DESCRIPTORALFABETICO14"/>
      <w:r w:rsidRPr="0050129A">
        <w:rPr>
          <w:rStyle w:val="TextoNormalNegritaCaracter"/>
        </w:rPr>
        <w:t>Impuesto sobre transmisiones patrimoniales y actos jurídicos documentados</w:t>
      </w:r>
      <w:bookmarkEnd w:id="1053"/>
      <w:r w:rsidRPr="0050129A">
        <w:rPr>
          <w:rStyle w:val="TextoNormalCaracter"/>
        </w:rPr>
        <w:t xml:space="preserve">, Sentencia </w:t>
      </w:r>
      <w:hyperlink w:anchor="SENTENCIA_2008_46" w:history="1">
        <w:r w:rsidRPr="0050129A">
          <w:rPr>
            <w:rStyle w:val="TextoNormalCaracter"/>
          </w:rPr>
          <w:t>46/2008</w:t>
        </w:r>
      </w:hyperlink>
      <w:r w:rsidRPr="0050129A">
        <w:rPr>
          <w:rStyle w:val="TextoNormalCaracter"/>
        </w:rPr>
        <w:t>, f. 3.</w:t>
      </w:r>
    </w:p>
    <w:p w:rsidR="0050129A" w:rsidRPr="0050129A" w:rsidRDefault="0050129A" w:rsidP="0050129A">
      <w:pPr>
        <w:pStyle w:val="TextoNormalSangraFrancesa"/>
        <w:rPr>
          <w:rStyle w:val="TextoNormalCaracter"/>
        </w:rPr>
      </w:pPr>
      <w:bookmarkStart w:id="1054" w:name="DESCRIPTORALFABETICO12"/>
      <w:r w:rsidRPr="0050129A">
        <w:rPr>
          <w:rStyle w:val="TextoNormalNegritaCaracter"/>
        </w:rPr>
        <w:lastRenderedPageBreak/>
        <w:t>Impuestos</w:t>
      </w:r>
      <w:bookmarkEnd w:id="1054"/>
      <w:r w:rsidRPr="0050129A">
        <w:rPr>
          <w:rStyle w:val="TextoNormalCaracter"/>
        </w:rPr>
        <w:t xml:space="preserve">, Auto </w:t>
      </w:r>
      <w:hyperlink w:anchor="AUTO_2008_71" w:history="1">
        <w:r w:rsidRPr="0050129A">
          <w:rPr>
            <w:rStyle w:val="TextoNormalCaracter"/>
          </w:rPr>
          <w:t>71/2008</w:t>
        </w:r>
      </w:hyperlink>
      <w:r w:rsidRPr="0050129A">
        <w:rPr>
          <w:rStyle w:val="TextoNormalCaracter"/>
        </w:rPr>
        <w:t>.</w:t>
      </w:r>
    </w:p>
    <w:p w:rsidR="0050129A" w:rsidRPr="0050129A" w:rsidRDefault="0050129A" w:rsidP="0050129A">
      <w:pPr>
        <w:pStyle w:val="TextoNormalSangraFrancesa"/>
        <w:rPr>
          <w:rStyle w:val="TextoNormalCaracter"/>
        </w:rPr>
      </w:pPr>
      <w:bookmarkStart w:id="1055" w:name="DESCRIPTORALFABETICO56"/>
      <w:r w:rsidRPr="0050129A">
        <w:rPr>
          <w:rStyle w:val="TextoNormalNegritaCaracter"/>
        </w:rPr>
        <w:t xml:space="preserve">Inadmisión a trámite de </w:t>
      </w:r>
      <w:r w:rsidRPr="0050129A">
        <w:rPr>
          <w:rStyle w:val="TextoNormalNegritaCaracter"/>
          <w:i/>
        </w:rPr>
        <w:t>habeas corpus</w:t>
      </w:r>
      <w:bookmarkEnd w:id="1055"/>
      <w:r w:rsidRPr="0050129A">
        <w:rPr>
          <w:rStyle w:val="TextoNormalCaracter"/>
        </w:rPr>
        <w:t xml:space="preserve">, Sentencia </w:t>
      </w:r>
      <w:hyperlink w:anchor="SENTENCIA_2008_37" w:history="1">
        <w:r w:rsidRPr="0050129A">
          <w:rPr>
            <w:rStyle w:val="TextoNormalCaracter"/>
          </w:rPr>
          <w:t>37/2008</w:t>
        </w:r>
      </w:hyperlink>
      <w:r w:rsidRPr="0050129A">
        <w:rPr>
          <w:rStyle w:val="TextoNormalCaracter"/>
        </w:rPr>
        <w:t>, f. 3.</w:t>
      </w:r>
    </w:p>
    <w:p w:rsidR="0050129A" w:rsidRPr="0050129A" w:rsidRDefault="0050129A" w:rsidP="0050129A">
      <w:pPr>
        <w:pStyle w:val="TextoNormalSangraFrancesa"/>
        <w:rPr>
          <w:rStyle w:val="TextoNormalCaracter"/>
        </w:rPr>
      </w:pPr>
      <w:bookmarkStart w:id="1056" w:name="DESCRIPTORALFABETICO57"/>
      <w:r w:rsidRPr="0050129A">
        <w:rPr>
          <w:rStyle w:val="TextoNormalNegritaCaracter"/>
        </w:rPr>
        <w:t>Inadmisión a trámite de habeas corpus por razones de fondo</w:t>
      </w:r>
      <w:bookmarkEnd w:id="1056"/>
      <w:r w:rsidRPr="0050129A">
        <w:rPr>
          <w:rStyle w:val="TextoNormalCaracter"/>
        </w:rPr>
        <w:t xml:space="preserve">, Sentencia </w:t>
      </w:r>
      <w:hyperlink w:anchor="SENTENCIA_2008_35" w:history="1">
        <w:r w:rsidRPr="0050129A">
          <w:rPr>
            <w:rStyle w:val="TextoNormalCaracter"/>
          </w:rPr>
          <w:t>35/2008</w:t>
        </w:r>
      </w:hyperlink>
      <w:r w:rsidRPr="0050129A">
        <w:rPr>
          <w:rStyle w:val="TextoNormalCaracter"/>
        </w:rPr>
        <w:t>, ff. 2, 4.</w:t>
      </w:r>
    </w:p>
    <w:p w:rsidR="0050129A" w:rsidRPr="0050129A" w:rsidRDefault="0050129A" w:rsidP="0050129A">
      <w:pPr>
        <w:pStyle w:val="TextoNormalSangraFrancesa"/>
        <w:rPr>
          <w:rStyle w:val="TextoNormalCaracter"/>
        </w:rPr>
      </w:pPr>
      <w:bookmarkStart w:id="1057" w:name="DESCRIPTORALFABETICO198"/>
      <w:r w:rsidRPr="0050129A">
        <w:rPr>
          <w:rStyle w:val="TextoNormalNegritaCaracter"/>
        </w:rPr>
        <w:t>Inadmisión de cuestión de inconstitucionalidad</w:t>
      </w:r>
      <w:bookmarkEnd w:id="1057"/>
      <w:r w:rsidRPr="0050129A">
        <w:rPr>
          <w:rStyle w:val="TextoNormalCaracter"/>
        </w:rPr>
        <w:t xml:space="preserve">, Auto </w:t>
      </w:r>
      <w:hyperlink w:anchor="AUTO_2008_24" w:history="1">
        <w:r w:rsidRPr="0050129A">
          <w:rPr>
            <w:rStyle w:val="TextoNormalCaracter"/>
          </w:rPr>
          <w:t>24/2008</w:t>
        </w:r>
      </w:hyperlink>
      <w:r w:rsidRPr="0050129A">
        <w:rPr>
          <w:rStyle w:val="TextoNormalCaracter"/>
        </w:rPr>
        <w:t>.</w:t>
      </w:r>
    </w:p>
    <w:p w:rsidR="0050129A" w:rsidRPr="0050129A" w:rsidRDefault="0050129A" w:rsidP="0050129A">
      <w:pPr>
        <w:pStyle w:val="TextoNormalSangraFrancesa"/>
        <w:rPr>
          <w:rStyle w:val="TextoNormalCaracter"/>
        </w:rPr>
      </w:pPr>
      <w:bookmarkStart w:id="1058" w:name="DESCRIPTORALFABETICO545"/>
      <w:r w:rsidRPr="0050129A">
        <w:rPr>
          <w:rStyle w:val="TextoNormalNegritaCaracter"/>
        </w:rPr>
        <w:t>Inadmisión de demanda civil por cosa juzgada penal</w:t>
      </w:r>
      <w:bookmarkEnd w:id="1058"/>
      <w:r w:rsidRPr="0050129A">
        <w:rPr>
          <w:rStyle w:val="TextoNormalCaracter"/>
        </w:rPr>
        <w:t xml:space="preserve">, Sentencia </w:t>
      </w:r>
      <w:hyperlink w:anchor="SENTENCIA_2008_17" w:history="1">
        <w:r w:rsidRPr="0050129A">
          <w:rPr>
            <w:rStyle w:val="TextoNormalCaracter"/>
          </w:rPr>
          <w:t>17/2008</w:t>
        </w:r>
      </w:hyperlink>
      <w:r w:rsidRPr="0050129A">
        <w:rPr>
          <w:rStyle w:val="TextoNormalCaracter"/>
        </w:rPr>
        <w:t>, ff. 4, 5.</w:t>
      </w:r>
    </w:p>
    <w:p w:rsidR="0050129A" w:rsidRPr="0050129A" w:rsidRDefault="0050129A" w:rsidP="0050129A">
      <w:pPr>
        <w:pStyle w:val="TextoNormalSangraFrancesa"/>
        <w:rPr>
          <w:rStyle w:val="TextoNormalCaracter"/>
        </w:rPr>
      </w:pPr>
      <w:bookmarkStart w:id="1059" w:name="DESCRIPTORALFABETICO535"/>
      <w:r w:rsidRPr="0050129A">
        <w:rPr>
          <w:rStyle w:val="TextoNormalNegritaCaracter"/>
        </w:rPr>
        <w:t>Inadmisión de demanda de rescisión de sentencia firme</w:t>
      </w:r>
      <w:bookmarkEnd w:id="1059"/>
      <w:r w:rsidRPr="0050129A">
        <w:rPr>
          <w:rStyle w:val="TextoNormalCaracter"/>
        </w:rPr>
        <w:t xml:space="preserve">, Auto </w:t>
      </w:r>
      <w:hyperlink w:anchor="AUTO_2008_118" w:history="1">
        <w:r w:rsidRPr="0050129A">
          <w:rPr>
            <w:rStyle w:val="TextoNormalCaracter"/>
          </w:rPr>
          <w:t>118/2008</w:t>
        </w:r>
      </w:hyperlink>
      <w:r w:rsidRPr="0050129A">
        <w:rPr>
          <w:rStyle w:val="TextoNormalCaracter"/>
        </w:rPr>
        <w:t>.</w:t>
      </w:r>
    </w:p>
    <w:p w:rsidR="0050129A" w:rsidRPr="0050129A" w:rsidRDefault="0050129A" w:rsidP="0050129A">
      <w:pPr>
        <w:pStyle w:val="TextoNormalSangraFrancesa"/>
        <w:rPr>
          <w:rStyle w:val="TextoNormalCaracter"/>
        </w:rPr>
      </w:pPr>
      <w:bookmarkStart w:id="1060" w:name="DESCRIPTORALFABETICO479"/>
      <w:r w:rsidRPr="0050129A">
        <w:rPr>
          <w:rStyle w:val="TextoNormalNegritaCaracter"/>
        </w:rPr>
        <w:t>Inadmisión de documentos</w:t>
      </w:r>
      <w:bookmarkEnd w:id="1060"/>
      <w:r w:rsidRPr="0050129A">
        <w:rPr>
          <w:rStyle w:val="TextoNormalCaracter"/>
        </w:rPr>
        <w:t xml:space="preserve">, Sentencia </w:t>
      </w:r>
      <w:hyperlink w:anchor="SENTENCIA_2008_25" w:history="1">
        <w:r w:rsidRPr="0050129A">
          <w:rPr>
            <w:rStyle w:val="TextoNormalCaracter"/>
          </w:rPr>
          <w:t>25/2008</w:t>
        </w:r>
      </w:hyperlink>
      <w:r w:rsidRPr="0050129A">
        <w:rPr>
          <w:rStyle w:val="TextoNormalCaracter"/>
        </w:rPr>
        <w:t>, f. 6.</w:t>
      </w:r>
    </w:p>
    <w:p w:rsidR="0050129A" w:rsidRPr="0050129A" w:rsidRDefault="0050129A" w:rsidP="0050129A">
      <w:pPr>
        <w:pStyle w:val="TextoNormalSangraFrancesa"/>
        <w:rPr>
          <w:rStyle w:val="TextoNormalCaracter"/>
        </w:rPr>
      </w:pPr>
      <w:bookmarkStart w:id="1061" w:name="DESCRIPTORALFABETICO554"/>
      <w:r w:rsidRPr="0050129A">
        <w:rPr>
          <w:rStyle w:val="TextoNormalNegritaCaracter"/>
        </w:rPr>
        <w:t>Inadmisión de recurso contencioso-administrativo</w:t>
      </w:r>
      <w:bookmarkEnd w:id="1061"/>
      <w:r w:rsidRPr="0050129A">
        <w:rPr>
          <w:rStyle w:val="TextoNormalCaracter"/>
        </w:rPr>
        <w:t xml:space="preserve">, Sentencias </w:t>
      </w:r>
      <w:hyperlink w:anchor="SENTENCIA_2008_25" w:history="1">
        <w:r w:rsidRPr="0050129A">
          <w:rPr>
            <w:rStyle w:val="TextoNormalCaracter"/>
          </w:rPr>
          <w:t>25/2008</w:t>
        </w:r>
      </w:hyperlink>
      <w:r w:rsidRPr="0050129A">
        <w:rPr>
          <w:rStyle w:val="TextoNormalCaracter"/>
        </w:rPr>
        <w:t xml:space="preserve">, f. 6; </w:t>
      </w:r>
      <w:hyperlink w:anchor="SENTENCIA_2008_26" w:history="1">
        <w:r w:rsidRPr="0050129A">
          <w:rPr>
            <w:rStyle w:val="TextoNormalCaracter"/>
          </w:rPr>
          <w:t>26/2008</w:t>
        </w:r>
      </w:hyperlink>
      <w:r w:rsidRPr="0050129A">
        <w:rPr>
          <w:rStyle w:val="TextoNormalCaracter"/>
        </w:rPr>
        <w:t>, f. 4.</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61" w:history="1">
        <w:r w:rsidRPr="0050129A">
          <w:rPr>
            <w:rStyle w:val="TextoNormalCaracter"/>
          </w:rPr>
          <w:t>61/2008</w:t>
        </w:r>
      </w:hyperlink>
      <w:r w:rsidRPr="0050129A">
        <w:rPr>
          <w:rStyle w:val="TextoNormalCaracter"/>
        </w:rPr>
        <w:t>.</w:t>
      </w:r>
    </w:p>
    <w:p w:rsidR="0050129A" w:rsidRPr="0050129A" w:rsidRDefault="0050129A" w:rsidP="0050129A">
      <w:pPr>
        <w:pStyle w:val="TextoNormalSangraFrancesa"/>
        <w:rPr>
          <w:rStyle w:val="TextoNormalCaracter"/>
        </w:rPr>
      </w:pPr>
      <w:bookmarkStart w:id="1062" w:name="DESCRIPTORALFABETICO555"/>
      <w:r w:rsidRPr="0050129A">
        <w:rPr>
          <w:rStyle w:val="TextoNormalNegritaCaracter"/>
        </w:rPr>
        <w:t>Inadmisión de recurso contencioso-administrativo por acto firme y consentido</w:t>
      </w:r>
      <w:bookmarkEnd w:id="1062"/>
      <w:r w:rsidRPr="0050129A">
        <w:rPr>
          <w:rStyle w:val="TextoNormalCaracter"/>
        </w:rPr>
        <w:t xml:space="preserve">, Sentencia </w:t>
      </w:r>
      <w:hyperlink w:anchor="SENTENCIA_2008_3" w:history="1">
        <w:r w:rsidRPr="0050129A">
          <w:rPr>
            <w:rStyle w:val="TextoNormalCaracter"/>
          </w:rPr>
          <w:t>3/2008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063" w:name="DESCRIPTORALFABETICO556"/>
      <w:r w:rsidRPr="0050129A">
        <w:rPr>
          <w:rStyle w:val="TextoNormalNegritaCaracter"/>
        </w:rPr>
        <w:t>Inadmisión de recurso contencioso-administrativo por defecto de postulación</w:t>
      </w:r>
      <w:bookmarkEnd w:id="1063"/>
      <w:r w:rsidRPr="0050129A">
        <w:rPr>
          <w:rStyle w:val="TextoNormalCaracter"/>
        </w:rPr>
        <w:t xml:space="preserve">, Sentencia </w:t>
      </w:r>
      <w:hyperlink w:anchor="SENTENCIA_2008_14" w:history="1">
        <w:r w:rsidRPr="0050129A">
          <w:rPr>
            <w:rStyle w:val="TextoNormalCaracter"/>
          </w:rPr>
          <w:t>14/2008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064" w:name="DESCRIPTORALFABETICO557"/>
      <w:r w:rsidRPr="0050129A">
        <w:rPr>
          <w:rStyle w:val="TextoNormalNegritaCaracter"/>
        </w:rPr>
        <w:t>Inadmisión de recurso contencioso-administrativo por extemporaneidad</w:t>
      </w:r>
      <w:bookmarkEnd w:id="1064"/>
      <w:r w:rsidRPr="0050129A">
        <w:rPr>
          <w:rStyle w:val="TextoNormalCaracter"/>
        </w:rPr>
        <w:t xml:space="preserve">, Sentencia </w:t>
      </w:r>
      <w:hyperlink w:anchor="SENTENCIA_2008_24" w:history="1">
        <w:r w:rsidRPr="0050129A">
          <w:rPr>
            <w:rStyle w:val="TextoNormalCaracter"/>
          </w:rPr>
          <w:t>24/2008</w:t>
        </w:r>
      </w:hyperlink>
      <w:r w:rsidRPr="0050129A">
        <w:rPr>
          <w:rStyle w:val="TextoNormalCaracter"/>
        </w:rPr>
        <w:t>, f. 3.</w:t>
      </w:r>
    </w:p>
    <w:p w:rsidR="0050129A" w:rsidRPr="0050129A" w:rsidRDefault="0050129A" w:rsidP="0050129A">
      <w:pPr>
        <w:pStyle w:val="TextoNormalSangraFrancesa"/>
        <w:rPr>
          <w:rStyle w:val="TextoNormalCaracter"/>
        </w:rPr>
      </w:pPr>
      <w:bookmarkStart w:id="1065" w:name="DESCRIPTORALFABETICO558"/>
      <w:r w:rsidRPr="0050129A">
        <w:rPr>
          <w:rStyle w:val="TextoNormalNegritaCaracter"/>
        </w:rPr>
        <w:t>Inadmisión de recurso contencioso-administrativo por falta de denuncia de mora</w:t>
      </w:r>
      <w:bookmarkEnd w:id="1065"/>
      <w:r w:rsidRPr="0050129A">
        <w:rPr>
          <w:rStyle w:val="TextoNormalCaracter"/>
        </w:rPr>
        <w:t xml:space="preserve">, Auto </w:t>
      </w:r>
      <w:hyperlink w:anchor="AUTO_2008_49" w:history="1">
        <w:r w:rsidRPr="0050129A">
          <w:rPr>
            <w:rStyle w:val="TextoNormalCaracter"/>
          </w:rPr>
          <w:t>49/2008</w:t>
        </w:r>
      </w:hyperlink>
      <w:r w:rsidRPr="0050129A">
        <w:rPr>
          <w:rStyle w:val="TextoNormalCaracter"/>
        </w:rPr>
        <w:t>.</w:t>
      </w:r>
    </w:p>
    <w:p w:rsidR="0050129A" w:rsidRPr="0050129A" w:rsidRDefault="0050129A" w:rsidP="0050129A">
      <w:pPr>
        <w:pStyle w:val="TextoNormalSangraFrancesa"/>
        <w:rPr>
          <w:rStyle w:val="TextoNormalCaracter"/>
        </w:rPr>
      </w:pPr>
      <w:bookmarkStart w:id="1066" w:name="DESCRIPTORALFABETICO238"/>
      <w:r w:rsidRPr="0050129A">
        <w:rPr>
          <w:rStyle w:val="TextoNormalNegritaCaracter"/>
        </w:rPr>
        <w:t>Inadmisión de recurso de amparo</w:t>
      </w:r>
      <w:bookmarkEnd w:id="1066"/>
      <w:r w:rsidRPr="0050129A">
        <w:rPr>
          <w:rStyle w:val="TextoNormalCaracter"/>
        </w:rPr>
        <w:t xml:space="preserve">, Sentencia </w:t>
      </w:r>
      <w:hyperlink w:anchor="SENTENCIA_2008_13" w:history="1">
        <w:r w:rsidRPr="0050129A">
          <w:rPr>
            <w:rStyle w:val="TextoNormalCaracter"/>
          </w:rPr>
          <w:t>13/2008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4" w:history="1">
        <w:r w:rsidRPr="0050129A">
          <w:rPr>
            <w:rStyle w:val="TextoNormalCaracter"/>
          </w:rPr>
          <w:t>4/2008</w:t>
        </w:r>
      </w:hyperlink>
      <w:r w:rsidRPr="0050129A">
        <w:rPr>
          <w:rStyle w:val="TextoNormalCaracter"/>
        </w:rPr>
        <w:t xml:space="preserve">; </w:t>
      </w:r>
      <w:hyperlink w:anchor="AUTO_2008_27" w:history="1">
        <w:r w:rsidRPr="0050129A">
          <w:rPr>
            <w:rStyle w:val="TextoNormalCaracter"/>
          </w:rPr>
          <w:t>27/2008</w:t>
        </w:r>
      </w:hyperlink>
      <w:r w:rsidRPr="0050129A">
        <w:rPr>
          <w:rStyle w:val="TextoNormalCaracter"/>
        </w:rPr>
        <w:t xml:space="preserve">; </w:t>
      </w:r>
      <w:hyperlink w:anchor="AUTO_2008_28" w:history="1">
        <w:r w:rsidRPr="0050129A">
          <w:rPr>
            <w:rStyle w:val="TextoNormalCaracter"/>
          </w:rPr>
          <w:t>28/2008</w:t>
        </w:r>
      </w:hyperlink>
      <w:r w:rsidRPr="0050129A">
        <w:rPr>
          <w:rStyle w:val="TextoNormalCaracter"/>
        </w:rPr>
        <w:t xml:space="preserve">; </w:t>
      </w:r>
      <w:hyperlink w:anchor="AUTO_2008_29" w:history="1">
        <w:r w:rsidRPr="0050129A">
          <w:rPr>
            <w:rStyle w:val="TextoNormalCaracter"/>
          </w:rPr>
          <w:t>29/2008</w:t>
        </w:r>
      </w:hyperlink>
      <w:r w:rsidRPr="0050129A">
        <w:rPr>
          <w:rStyle w:val="TextoNormalCaracter"/>
        </w:rPr>
        <w:t xml:space="preserve">; </w:t>
      </w:r>
      <w:hyperlink w:anchor="AUTO_2008_30" w:history="1">
        <w:r w:rsidRPr="0050129A">
          <w:rPr>
            <w:rStyle w:val="TextoNormalCaracter"/>
          </w:rPr>
          <w:t>30/2008</w:t>
        </w:r>
      </w:hyperlink>
      <w:r w:rsidRPr="0050129A">
        <w:rPr>
          <w:rStyle w:val="TextoNormalCaracter"/>
        </w:rPr>
        <w:t xml:space="preserve">; </w:t>
      </w:r>
      <w:hyperlink w:anchor="AUTO_2008_41" w:history="1">
        <w:r w:rsidRPr="0050129A">
          <w:rPr>
            <w:rStyle w:val="TextoNormalCaracter"/>
          </w:rPr>
          <w:t>41/2008</w:t>
        </w:r>
      </w:hyperlink>
      <w:r w:rsidRPr="0050129A">
        <w:rPr>
          <w:rStyle w:val="TextoNormalCaracter"/>
        </w:rPr>
        <w:t xml:space="preserve">; </w:t>
      </w:r>
      <w:hyperlink w:anchor="AUTO_2008_47" w:history="1">
        <w:r w:rsidRPr="0050129A">
          <w:rPr>
            <w:rStyle w:val="TextoNormalCaracter"/>
          </w:rPr>
          <w:t>47/2008</w:t>
        </w:r>
      </w:hyperlink>
      <w:r w:rsidRPr="0050129A">
        <w:rPr>
          <w:rStyle w:val="TextoNormalCaracter"/>
        </w:rPr>
        <w:t xml:space="preserve">; </w:t>
      </w:r>
      <w:hyperlink w:anchor="AUTO_2008_49" w:history="1">
        <w:r w:rsidRPr="0050129A">
          <w:rPr>
            <w:rStyle w:val="TextoNormalCaracter"/>
          </w:rPr>
          <w:t>49/2008</w:t>
        </w:r>
      </w:hyperlink>
      <w:r w:rsidRPr="0050129A">
        <w:rPr>
          <w:rStyle w:val="TextoNormalCaracter"/>
        </w:rPr>
        <w:t xml:space="preserve">; </w:t>
      </w:r>
      <w:hyperlink w:anchor="AUTO_2008_61" w:history="1">
        <w:r w:rsidRPr="0050129A">
          <w:rPr>
            <w:rStyle w:val="TextoNormalCaracter"/>
          </w:rPr>
          <w:t>61/2008</w:t>
        </w:r>
      </w:hyperlink>
      <w:r w:rsidRPr="0050129A">
        <w:rPr>
          <w:rStyle w:val="TextoNormalCaracter"/>
        </w:rPr>
        <w:t xml:space="preserve">; </w:t>
      </w:r>
      <w:hyperlink w:anchor="AUTO_2008_77" w:history="1">
        <w:r w:rsidRPr="0050129A">
          <w:rPr>
            <w:rStyle w:val="TextoNormalCaracter"/>
          </w:rPr>
          <w:t>77/2008</w:t>
        </w:r>
      </w:hyperlink>
      <w:r w:rsidRPr="0050129A">
        <w:rPr>
          <w:rStyle w:val="TextoNormalCaracter"/>
        </w:rPr>
        <w:t xml:space="preserve">; </w:t>
      </w:r>
      <w:hyperlink w:anchor="AUTO_2008_82" w:history="1">
        <w:r w:rsidRPr="0050129A">
          <w:rPr>
            <w:rStyle w:val="TextoNormalCaracter"/>
          </w:rPr>
          <w:t>82/2008</w:t>
        </w:r>
      </w:hyperlink>
      <w:r w:rsidRPr="0050129A">
        <w:rPr>
          <w:rStyle w:val="TextoNormalCaracter"/>
        </w:rPr>
        <w:t xml:space="preserve">; </w:t>
      </w:r>
      <w:hyperlink w:anchor="AUTO_2008_83" w:history="1">
        <w:r w:rsidRPr="0050129A">
          <w:rPr>
            <w:rStyle w:val="TextoNormalCaracter"/>
          </w:rPr>
          <w:t>83/2008</w:t>
        </w:r>
      </w:hyperlink>
      <w:r w:rsidRPr="0050129A">
        <w:rPr>
          <w:rStyle w:val="TextoNormalCaracter"/>
        </w:rPr>
        <w:t xml:space="preserve">; </w:t>
      </w:r>
      <w:hyperlink w:anchor="AUTO_2008_84" w:history="1">
        <w:r w:rsidRPr="0050129A">
          <w:rPr>
            <w:rStyle w:val="TextoNormalCaracter"/>
          </w:rPr>
          <w:t>84/2008</w:t>
        </w:r>
      </w:hyperlink>
      <w:r w:rsidRPr="0050129A">
        <w:rPr>
          <w:rStyle w:val="TextoNormalCaracter"/>
        </w:rPr>
        <w:t xml:space="preserve">; </w:t>
      </w:r>
      <w:hyperlink w:anchor="AUTO_2008_85" w:history="1">
        <w:r w:rsidRPr="0050129A">
          <w:rPr>
            <w:rStyle w:val="TextoNormalCaracter"/>
          </w:rPr>
          <w:t>85/2008</w:t>
        </w:r>
      </w:hyperlink>
      <w:r w:rsidRPr="0050129A">
        <w:rPr>
          <w:rStyle w:val="TextoNormalCaracter"/>
        </w:rPr>
        <w:t xml:space="preserve">; </w:t>
      </w:r>
      <w:hyperlink w:anchor="AUTO_2008_112" w:history="1">
        <w:r w:rsidRPr="0050129A">
          <w:rPr>
            <w:rStyle w:val="TextoNormalCaracter"/>
          </w:rPr>
          <w:t>112/2008</w:t>
        </w:r>
      </w:hyperlink>
      <w:r w:rsidRPr="0050129A">
        <w:rPr>
          <w:rStyle w:val="TextoNormalCaracter"/>
        </w:rPr>
        <w:t xml:space="preserve">; </w:t>
      </w:r>
      <w:hyperlink w:anchor="AUTO_2008_115" w:history="1">
        <w:r w:rsidRPr="0050129A">
          <w:rPr>
            <w:rStyle w:val="TextoNormalCaracter"/>
          </w:rPr>
          <w:t>115/2008</w:t>
        </w:r>
      </w:hyperlink>
      <w:r w:rsidRPr="0050129A">
        <w:rPr>
          <w:rStyle w:val="TextoNormalCaracter"/>
        </w:rPr>
        <w:t xml:space="preserve">; </w:t>
      </w:r>
      <w:hyperlink w:anchor="AUTO_2008_117" w:history="1">
        <w:r w:rsidRPr="0050129A">
          <w:rPr>
            <w:rStyle w:val="TextoNormalCaracter"/>
          </w:rPr>
          <w:t>117/2008</w:t>
        </w:r>
      </w:hyperlink>
      <w:r w:rsidRPr="0050129A">
        <w:rPr>
          <w:rStyle w:val="TextoNormalCaracter"/>
        </w:rPr>
        <w:t>.</w:t>
      </w:r>
    </w:p>
    <w:p w:rsidR="0050129A" w:rsidRPr="0050129A" w:rsidRDefault="0050129A" w:rsidP="0050129A">
      <w:pPr>
        <w:pStyle w:val="TextoNormalSangraFrancesa"/>
        <w:rPr>
          <w:rStyle w:val="TextoNormalCaracter"/>
        </w:rPr>
      </w:pPr>
      <w:bookmarkStart w:id="1067" w:name="DESCRIPTORALFABETICO240"/>
      <w:r w:rsidRPr="0050129A">
        <w:rPr>
          <w:rStyle w:val="TextoNormalNegritaCaracter"/>
        </w:rPr>
        <w:t>Inadmisión de recurso de amparo por providencia</w:t>
      </w:r>
      <w:bookmarkEnd w:id="1067"/>
      <w:r w:rsidRPr="0050129A">
        <w:rPr>
          <w:rStyle w:val="TextoNormalCaracter"/>
        </w:rPr>
        <w:t xml:space="preserve">, Auto </w:t>
      </w:r>
      <w:hyperlink w:anchor="AUTO_2008_28" w:history="1">
        <w:r w:rsidRPr="0050129A">
          <w:rPr>
            <w:rStyle w:val="TextoNormalCaracter"/>
          </w:rPr>
          <w:t>28/2008</w:t>
        </w:r>
      </w:hyperlink>
      <w:r w:rsidRPr="0050129A">
        <w:rPr>
          <w:rStyle w:val="TextoNormalCaracter"/>
        </w:rPr>
        <w:t>.</w:t>
      </w:r>
    </w:p>
    <w:p w:rsidR="0050129A" w:rsidRPr="0050129A" w:rsidRDefault="0050129A" w:rsidP="0050129A">
      <w:pPr>
        <w:pStyle w:val="TextoNormalSangraFrancesa"/>
        <w:rPr>
          <w:rStyle w:val="TextoNormalCaracter"/>
        </w:rPr>
      </w:pPr>
      <w:bookmarkStart w:id="1068" w:name="DESCRIPTORALFABETICO241"/>
      <w:r w:rsidRPr="0050129A">
        <w:rPr>
          <w:rStyle w:val="TextoNormalNegritaCaracter"/>
        </w:rPr>
        <w:t>Inadmisión de recurso de amparo por sentencia</w:t>
      </w:r>
      <w:bookmarkEnd w:id="1068"/>
      <w:r w:rsidRPr="0050129A">
        <w:rPr>
          <w:rStyle w:val="TextoNormalCaracter"/>
        </w:rPr>
        <w:t xml:space="preserve">, Sentencias </w:t>
      </w:r>
      <w:hyperlink w:anchor="SENTENCIA_2008_1" w:history="1">
        <w:r w:rsidRPr="0050129A">
          <w:rPr>
            <w:rStyle w:val="TextoNormalCaracter"/>
          </w:rPr>
          <w:t>1/2008</w:t>
        </w:r>
      </w:hyperlink>
      <w:r w:rsidRPr="0050129A">
        <w:rPr>
          <w:rStyle w:val="TextoNormalCaracter"/>
        </w:rPr>
        <w:t xml:space="preserve">, f. 2; </w:t>
      </w:r>
      <w:hyperlink w:anchor="SENTENCIA_2008_19" w:history="1">
        <w:r w:rsidRPr="0050129A">
          <w:rPr>
            <w:rStyle w:val="TextoNormalCaracter"/>
          </w:rPr>
          <w:t>19/2008</w:t>
        </w:r>
      </w:hyperlink>
      <w:r w:rsidRPr="0050129A">
        <w:rPr>
          <w:rStyle w:val="TextoNormalCaracter"/>
        </w:rPr>
        <w:t xml:space="preserve">, ff. 1, 2, 3, 4; </w:t>
      </w:r>
      <w:hyperlink w:anchor="SENTENCIA_2008_20" w:history="1">
        <w:r w:rsidRPr="0050129A">
          <w:rPr>
            <w:rStyle w:val="TextoNormalCaracter"/>
          </w:rPr>
          <w:t>20/2008</w:t>
        </w:r>
      </w:hyperlink>
      <w:r w:rsidRPr="0050129A">
        <w:rPr>
          <w:rStyle w:val="TextoNormalCaracter"/>
        </w:rPr>
        <w:t>, f. 5.</w:t>
      </w:r>
    </w:p>
    <w:p w:rsidR="0050129A" w:rsidRPr="0050129A" w:rsidRDefault="0050129A" w:rsidP="0050129A">
      <w:pPr>
        <w:pStyle w:val="TextoNormalSangraFrancesa"/>
        <w:rPr>
          <w:rStyle w:val="TextoNormalCaracter"/>
        </w:rPr>
      </w:pPr>
      <w:bookmarkStart w:id="1069" w:name="DESCRIPTORALFABETICO551"/>
      <w:r w:rsidRPr="0050129A">
        <w:rPr>
          <w:rStyle w:val="TextoNormalNegritaCaracter"/>
        </w:rPr>
        <w:t>Inadmisión de recurso de apelación civil</w:t>
      </w:r>
      <w:bookmarkEnd w:id="1069"/>
      <w:r w:rsidRPr="0050129A">
        <w:rPr>
          <w:rStyle w:val="TextoNormalCaracter"/>
        </w:rPr>
        <w:t xml:space="preserve">, Sentencia </w:t>
      </w:r>
      <w:hyperlink w:anchor="SENTENCIA_2008_33" w:history="1">
        <w:r w:rsidRPr="0050129A">
          <w:rPr>
            <w:rStyle w:val="TextoNormalCaracter"/>
          </w:rPr>
          <w:t>33/2008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070" w:name="DESCRIPTORALFABETICO502"/>
      <w:r w:rsidRPr="0050129A">
        <w:rPr>
          <w:rStyle w:val="TextoNormalNegritaCaracter"/>
        </w:rPr>
        <w:t>Incidente de nulidad de actuaciones</w:t>
      </w:r>
      <w:bookmarkEnd w:id="1070"/>
      <w:r w:rsidRPr="0050129A">
        <w:rPr>
          <w:rStyle w:val="TextoNormalCaracter"/>
        </w:rPr>
        <w:t xml:space="preserve">, Sentencia </w:t>
      </w:r>
      <w:hyperlink w:anchor="SENTENCIA_2008_14" w:history="1">
        <w:r w:rsidRPr="0050129A">
          <w:rPr>
            <w:rStyle w:val="TextoNormalCaracter"/>
          </w:rPr>
          <w:t>14/2008</w:t>
        </w:r>
      </w:hyperlink>
      <w:r w:rsidRPr="0050129A">
        <w:rPr>
          <w:rStyle w:val="TextoNormalCaracter"/>
        </w:rPr>
        <w:t>, f. 2.</w:t>
      </w:r>
    </w:p>
    <w:p w:rsidR="0050129A" w:rsidRPr="0050129A" w:rsidRDefault="0050129A" w:rsidP="0050129A">
      <w:pPr>
        <w:pStyle w:val="TextoNormalSangraFrancesa"/>
        <w:rPr>
          <w:rStyle w:val="TextoNormalCaracter"/>
        </w:rPr>
      </w:pPr>
      <w:bookmarkStart w:id="1071" w:name="DESCRIPTORALFABETICO503"/>
      <w:r w:rsidRPr="0050129A">
        <w:rPr>
          <w:rStyle w:val="TextoNormalNegritaCaracter"/>
        </w:rPr>
        <w:t>Incidente de nulidad de actuaciones exigible</w:t>
      </w:r>
      <w:bookmarkEnd w:id="1071"/>
      <w:r w:rsidRPr="0050129A">
        <w:rPr>
          <w:rStyle w:val="TextoNormalCaracter"/>
        </w:rPr>
        <w:t xml:space="preserve">, Auto </w:t>
      </w:r>
      <w:hyperlink w:anchor="AUTO_2008_41" w:history="1">
        <w:r w:rsidRPr="0050129A">
          <w:rPr>
            <w:rStyle w:val="TextoNormalCaracter"/>
          </w:rPr>
          <w:t>41/2008</w:t>
        </w:r>
      </w:hyperlink>
      <w:r w:rsidRPr="0050129A">
        <w:rPr>
          <w:rStyle w:val="TextoNormalCaracter"/>
        </w:rPr>
        <w:t>.</w:t>
      </w:r>
    </w:p>
    <w:p w:rsidR="0050129A" w:rsidRPr="0050129A" w:rsidRDefault="0050129A" w:rsidP="0050129A">
      <w:pPr>
        <w:pStyle w:val="TextoNormalSangraFrancesa"/>
        <w:rPr>
          <w:rStyle w:val="TextoNormalCaracter"/>
        </w:rPr>
      </w:pPr>
      <w:bookmarkStart w:id="1072" w:name="DESCRIPTORALFABETICO504"/>
      <w:r w:rsidRPr="0050129A">
        <w:rPr>
          <w:rStyle w:val="TextoNormalNegritaCaracter"/>
        </w:rPr>
        <w:t>Incidente de nulidad de actuaciones no exigible</w:t>
      </w:r>
      <w:bookmarkEnd w:id="1072"/>
      <w:r w:rsidRPr="0050129A">
        <w:rPr>
          <w:rStyle w:val="TextoNormalCaracter"/>
        </w:rPr>
        <w:t xml:space="preserve">, Sentencia </w:t>
      </w:r>
      <w:hyperlink w:anchor="SENTENCIA_2008_15" w:history="1">
        <w:r w:rsidRPr="0050129A">
          <w:rPr>
            <w:rStyle w:val="TextoNormalCaracter"/>
          </w:rPr>
          <w:t>15/2008</w:t>
        </w:r>
      </w:hyperlink>
      <w:r w:rsidRPr="0050129A">
        <w:rPr>
          <w:rStyle w:val="TextoNormalCaracter"/>
        </w:rPr>
        <w:t>, f. 2.</w:t>
      </w:r>
    </w:p>
    <w:p w:rsidR="0050129A" w:rsidRPr="0050129A" w:rsidRDefault="0050129A" w:rsidP="0050129A">
      <w:pPr>
        <w:pStyle w:val="TextoNormalSangraFrancesa"/>
        <w:rPr>
          <w:rStyle w:val="TextoNormalCaracter"/>
        </w:rPr>
      </w:pPr>
      <w:bookmarkStart w:id="1073" w:name="DESCRIPTORALFABETICO505"/>
      <w:r w:rsidRPr="0050129A">
        <w:rPr>
          <w:rStyle w:val="TextoNormalNegritaCaracter"/>
        </w:rPr>
        <w:t>Incidente de nulidad de actuaciones no manifiestamente improcedente</w:t>
      </w:r>
      <w:bookmarkEnd w:id="1073"/>
      <w:r w:rsidRPr="0050129A">
        <w:rPr>
          <w:rStyle w:val="TextoNormalCaracter"/>
        </w:rPr>
        <w:t xml:space="preserve">, Sentencias </w:t>
      </w:r>
      <w:hyperlink w:anchor="SENTENCIA_2008_4" w:history="1">
        <w:r w:rsidRPr="0050129A">
          <w:rPr>
            <w:rStyle w:val="TextoNormalCaracter"/>
          </w:rPr>
          <w:t>4/2008</w:t>
        </w:r>
      </w:hyperlink>
      <w:r w:rsidRPr="0050129A">
        <w:rPr>
          <w:rStyle w:val="TextoNormalCaracter"/>
        </w:rPr>
        <w:t xml:space="preserve">, f. 2; </w:t>
      </w:r>
      <w:hyperlink w:anchor="SENTENCIA_2008_14" w:history="1">
        <w:r w:rsidRPr="0050129A">
          <w:rPr>
            <w:rStyle w:val="TextoNormalCaracter"/>
          </w:rPr>
          <w:t>14/2008</w:t>
        </w:r>
      </w:hyperlink>
      <w:r w:rsidRPr="0050129A">
        <w:rPr>
          <w:rStyle w:val="TextoNormalCaracter"/>
        </w:rPr>
        <w:t>, f. 2.</w:t>
      </w:r>
    </w:p>
    <w:p w:rsidR="0050129A" w:rsidRPr="0050129A" w:rsidRDefault="0050129A" w:rsidP="0050129A">
      <w:pPr>
        <w:pStyle w:val="TextoNormalSangraFrancesa"/>
        <w:rPr>
          <w:rStyle w:val="TextoNormalCaracter"/>
        </w:rPr>
      </w:pPr>
      <w:bookmarkStart w:id="1074" w:name="DESCRIPTORALFABETICO451"/>
      <w:r w:rsidRPr="0050129A">
        <w:rPr>
          <w:rStyle w:val="TextoNormalNegritaCaracter"/>
        </w:rPr>
        <w:t>Incidente de recusación</w:t>
      </w:r>
      <w:bookmarkEnd w:id="1074"/>
      <w:r w:rsidRPr="0050129A">
        <w:rPr>
          <w:rStyle w:val="TextoNormalCaracter"/>
        </w:rPr>
        <w:t xml:space="preserve">, Sentencia </w:t>
      </w:r>
      <w:hyperlink w:anchor="SENTENCIA_2008_38" w:history="1">
        <w:r w:rsidRPr="0050129A">
          <w:rPr>
            <w:rStyle w:val="TextoNormalCaracter"/>
          </w:rPr>
          <w:t>38/2008</w:t>
        </w:r>
      </w:hyperlink>
      <w:r w:rsidRPr="0050129A">
        <w:rPr>
          <w:rStyle w:val="TextoNormalCaracter"/>
        </w:rPr>
        <w:t>, f. 3.</w:t>
      </w:r>
    </w:p>
    <w:p w:rsidR="0050129A" w:rsidRPr="0050129A" w:rsidRDefault="0050129A" w:rsidP="0050129A">
      <w:pPr>
        <w:pStyle w:val="TextoNormalSangraFrancesa"/>
        <w:rPr>
          <w:rStyle w:val="TextoNormalCaracter"/>
        </w:rPr>
      </w:pPr>
      <w:bookmarkStart w:id="1075" w:name="DESCRIPTORALFABETICO118"/>
      <w:r w:rsidRPr="0050129A">
        <w:rPr>
          <w:rStyle w:val="TextoNormalNegritaCaracter"/>
        </w:rPr>
        <w:t>Incompatibilidad de las funciones de juez de instancia y de apelación</w:t>
      </w:r>
      <w:bookmarkEnd w:id="1075"/>
      <w:r w:rsidRPr="0050129A">
        <w:rPr>
          <w:rStyle w:val="TextoNormalCaracter"/>
        </w:rPr>
        <w:t xml:space="preserve">, Sentencia </w:t>
      </w:r>
      <w:hyperlink w:anchor="SENTENCIA_2008_36" w:history="1">
        <w:r w:rsidRPr="0050129A">
          <w:rPr>
            <w:rStyle w:val="TextoNormalCaracter"/>
          </w:rPr>
          <w:t>36/2008</w:t>
        </w:r>
      </w:hyperlink>
      <w:r w:rsidRPr="0050129A">
        <w:rPr>
          <w:rStyle w:val="TextoNormalCaracter"/>
        </w:rPr>
        <w:t>, f. 2.</w:t>
      </w:r>
    </w:p>
    <w:p w:rsidR="0050129A" w:rsidRPr="0050129A" w:rsidRDefault="0050129A" w:rsidP="0050129A">
      <w:pPr>
        <w:pStyle w:val="TextoNormalSangraFrancesa"/>
        <w:rPr>
          <w:rStyle w:val="TextoNormalCaracter"/>
        </w:rPr>
      </w:pPr>
      <w:bookmarkStart w:id="1076" w:name="DESCRIPTORALFABETICO82"/>
      <w:r w:rsidRPr="0050129A">
        <w:rPr>
          <w:rStyle w:val="TextoNormalNegritaCaracter"/>
        </w:rPr>
        <w:t>Incongruencia de las sentencias</w:t>
      </w:r>
      <w:bookmarkEnd w:id="1076"/>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44" w:history="1">
        <w:r w:rsidRPr="0050129A">
          <w:rPr>
            <w:rStyle w:val="TextoNormalCaracter"/>
          </w:rPr>
          <w:t>44/2008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29" w:history="1">
        <w:r w:rsidRPr="0050129A">
          <w:rPr>
            <w:rStyle w:val="TextoNormalCaracter"/>
          </w:rPr>
          <w:t>29/2008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Sentencias </w:t>
      </w:r>
      <w:hyperlink w:anchor="SENTENCIA_2008_5" w:history="1">
        <w:r w:rsidRPr="0050129A">
          <w:rPr>
            <w:rStyle w:val="TextoNormalCaracter"/>
          </w:rPr>
          <w:t>5/2008</w:t>
        </w:r>
      </w:hyperlink>
      <w:r w:rsidRPr="0050129A">
        <w:rPr>
          <w:rStyle w:val="TextoNormalCaracter"/>
        </w:rPr>
        <w:t xml:space="preserve">, f. 5; </w:t>
      </w:r>
      <w:hyperlink w:anchor="SENTENCIA_2008_40" w:history="1">
        <w:r w:rsidRPr="0050129A">
          <w:rPr>
            <w:rStyle w:val="TextoNormalCaracter"/>
          </w:rPr>
          <w:t>40/2008</w:t>
        </w:r>
      </w:hyperlink>
      <w:r w:rsidRPr="0050129A">
        <w:rPr>
          <w:rStyle w:val="TextoNormalCaracter"/>
        </w:rPr>
        <w:t xml:space="preserve">, f. 5; </w:t>
      </w:r>
      <w:hyperlink w:anchor="SENTENCIA_2008_44" w:history="1">
        <w:r w:rsidRPr="0050129A">
          <w:rPr>
            <w:rStyle w:val="TextoNormalCaracter"/>
          </w:rPr>
          <w:t>44/2008</w:t>
        </w:r>
      </w:hyperlink>
      <w:r w:rsidRPr="0050129A">
        <w:rPr>
          <w:rStyle w:val="TextoNormalCaracter"/>
        </w:rPr>
        <w:t>, ff. 2, 3.</w:t>
      </w:r>
    </w:p>
    <w:p w:rsidR="0050129A" w:rsidRPr="0050129A" w:rsidRDefault="0050129A" w:rsidP="0050129A">
      <w:pPr>
        <w:pStyle w:val="TextoNormalSangraFrancesa"/>
        <w:rPr>
          <w:rStyle w:val="TextoNormalCaracter"/>
        </w:rPr>
      </w:pPr>
      <w:bookmarkStart w:id="1077" w:name="DESCRIPTORALFABETICO83"/>
      <w:r w:rsidRPr="0050129A">
        <w:rPr>
          <w:rStyle w:val="TextoNormalNegritaCaracter"/>
        </w:rPr>
        <w:t>Incongruencia omisiva</w:t>
      </w:r>
      <w:bookmarkEnd w:id="1077"/>
      <w:r w:rsidRPr="0050129A">
        <w:rPr>
          <w:rStyle w:val="TextoNormalCaracter"/>
        </w:rPr>
        <w:t xml:space="preserve">, Sentencias </w:t>
      </w:r>
      <w:hyperlink w:anchor="SENTENCIA_2008_5" w:history="1">
        <w:r w:rsidRPr="0050129A">
          <w:rPr>
            <w:rStyle w:val="TextoNormalCaracter"/>
          </w:rPr>
          <w:t>5/2008</w:t>
        </w:r>
      </w:hyperlink>
      <w:r w:rsidRPr="0050129A">
        <w:rPr>
          <w:rStyle w:val="TextoNormalCaracter"/>
        </w:rPr>
        <w:t xml:space="preserve">, f. 5; </w:t>
      </w:r>
      <w:hyperlink w:anchor="SENTENCIA_2008_29" w:history="1">
        <w:r w:rsidRPr="0050129A">
          <w:rPr>
            <w:rStyle w:val="TextoNormalCaracter"/>
          </w:rPr>
          <w:t>29/2008</w:t>
        </w:r>
      </w:hyperlink>
      <w:r w:rsidRPr="0050129A">
        <w:rPr>
          <w:rStyle w:val="TextoNormalCaracter"/>
        </w:rPr>
        <w:t xml:space="preserve">, f. 2; </w:t>
      </w:r>
      <w:hyperlink w:anchor="SENTENCIA_2008_40" w:history="1">
        <w:r w:rsidRPr="0050129A">
          <w:rPr>
            <w:rStyle w:val="TextoNormalCaracter"/>
          </w:rPr>
          <w:t>40/2008</w:t>
        </w:r>
      </w:hyperlink>
      <w:r w:rsidRPr="0050129A">
        <w:rPr>
          <w:rStyle w:val="TextoNormalCaracter"/>
        </w:rPr>
        <w:t xml:space="preserve">, f. 5; </w:t>
      </w:r>
      <w:hyperlink w:anchor="SENTENCIA_2008_44" w:history="1">
        <w:r w:rsidRPr="0050129A">
          <w:rPr>
            <w:rStyle w:val="TextoNormalCaracter"/>
          </w:rPr>
          <w:t>44/2008</w:t>
        </w:r>
      </w:hyperlink>
      <w:r w:rsidRPr="0050129A">
        <w:rPr>
          <w:rStyle w:val="TextoNormalCaracter"/>
        </w:rPr>
        <w:t>, ff. 2, 3.</w:t>
      </w:r>
    </w:p>
    <w:p w:rsidR="0050129A" w:rsidRPr="0050129A" w:rsidRDefault="0050129A" w:rsidP="0050129A">
      <w:pPr>
        <w:pStyle w:val="TextoNormalSangraFrancesa"/>
        <w:rPr>
          <w:rStyle w:val="TextoNormalCaracter"/>
        </w:rPr>
      </w:pPr>
      <w:bookmarkStart w:id="1078" w:name="DESCRIPTORALFABETICO84"/>
      <w:r w:rsidRPr="0050129A">
        <w:rPr>
          <w:rStyle w:val="TextoNormalNegritaCaracter"/>
        </w:rPr>
        <w:t>Incongruencia por error</w:t>
      </w:r>
      <w:bookmarkEnd w:id="1078"/>
      <w:r w:rsidRPr="0050129A">
        <w:rPr>
          <w:rStyle w:val="TextoNormalCaracter"/>
        </w:rPr>
        <w:t xml:space="preserve">, Sentencia </w:t>
      </w:r>
      <w:hyperlink w:anchor="SENTENCIA_2008_44" w:history="1">
        <w:r w:rsidRPr="0050129A">
          <w:rPr>
            <w:rStyle w:val="TextoNormalCaracter"/>
          </w:rPr>
          <w:t>44/2008</w:t>
        </w:r>
      </w:hyperlink>
      <w:r w:rsidRPr="0050129A">
        <w:rPr>
          <w:rStyle w:val="TextoNormalCaracter"/>
        </w:rPr>
        <w:t>, ff. 2, 3.</w:t>
      </w:r>
    </w:p>
    <w:p w:rsidR="0050129A" w:rsidRPr="0050129A" w:rsidRDefault="0050129A" w:rsidP="0050129A">
      <w:pPr>
        <w:pStyle w:val="TextoNormalSangraFrancesa"/>
        <w:rPr>
          <w:rStyle w:val="TextoNormalCaracter"/>
        </w:rPr>
      </w:pPr>
      <w:bookmarkStart w:id="1079" w:name="DESCRIPTORALFABETICO13"/>
      <w:r w:rsidRPr="0050129A">
        <w:rPr>
          <w:rStyle w:val="TextoNormalNegritaCaracter"/>
        </w:rPr>
        <w:t>Incrementos patrimoniales irregulares</w:t>
      </w:r>
      <w:bookmarkEnd w:id="1079"/>
      <w:r w:rsidRPr="0050129A">
        <w:rPr>
          <w:rStyle w:val="TextoNormalCaracter"/>
        </w:rPr>
        <w:t xml:space="preserve">, Auto </w:t>
      </w:r>
      <w:hyperlink w:anchor="AUTO_2008_48" w:history="1">
        <w:r w:rsidRPr="0050129A">
          <w:rPr>
            <w:rStyle w:val="TextoNormalCaracter"/>
          </w:rPr>
          <w:t>48/2008</w:t>
        </w:r>
      </w:hyperlink>
      <w:r w:rsidRPr="0050129A">
        <w:rPr>
          <w:rStyle w:val="TextoNormalCaracter"/>
        </w:rPr>
        <w:t>.</w:t>
      </w:r>
    </w:p>
    <w:p w:rsidR="0050129A" w:rsidRPr="0050129A" w:rsidRDefault="0050129A" w:rsidP="0050129A">
      <w:pPr>
        <w:pStyle w:val="TextoNormalSangraFrancesa"/>
        <w:rPr>
          <w:rStyle w:val="TextoNormalCaracter"/>
        </w:rPr>
      </w:pPr>
      <w:bookmarkStart w:id="1080" w:name="DESCRIPTORALFABETICO103"/>
      <w:r w:rsidRPr="0050129A">
        <w:rPr>
          <w:rStyle w:val="TextoNormalNegritaCaracter"/>
        </w:rPr>
        <w:t>Indefensión imputable al órgano judicial</w:t>
      </w:r>
      <w:bookmarkEnd w:id="1080"/>
      <w:r w:rsidRPr="0050129A">
        <w:rPr>
          <w:rStyle w:val="TextoNormalCaracter"/>
        </w:rPr>
        <w:t xml:space="preserve">, Sentencia </w:t>
      </w:r>
      <w:hyperlink w:anchor="SENTENCIA_2008_6" w:history="1">
        <w:r w:rsidRPr="0050129A">
          <w:rPr>
            <w:rStyle w:val="TextoNormalCaracter"/>
          </w:rPr>
          <w:t>6/2008</w:t>
        </w:r>
      </w:hyperlink>
      <w:r w:rsidRPr="0050129A">
        <w:rPr>
          <w:rStyle w:val="TextoNormalCaracter"/>
        </w:rPr>
        <w:t>, f. 4.</w:t>
      </w:r>
    </w:p>
    <w:p w:rsidR="0050129A" w:rsidRPr="0050129A" w:rsidRDefault="0050129A" w:rsidP="0050129A">
      <w:pPr>
        <w:pStyle w:val="TextoNormalSangraFrancesa"/>
        <w:rPr>
          <w:rStyle w:val="TextoNormalCaracter"/>
        </w:rPr>
      </w:pPr>
      <w:bookmarkStart w:id="1081" w:name="DESCRIPTORALFABETICO104"/>
      <w:r w:rsidRPr="0050129A">
        <w:rPr>
          <w:rStyle w:val="TextoNormalNegritaCaracter"/>
        </w:rPr>
        <w:t>Indefensión imputable al recurrente</w:t>
      </w:r>
      <w:bookmarkEnd w:id="1081"/>
      <w:r w:rsidRPr="0050129A">
        <w:rPr>
          <w:rStyle w:val="TextoNormalCaracter"/>
        </w:rPr>
        <w:t xml:space="preserve">, Sentencia </w:t>
      </w:r>
      <w:hyperlink w:anchor="SENTENCIA_2008_7" w:history="1">
        <w:r w:rsidRPr="0050129A">
          <w:rPr>
            <w:rStyle w:val="TextoNormalCaracter"/>
          </w:rPr>
          <w:t>7/2008</w:t>
        </w:r>
      </w:hyperlink>
      <w:r w:rsidRPr="0050129A">
        <w:rPr>
          <w:rStyle w:val="TextoNormalCaracter"/>
        </w:rPr>
        <w:t>, f. 4.</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77" w:history="1">
        <w:r w:rsidRPr="0050129A">
          <w:rPr>
            <w:rStyle w:val="TextoNormalCaracter"/>
          </w:rPr>
          <w:t>77/2008</w:t>
        </w:r>
      </w:hyperlink>
      <w:r w:rsidRPr="0050129A">
        <w:rPr>
          <w:rStyle w:val="TextoNormalCaracter"/>
        </w:rPr>
        <w:t>.</w:t>
      </w:r>
    </w:p>
    <w:p w:rsidR="0050129A" w:rsidRPr="0050129A" w:rsidRDefault="0050129A" w:rsidP="0050129A">
      <w:pPr>
        <w:pStyle w:val="TextoNormalSangraFrancesa"/>
        <w:rPr>
          <w:rStyle w:val="TextoNormalCaracter"/>
        </w:rPr>
      </w:pPr>
      <w:bookmarkStart w:id="1082" w:name="DESCRIPTORALFABETICO105"/>
      <w:r w:rsidRPr="0050129A">
        <w:rPr>
          <w:rStyle w:val="TextoNormalNegritaCaracter"/>
        </w:rPr>
        <w:t>Indefensión material</w:t>
      </w:r>
      <w:bookmarkEnd w:id="1082"/>
      <w:r w:rsidRPr="0050129A">
        <w:rPr>
          <w:rStyle w:val="TextoNormalCaracter"/>
        </w:rPr>
        <w:t xml:space="preserve">, Sentencias </w:t>
      </w:r>
      <w:hyperlink w:anchor="SENTENCIA_2008_22" w:history="1">
        <w:r w:rsidRPr="0050129A">
          <w:rPr>
            <w:rStyle w:val="TextoNormalCaracter"/>
          </w:rPr>
          <w:t>22/2008</w:t>
        </w:r>
      </w:hyperlink>
      <w:r w:rsidRPr="0050129A">
        <w:rPr>
          <w:rStyle w:val="TextoNormalCaracter"/>
        </w:rPr>
        <w:t xml:space="preserve">, f. 2; </w:t>
      </w:r>
      <w:hyperlink w:anchor="SENTENCIA_2008_58" w:history="1">
        <w:r w:rsidRPr="0050129A">
          <w:rPr>
            <w:rStyle w:val="TextoNormalCaracter"/>
          </w:rPr>
          <w:t>58/2008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083" w:name="DESCRIPTORALFABETICO423"/>
      <w:r w:rsidRPr="0050129A">
        <w:rPr>
          <w:rStyle w:val="TextoNormalNegritaCaracter"/>
        </w:rPr>
        <w:t>Indemnización</w:t>
      </w:r>
      <w:bookmarkEnd w:id="1083"/>
      <w:r w:rsidRPr="0050129A">
        <w:rPr>
          <w:rStyle w:val="TextoNormalCaracter"/>
        </w:rPr>
        <w:t xml:space="preserve">, Sentencias </w:t>
      </w:r>
      <w:hyperlink w:anchor="SENTENCIA_2008_11" w:history="1">
        <w:r w:rsidRPr="0050129A">
          <w:rPr>
            <w:rStyle w:val="TextoNormalCaracter"/>
          </w:rPr>
          <w:t>11/2008</w:t>
        </w:r>
      </w:hyperlink>
      <w:r w:rsidRPr="0050129A">
        <w:rPr>
          <w:rStyle w:val="TextoNormalCaracter"/>
        </w:rPr>
        <w:t xml:space="preserve">, ff. 7, 8, 9; </w:t>
      </w:r>
      <w:hyperlink w:anchor="SENTENCIA_2008_44" w:history="1">
        <w:r w:rsidRPr="0050129A">
          <w:rPr>
            <w:rStyle w:val="TextoNormalCaracter"/>
          </w:rPr>
          <w:t>44/2008</w:t>
        </w:r>
      </w:hyperlink>
      <w:r w:rsidRPr="0050129A">
        <w:rPr>
          <w:rStyle w:val="TextoNormalCaracter"/>
        </w:rPr>
        <w:t>, ff. 1 a 4.</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37" w:history="1">
        <w:r w:rsidRPr="0050129A">
          <w:rPr>
            <w:rStyle w:val="TextoNormalCaracter"/>
          </w:rPr>
          <w:t>37/2008</w:t>
        </w:r>
      </w:hyperlink>
      <w:r w:rsidRPr="0050129A">
        <w:rPr>
          <w:rStyle w:val="TextoNormalCaracter"/>
        </w:rPr>
        <w:t xml:space="preserve">; </w:t>
      </w:r>
      <w:hyperlink w:anchor="AUTO_2008_111" w:history="1">
        <w:r w:rsidRPr="0050129A">
          <w:rPr>
            <w:rStyle w:val="TextoNormalCaracter"/>
          </w:rPr>
          <w:t>111/2008</w:t>
        </w:r>
      </w:hyperlink>
      <w:r w:rsidRPr="0050129A">
        <w:rPr>
          <w:rStyle w:val="TextoNormalCaracter"/>
        </w:rPr>
        <w:t>.</w:t>
      </w:r>
    </w:p>
    <w:p w:rsidR="0050129A" w:rsidRPr="0050129A" w:rsidRDefault="0050129A" w:rsidP="0050129A">
      <w:pPr>
        <w:pStyle w:val="TextoNormalSangraFrancesa"/>
        <w:rPr>
          <w:rStyle w:val="TextoNormalCaracter"/>
        </w:rPr>
      </w:pPr>
      <w:bookmarkStart w:id="1084" w:name="DESCRIPTORALFABETICO438"/>
      <w:r w:rsidRPr="0050129A">
        <w:rPr>
          <w:rStyle w:val="TextoNormalNegritaCaracter"/>
        </w:rPr>
        <w:lastRenderedPageBreak/>
        <w:t>Indemnización sustitutoria</w:t>
      </w:r>
      <w:bookmarkEnd w:id="1084"/>
      <w:r w:rsidRPr="0050129A">
        <w:rPr>
          <w:rStyle w:val="TextoNormalCaracter"/>
        </w:rPr>
        <w:t xml:space="preserve">, Sentencia </w:t>
      </w:r>
      <w:hyperlink w:anchor="SENTENCIA_2008_11" w:history="1">
        <w:r w:rsidRPr="0050129A">
          <w:rPr>
            <w:rStyle w:val="TextoNormalCaracter"/>
          </w:rPr>
          <w:t>11/2008</w:t>
        </w:r>
      </w:hyperlink>
      <w:r w:rsidRPr="0050129A">
        <w:rPr>
          <w:rStyle w:val="TextoNormalCaracter"/>
        </w:rPr>
        <w:t>, ff. 7 a 9.</w:t>
      </w:r>
    </w:p>
    <w:p w:rsidR="0050129A" w:rsidRPr="0050129A" w:rsidRDefault="0050129A" w:rsidP="0050129A">
      <w:pPr>
        <w:pStyle w:val="TextoNormalSangraFrancesa"/>
        <w:rPr>
          <w:rStyle w:val="TextoNormalCaracter"/>
        </w:rPr>
      </w:pPr>
      <w:bookmarkStart w:id="1085" w:name="DESCRIPTORALFABETICO256"/>
      <w:r w:rsidRPr="0050129A">
        <w:rPr>
          <w:rStyle w:val="TextoNormalNegritaCaracter"/>
        </w:rPr>
        <w:t>Independencia del Tribunal Constitucional</w:t>
      </w:r>
      <w:bookmarkEnd w:id="1085"/>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7 apartados b) y c), 9, 10.</w:t>
      </w:r>
    </w:p>
    <w:p w:rsidR="0050129A" w:rsidRPr="0050129A" w:rsidRDefault="0050129A" w:rsidP="0050129A">
      <w:pPr>
        <w:pStyle w:val="TextoNormalSangraFrancesa"/>
        <w:rPr>
          <w:rStyle w:val="TextoNormalCaracter"/>
        </w:rPr>
      </w:pPr>
      <w:bookmarkStart w:id="1086" w:name="DESCRIPTORALFABETICO527"/>
      <w:r w:rsidRPr="0050129A">
        <w:rPr>
          <w:rStyle w:val="TextoNormalNegritaCaracter"/>
        </w:rPr>
        <w:t>Indicación errónea de recursos</w:t>
      </w:r>
      <w:bookmarkEnd w:id="1086"/>
      <w:r w:rsidRPr="0050129A">
        <w:rPr>
          <w:rStyle w:val="TextoNormalCaracter"/>
        </w:rPr>
        <w:t xml:space="preserve">, Sentencia </w:t>
      </w:r>
      <w:hyperlink w:anchor="SENTENCIA_2008_26" w:history="1">
        <w:r w:rsidRPr="0050129A">
          <w:rPr>
            <w:rStyle w:val="TextoNormalCaracter"/>
          </w:rPr>
          <w:t>26/2008</w:t>
        </w:r>
      </w:hyperlink>
      <w:r w:rsidRPr="0050129A">
        <w:rPr>
          <w:rStyle w:val="TextoNormalCaracter"/>
        </w:rPr>
        <w:t>, f. 2.</w:t>
      </w:r>
    </w:p>
    <w:p w:rsidR="0050129A" w:rsidRPr="0050129A" w:rsidRDefault="0050129A" w:rsidP="0050129A">
      <w:pPr>
        <w:pStyle w:val="TextoNormalSangraFrancesa"/>
        <w:rPr>
          <w:rStyle w:val="TextoNormalCaracter"/>
        </w:rPr>
      </w:pPr>
      <w:bookmarkStart w:id="1087" w:name="DESCRIPTORALFABETICO481"/>
      <w:r w:rsidRPr="0050129A">
        <w:rPr>
          <w:rStyle w:val="TextoNormalNegritaCaracter"/>
        </w:rPr>
        <w:t>Inejecución de sentencia</w:t>
      </w:r>
      <w:bookmarkEnd w:id="1087"/>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bookmarkStart w:id="1088" w:name="DESCRIPTORALFABETICO315"/>
      <w:r w:rsidRPr="0050129A">
        <w:rPr>
          <w:rStyle w:val="TextoNormalNegritaCaracter"/>
        </w:rPr>
        <w:t>Inexistencia de sentencia definitiva</w:t>
      </w:r>
      <w:bookmarkEnd w:id="1088"/>
      <w:r w:rsidRPr="0050129A">
        <w:rPr>
          <w:rStyle w:val="TextoNormalCaracter"/>
        </w:rPr>
        <w:t xml:space="preserve">, Sentencia </w:t>
      </w:r>
      <w:hyperlink w:anchor="SENTENCIA_2008_23" w:history="1">
        <w:r w:rsidRPr="0050129A">
          <w:rPr>
            <w:rStyle w:val="TextoNormalCaracter"/>
          </w:rPr>
          <w:t>23/2008</w:t>
        </w:r>
      </w:hyperlink>
      <w:r w:rsidRPr="0050129A">
        <w:rPr>
          <w:rStyle w:val="TextoNormalCaracter"/>
        </w:rPr>
        <w:t>, ff. 3, 5.</w:t>
      </w:r>
    </w:p>
    <w:p w:rsidR="0050129A" w:rsidRPr="0050129A" w:rsidRDefault="0050129A" w:rsidP="0050129A">
      <w:pPr>
        <w:pStyle w:val="TextoNormalSangraFrancesa"/>
        <w:rPr>
          <w:rStyle w:val="TextoNormalCaracter"/>
        </w:rPr>
      </w:pPr>
      <w:bookmarkStart w:id="1089" w:name="DESCRIPTORALFABETICO498"/>
      <w:r w:rsidRPr="0050129A">
        <w:rPr>
          <w:rStyle w:val="TextoNormalNegritaCaracter"/>
        </w:rPr>
        <w:t>Inferencia insuficiente</w:t>
      </w:r>
      <w:bookmarkEnd w:id="1089"/>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 8; </w:t>
      </w:r>
      <w:hyperlink w:anchor="SENTENCIA_2008_52" w:history="1">
        <w:r w:rsidRPr="0050129A">
          <w:rPr>
            <w:rStyle w:val="TextoNormalCaracter"/>
          </w:rPr>
          <w:t>52/2008</w:t>
        </w:r>
      </w:hyperlink>
      <w:r w:rsidRPr="0050129A">
        <w:rPr>
          <w:rStyle w:val="TextoNormalCaracter"/>
        </w:rPr>
        <w:t>, f. 4.</w:t>
      </w:r>
    </w:p>
    <w:p w:rsidR="0050129A" w:rsidRPr="0050129A" w:rsidRDefault="0050129A" w:rsidP="0050129A">
      <w:pPr>
        <w:pStyle w:val="TextoNormalSangraFrancesa"/>
        <w:rPr>
          <w:rStyle w:val="TextoNormalCaracter"/>
        </w:rPr>
      </w:pPr>
      <w:bookmarkStart w:id="1090" w:name="DESCRIPTORALFABETICO499"/>
      <w:r w:rsidRPr="0050129A">
        <w:rPr>
          <w:rStyle w:val="TextoNormalNegritaCaracter"/>
        </w:rPr>
        <w:t>Inferencia razonable</w:t>
      </w:r>
      <w:bookmarkEnd w:id="1090"/>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091" w:name="DESCRIPTORALFABETICO353"/>
      <w:r w:rsidRPr="0050129A">
        <w:rPr>
          <w:rStyle w:val="TextoNormalNegritaCaracter"/>
        </w:rPr>
        <w:t>Informática</w:t>
      </w:r>
      <w:bookmarkEnd w:id="1091"/>
      <w:r w:rsidRPr="0050129A">
        <w:rPr>
          <w:rStyle w:val="TextoNormalCaracter"/>
        </w:rPr>
        <w:t xml:space="preserve">, Auto </w:t>
      </w:r>
      <w:hyperlink w:anchor="AUTO_2008_29" w:history="1">
        <w:r w:rsidRPr="0050129A">
          <w:rPr>
            <w:rStyle w:val="TextoNormalCaracter"/>
          </w:rPr>
          <w:t>29/2008</w:t>
        </w:r>
      </w:hyperlink>
      <w:r w:rsidRPr="0050129A">
        <w:rPr>
          <w:rStyle w:val="TextoNormalCaracter"/>
        </w:rPr>
        <w:t>.</w:t>
      </w:r>
    </w:p>
    <w:p w:rsidR="0050129A" w:rsidRPr="0050129A" w:rsidRDefault="0050129A" w:rsidP="0050129A">
      <w:pPr>
        <w:pStyle w:val="TextoNormalSangraFrancesa"/>
        <w:rPr>
          <w:rStyle w:val="TextoNormalCaracter"/>
        </w:rPr>
      </w:pPr>
      <w:bookmarkStart w:id="1092" w:name="DESCRIPTORALFABETICO392"/>
      <w:r w:rsidRPr="0050129A">
        <w:rPr>
          <w:rStyle w:val="TextoNormalNegritaCaracter"/>
        </w:rPr>
        <w:t>Inhabilitación especial para el derecho de sufragio</w:t>
      </w:r>
      <w:bookmarkEnd w:id="1092"/>
      <w:r w:rsidRPr="0050129A">
        <w:rPr>
          <w:rStyle w:val="TextoNormalCaracter"/>
        </w:rPr>
        <w:t xml:space="preserve">, Auto </w:t>
      </w:r>
      <w:hyperlink w:anchor="AUTO_2008_37" w:history="1">
        <w:r w:rsidRPr="0050129A">
          <w:rPr>
            <w:rStyle w:val="TextoNormalCaracter"/>
          </w:rPr>
          <w:t>37/2008</w:t>
        </w:r>
      </w:hyperlink>
      <w:r w:rsidRPr="0050129A">
        <w:rPr>
          <w:rStyle w:val="TextoNormalCaracter"/>
        </w:rPr>
        <w:t>.</w:t>
      </w:r>
    </w:p>
    <w:p w:rsidR="0050129A" w:rsidRPr="0050129A" w:rsidRDefault="0050129A" w:rsidP="0050129A">
      <w:pPr>
        <w:pStyle w:val="TextoNormalSangraFrancesa"/>
        <w:rPr>
          <w:rStyle w:val="TextoNormalCaracter"/>
        </w:rPr>
      </w:pPr>
      <w:bookmarkStart w:id="1093" w:name="DESCRIPTORALFABETICO393"/>
      <w:r w:rsidRPr="0050129A">
        <w:rPr>
          <w:rStyle w:val="TextoNormalNegritaCaracter"/>
        </w:rPr>
        <w:t>Inhabilitación especial para el derecho de sufragio pasivo</w:t>
      </w:r>
      <w:bookmarkEnd w:id="1093"/>
      <w:r w:rsidRPr="0050129A">
        <w:rPr>
          <w:rStyle w:val="TextoNormalCaracter"/>
        </w:rPr>
        <w:t xml:space="preserve">, Autos </w:t>
      </w:r>
      <w:hyperlink w:anchor="AUTO_2008_7" w:history="1">
        <w:r w:rsidRPr="0050129A">
          <w:rPr>
            <w:rStyle w:val="TextoNormalCaracter"/>
          </w:rPr>
          <w:t>7/2008</w:t>
        </w:r>
      </w:hyperlink>
      <w:r w:rsidRPr="0050129A">
        <w:rPr>
          <w:rStyle w:val="TextoNormalCaracter"/>
        </w:rPr>
        <w:t xml:space="preserve">; </w:t>
      </w:r>
      <w:hyperlink w:anchor="AUTO_2008_44" w:history="1">
        <w:r w:rsidRPr="0050129A">
          <w:rPr>
            <w:rStyle w:val="TextoNormalCaracter"/>
          </w:rPr>
          <w:t>44/2008</w:t>
        </w:r>
      </w:hyperlink>
      <w:r w:rsidRPr="0050129A">
        <w:rPr>
          <w:rStyle w:val="TextoNormalCaracter"/>
        </w:rPr>
        <w:t xml:space="preserve">; </w:t>
      </w:r>
      <w:hyperlink w:anchor="AUTO_2008_45" w:history="1">
        <w:r w:rsidRPr="0050129A">
          <w:rPr>
            <w:rStyle w:val="TextoNormalCaracter"/>
          </w:rPr>
          <w:t>45/2008</w:t>
        </w:r>
      </w:hyperlink>
      <w:r w:rsidRPr="0050129A">
        <w:rPr>
          <w:rStyle w:val="TextoNormalCaracter"/>
        </w:rPr>
        <w:t xml:space="preserve">; </w:t>
      </w:r>
      <w:hyperlink w:anchor="AUTO_2008_111" w:history="1">
        <w:r w:rsidRPr="0050129A">
          <w:rPr>
            <w:rStyle w:val="TextoNormalCaracter"/>
          </w:rPr>
          <w:t>111/2008</w:t>
        </w:r>
      </w:hyperlink>
      <w:r w:rsidRPr="0050129A">
        <w:rPr>
          <w:rStyle w:val="TextoNormalCaracter"/>
        </w:rPr>
        <w:t>.</w:t>
      </w:r>
    </w:p>
    <w:p w:rsidR="0050129A" w:rsidRPr="0050129A" w:rsidRDefault="0050129A" w:rsidP="0050129A">
      <w:pPr>
        <w:pStyle w:val="TextoNormalSangraFrancesa"/>
        <w:rPr>
          <w:rStyle w:val="TextoNormalCaracter"/>
        </w:rPr>
      </w:pPr>
      <w:bookmarkStart w:id="1094" w:name="DESCRIPTORALFABETICO394"/>
      <w:r w:rsidRPr="0050129A">
        <w:rPr>
          <w:rStyle w:val="TextoNormalNegritaCaracter"/>
        </w:rPr>
        <w:t>Inhabilitación especial para profesión</w:t>
      </w:r>
      <w:bookmarkEnd w:id="1094"/>
      <w:r w:rsidRPr="0050129A">
        <w:rPr>
          <w:rStyle w:val="TextoNormalCaracter"/>
        </w:rPr>
        <w:t xml:space="preserve">, Auto </w:t>
      </w:r>
      <w:hyperlink w:anchor="AUTO_2008_44" w:history="1">
        <w:r w:rsidRPr="0050129A">
          <w:rPr>
            <w:rStyle w:val="TextoNormalCaracter"/>
          </w:rPr>
          <w:t>44/2008</w:t>
        </w:r>
      </w:hyperlink>
      <w:r w:rsidRPr="0050129A">
        <w:rPr>
          <w:rStyle w:val="TextoNormalCaracter"/>
        </w:rPr>
        <w:t>.</w:t>
      </w:r>
    </w:p>
    <w:p w:rsidR="0050129A" w:rsidRPr="0050129A" w:rsidRDefault="0050129A" w:rsidP="0050129A">
      <w:pPr>
        <w:pStyle w:val="TextoNormalSangraFrancesa"/>
        <w:rPr>
          <w:rStyle w:val="TextoNormalCaracter"/>
        </w:rPr>
      </w:pPr>
      <w:bookmarkStart w:id="1095" w:name="DESCRIPTORALFABETICO85"/>
      <w:r w:rsidRPr="0050129A">
        <w:rPr>
          <w:rStyle w:val="TextoNormalNegritaCaracter"/>
        </w:rPr>
        <w:t>Intangibilidad de las resoluciones judiciales</w:t>
      </w:r>
      <w:bookmarkEnd w:id="1095"/>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15" w:history="1">
        <w:r w:rsidRPr="0050129A">
          <w:rPr>
            <w:rStyle w:val="TextoNormalCaracter"/>
          </w:rPr>
          <w:t>15/2008</w:t>
        </w:r>
      </w:hyperlink>
      <w:r w:rsidRPr="0050129A">
        <w:rPr>
          <w:rStyle w:val="TextoNormalCaracter"/>
        </w:rPr>
        <w:t>, ff. 4, 5.</w:t>
      </w:r>
    </w:p>
    <w:p w:rsidR="0050129A" w:rsidRPr="0050129A" w:rsidRDefault="0050129A" w:rsidP="0050129A">
      <w:pPr>
        <w:pStyle w:val="TextoNormalSangraFrancesa"/>
        <w:rPr>
          <w:rStyle w:val="TextoNormalCaracter"/>
        </w:rPr>
      </w:pPr>
      <w:bookmarkStart w:id="1096" w:name="DESCRIPTORALFABETICO86"/>
      <w:r w:rsidRPr="0050129A">
        <w:rPr>
          <w:rStyle w:val="TextoNormalNegritaCaracter"/>
        </w:rPr>
        <w:t>Intangibilidad de las sentencias</w:t>
      </w:r>
      <w:bookmarkEnd w:id="1096"/>
      <w:r w:rsidRPr="0050129A">
        <w:rPr>
          <w:rStyle w:val="TextoNormalCaracter"/>
        </w:rPr>
        <w:t xml:space="preserve">, Auto </w:t>
      </w:r>
      <w:hyperlink w:anchor="AUTO_2008_27" w:history="1">
        <w:r w:rsidRPr="0050129A">
          <w:rPr>
            <w:rStyle w:val="TextoNormalCaracter"/>
          </w:rPr>
          <w:t>27/2008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Autos </w:t>
      </w:r>
      <w:hyperlink w:anchor="AUTO_2008_27" w:history="1">
        <w:r w:rsidRPr="0050129A">
          <w:rPr>
            <w:rStyle w:val="TextoNormalCaracter"/>
          </w:rPr>
          <w:t>27/2008</w:t>
        </w:r>
      </w:hyperlink>
      <w:r w:rsidRPr="0050129A">
        <w:rPr>
          <w:rStyle w:val="TextoNormalCaracter"/>
        </w:rPr>
        <w:t xml:space="preserve">; </w:t>
      </w:r>
      <w:hyperlink w:anchor="AUTO_2008_28" w:history="1">
        <w:r w:rsidRPr="0050129A">
          <w:rPr>
            <w:rStyle w:val="TextoNormalCaracter"/>
          </w:rPr>
          <w:t>28/2008</w:t>
        </w:r>
      </w:hyperlink>
      <w:r w:rsidRPr="0050129A">
        <w:rPr>
          <w:rStyle w:val="TextoNormalCaracter"/>
        </w:rPr>
        <w:t xml:space="preserve">; </w:t>
      </w:r>
      <w:hyperlink w:anchor="AUTO_2008_90" w:history="1">
        <w:r w:rsidRPr="0050129A">
          <w:rPr>
            <w:rStyle w:val="TextoNormalCaracter"/>
          </w:rPr>
          <w:t>90/2008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Interdicción de la arbitrariedad de los poderes públicos</w:t>
      </w:r>
      <w:r>
        <w:t xml:space="preserve"> véase </w:t>
      </w:r>
      <w:hyperlink w:anchor="DESCRIPTORALFABETICO307" w:history="1">
        <w:r w:rsidRPr="0050129A">
          <w:rPr>
            <w:rStyle w:val="TextoNormalNegritaCaracter"/>
          </w:rPr>
          <w:t>Principio de interdicción de la arbitrariedad</w:t>
        </w:r>
      </w:hyperlink>
    </w:p>
    <w:p w:rsidR="0050129A" w:rsidRPr="0050129A" w:rsidRDefault="0050129A" w:rsidP="0050129A">
      <w:pPr>
        <w:pStyle w:val="TextoNormalSangraFrancesa"/>
        <w:rPr>
          <w:rStyle w:val="TextoNormalCaracter"/>
        </w:rPr>
      </w:pPr>
      <w:bookmarkStart w:id="1097" w:name="DESCRIPTORALFABETICO448"/>
      <w:r w:rsidRPr="0050129A">
        <w:rPr>
          <w:rStyle w:val="TextoNormalNegritaCaracter"/>
        </w:rPr>
        <w:t>Interés en el pleito</w:t>
      </w:r>
      <w:bookmarkEnd w:id="1097"/>
      <w:r w:rsidRPr="0050129A">
        <w:rPr>
          <w:rStyle w:val="TextoNormalCaracter"/>
        </w:rPr>
        <w:t xml:space="preserve">, Auto </w:t>
      </w:r>
      <w:hyperlink w:anchor="AUTO_2008_81" w:history="1">
        <w:r w:rsidRPr="0050129A">
          <w:rPr>
            <w:rStyle w:val="TextoNormalCaracter"/>
          </w:rPr>
          <w:t>81/2008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Interés público de la información</w:t>
      </w:r>
      <w:r>
        <w:t xml:space="preserve"> véase </w:t>
      </w:r>
      <w:hyperlink w:anchor="DESCRIPTORALFABETICO135" w:history="1">
        <w:r w:rsidRPr="0050129A">
          <w:rPr>
            <w:rStyle w:val="TextoNormalNegritaCaracter"/>
          </w:rPr>
          <w:t>Relevancia pública de la información</w:t>
        </w:r>
      </w:hyperlink>
    </w:p>
    <w:p w:rsidR="0050129A" w:rsidRPr="0050129A" w:rsidRDefault="0050129A" w:rsidP="0050129A">
      <w:pPr>
        <w:pStyle w:val="TextoNormalSangraFrancesa"/>
        <w:rPr>
          <w:rStyle w:val="TextoNormalCaracter"/>
        </w:rPr>
      </w:pPr>
      <w:bookmarkStart w:id="1098" w:name="DESCRIPTORALFABETICO405"/>
      <w:r w:rsidRPr="0050129A">
        <w:rPr>
          <w:rStyle w:val="TextoNormalNegritaCaracter"/>
        </w:rPr>
        <w:t>Interés superior del menor</w:t>
      </w:r>
      <w:bookmarkEnd w:id="1098"/>
      <w:r w:rsidRPr="0050129A">
        <w:rPr>
          <w:rStyle w:val="TextoNormalCaracter"/>
        </w:rPr>
        <w:t xml:space="preserve">, Sentencia </w:t>
      </w:r>
      <w:hyperlink w:anchor="SENTENCIA_2008_11" w:history="1">
        <w:r w:rsidRPr="0050129A">
          <w:rPr>
            <w:rStyle w:val="TextoNormalCaracter"/>
          </w:rPr>
          <w:t>11/2008</w:t>
        </w:r>
      </w:hyperlink>
      <w:r w:rsidRPr="0050129A">
        <w:rPr>
          <w:rStyle w:val="TextoNormalCaracter"/>
        </w:rPr>
        <w:t>, f. 7.</w:t>
      </w:r>
    </w:p>
    <w:p w:rsidR="0050129A" w:rsidRPr="0050129A" w:rsidRDefault="0050129A" w:rsidP="0050129A">
      <w:pPr>
        <w:pStyle w:val="TextoNormalSangraFrancesa"/>
        <w:rPr>
          <w:rStyle w:val="TextoNormalCaracter"/>
        </w:rPr>
      </w:pPr>
      <w:bookmarkStart w:id="1099" w:name="DESCRIPTORALFABETICO338"/>
      <w:r w:rsidRPr="0050129A">
        <w:rPr>
          <w:rStyle w:val="TextoNormalNegritaCaracter"/>
        </w:rPr>
        <w:t>Intereses legales</w:t>
      </w:r>
      <w:bookmarkEnd w:id="1099"/>
      <w:r w:rsidRPr="0050129A">
        <w:rPr>
          <w:rStyle w:val="TextoNormalCaracter"/>
        </w:rPr>
        <w:t xml:space="preserve">, Sentencia </w:t>
      </w:r>
      <w:hyperlink w:anchor="SENTENCIA_2008_41" w:history="1">
        <w:r w:rsidRPr="0050129A">
          <w:rPr>
            <w:rStyle w:val="TextoNormalCaracter"/>
          </w:rPr>
          <w:t>41/2008</w:t>
        </w:r>
      </w:hyperlink>
      <w:r w:rsidRPr="0050129A">
        <w:rPr>
          <w:rStyle w:val="TextoNormalCaracter"/>
        </w:rPr>
        <w:t>, f. 3.</w:t>
      </w:r>
    </w:p>
    <w:p w:rsidR="0050129A" w:rsidRPr="0050129A" w:rsidRDefault="0050129A" w:rsidP="0050129A">
      <w:pPr>
        <w:pStyle w:val="TextoNormalSangraFrancesa"/>
        <w:rPr>
          <w:rStyle w:val="TextoNormalCaracter"/>
        </w:rPr>
      </w:pPr>
      <w:bookmarkStart w:id="1100" w:name="DESCRIPTORALFABETICO378"/>
      <w:r w:rsidRPr="0050129A">
        <w:rPr>
          <w:rStyle w:val="TextoNormalNegritaCaracter"/>
        </w:rPr>
        <w:t>Interpretación conforme a la Constitución</w:t>
      </w:r>
      <w:bookmarkEnd w:id="1100"/>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VP I, VP III.</w:t>
      </w:r>
    </w:p>
    <w:p w:rsidR="0050129A" w:rsidRPr="0050129A" w:rsidRDefault="0050129A" w:rsidP="0050129A">
      <w:pPr>
        <w:pStyle w:val="TextoNormalSangraFrancesa"/>
        <w:rPr>
          <w:rStyle w:val="TextoNormalCaracter"/>
        </w:rPr>
      </w:pPr>
      <w:bookmarkStart w:id="1101" w:name="DESCRIPTORALFABETICO379"/>
      <w:r w:rsidRPr="0050129A">
        <w:rPr>
          <w:rStyle w:val="TextoNormalNegritaCaracter"/>
        </w:rPr>
        <w:t>Interpretación de la Constitución</w:t>
      </w:r>
      <w:bookmarkEnd w:id="1101"/>
      <w:r w:rsidRPr="0050129A">
        <w:rPr>
          <w:rStyle w:val="TextoNormalCaracter"/>
        </w:rPr>
        <w:t xml:space="preserve">, Sentencias </w:t>
      </w:r>
      <w:hyperlink w:anchor="SENTENCIA_2008_12" w:history="1">
        <w:r w:rsidRPr="0050129A">
          <w:rPr>
            <w:rStyle w:val="TextoNormalCaracter"/>
          </w:rPr>
          <w:t>12/2008</w:t>
        </w:r>
      </w:hyperlink>
      <w:r w:rsidRPr="0050129A">
        <w:rPr>
          <w:rStyle w:val="TextoNormalCaracter"/>
        </w:rPr>
        <w:t xml:space="preserve">, ff. 2, 4; </w:t>
      </w:r>
      <w:hyperlink w:anchor="SENTENCIA_2008_49" w:history="1">
        <w:r w:rsidRPr="0050129A">
          <w:rPr>
            <w:rStyle w:val="TextoNormalCaracter"/>
          </w:rPr>
          <w:t>49/2008</w:t>
        </w:r>
      </w:hyperlink>
      <w:r w:rsidRPr="0050129A">
        <w:rPr>
          <w:rStyle w:val="TextoNormalCaracter"/>
        </w:rPr>
        <w:t>, f. 12.</w:t>
      </w:r>
    </w:p>
    <w:p w:rsidR="0050129A" w:rsidRPr="0050129A" w:rsidRDefault="0050129A" w:rsidP="0050129A">
      <w:pPr>
        <w:pStyle w:val="TextoNormalSangraFrancesa"/>
        <w:rPr>
          <w:rStyle w:val="TextoNormalCaracter"/>
        </w:rPr>
      </w:pPr>
      <w:bookmarkStart w:id="1102" w:name="DESCRIPTORALFABETICO377"/>
      <w:r w:rsidRPr="0050129A">
        <w:rPr>
          <w:rStyle w:val="TextoNormalNegritaCaracter"/>
        </w:rPr>
        <w:t>Interpretación de las normas jurídicas</w:t>
      </w:r>
      <w:bookmarkEnd w:id="1102"/>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1, 2, 8, 9, 14.</w:t>
      </w:r>
    </w:p>
    <w:p w:rsidR="0050129A" w:rsidRPr="0050129A" w:rsidRDefault="0050129A" w:rsidP="0050129A">
      <w:pPr>
        <w:pStyle w:val="TextoNormalSangraFrancesa"/>
        <w:rPr>
          <w:rStyle w:val="TextoNormalCaracter"/>
        </w:rPr>
      </w:pPr>
      <w:bookmarkStart w:id="1103" w:name="DESCRIPTORALFABETICO141"/>
      <w:r w:rsidRPr="0050129A">
        <w:rPr>
          <w:rStyle w:val="TextoNormalNegritaCaracter"/>
        </w:rPr>
        <w:t>Interpretación de los derechos fundamentales conforme al Derecho internacional</w:t>
      </w:r>
      <w:bookmarkEnd w:id="1103"/>
      <w:r w:rsidRPr="0050129A">
        <w:rPr>
          <w:rStyle w:val="TextoNormalCaracter"/>
        </w:rPr>
        <w:t xml:space="preserve">, Sentencia </w:t>
      </w:r>
      <w:hyperlink w:anchor="SENTENCIA_2008_48" w:history="1">
        <w:r w:rsidRPr="0050129A">
          <w:rPr>
            <w:rStyle w:val="TextoNormalCaracter"/>
          </w:rPr>
          <w:t>48/2008</w:t>
        </w:r>
      </w:hyperlink>
      <w:r w:rsidRPr="0050129A">
        <w:rPr>
          <w:rStyle w:val="TextoNormalCaracter"/>
        </w:rPr>
        <w:t>, f. 2.</w:t>
      </w:r>
    </w:p>
    <w:p w:rsidR="0050129A" w:rsidRPr="0050129A" w:rsidRDefault="0050129A" w:rsidP="0050129A">
      <w:pPr>
        <w:pStyle w:val="TextoNormalSangraFrancesa"/>
        <w:rPr>
          <w:rStyle w:val="TextoNormalCaracter"/>
        </w:rPr>
      </w:pPr>
      <w:bookmarkStart w:id="1104" w:name="DESCRIPTORALFABETICO380"/>
      <w:r w:rsidRPr="0050129A">
        <w:rPr>
          <w:rStyle w:val="TextoNormalNegritaCaracter"/>
        </w:rPr>
        <w:t>Interpretación de los requisitos procesales</w:t>
      </w:r>
      <w:bookmarkEnd w:id="1104"/>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f. 3; </w:t>
      </w:r>
      <w:hyperlink w:anchor="SENTENCIA_2008_55" w:history="1">
        <w:r w:rsidRPr="0050129A">
          <w:rPr>
            <w:rStyle w:val="TextoNormalCaracter"/>
          </w:rPr>
          <w:t>55/2008</w:t>
        </w:r>
      </w:hyperlink>
      <w:r w:rsidRPr="0050129A">
        <w:rPr>
          <w:rStyle w:val="TextoNormalCaracter"/>
        </w:rPr>
        <w:t>, ff. 4, 6.</w:t>
      </w:r>
    </w:p>
    <w:p w:rsidR="0050129A" w:rsidRPr="0050129A" w:rsidRDefault="0050129A" w:rsidP="0050129A">
      <w:pPr>
        <w:pStyle w:val="TextoNormalSangraFrancesa"/>
        <w:rPr>
          <w:rStyle w:val="TextoNormalCaracter"/>
        </w:rPr>
      </w:pPr>
      <w:bookmarkStart w:id="1105" w:name="DESCRIPTORALFABETICO381"/>
      <w:r w:rsidRPr="0050129A">
        <w:rPr>
          <w:rStyle w:val="TextoNormalNegritaCaracter"/>
        </w:rPr>
        <w:t>Interpretación de normas reglamentarias</w:t>
      </w:r>
      <w:bookmarkEnd w:id="1105"/>
      <w:r w:rsidRPr="0050129A">
        <w:rPr>
          <w:rStyle w:val="TextoNormalCaracter"/>
        </w:rPr>
        <w:t xml:space="preserve">, Sentencia </w:t>
      </w:r>
      <w:hyperlink w:anchor="SENTENCIA_2008_42" w:history="1">
        <w:r w:rsidRPr="0050129A">
          <w:rPr>
            <w:rStyle w:val="TextoNormalCaracter"/>
          </w:rPr>
          <w:t>42/2008</w:t>
        </w:r>
      </w:hyperlink>
      <w:r w:rsidRPr="0050129A">
        <w:rPr>
          <w:rStyle w:val="TextoNormalCaracter"/>
        </w:rPr>
        <w:t>, ff. 3 a 6.</w:t>
      </w:r>
    </w:p>
    <w:p w:rsidR="0050129A" w:rsidRPr="0050129A" w:rsidRDefault="0050129A" w:rsidP="0050129A">
      <w:pPr>
        <w:pStyle w:val="TextoNormalSangraFrancesa"/>
        <w:rPr>
          <w:rStyle w:val="TextoNormalCaracter"/>
        </w:rPr>
      </w:pPr>
      <w:bookmarkStart w:id="1106" w:name="DESCRIPTORALFABETICO382"/>
      <w:r w:rsidRPr="0050129A">
        <w:rPr>
          <w:rStyle w:val="TextoNormalNegritaCaracter"/>
        </w:rPr>
        <w:t>Interpretación irrazonable</w:t>
      </w:r>
      <w:bookmarkEnd w:id="1106"/>
      <w:r w:rsidRPr="0050129A">
        <w:rPr>
          <w:rStyle w:val="TextoNormalCaracter"/>
        </w:rPr>
        <w:t xml:space="preserve">, Sentencia </w:t>
      </w:r>
      <w:hyperlink w:anchor="SENTENCIA_2008_3" w:history="1">
        <w:r w:rsidRPr="0050129A">
          <w:rPr>
            <w:rStyle w:val="TextoNormalCaracter"/>
          </w:rPr>
          <w:t>3/2008</w:t>
        </w:r>
      </w:hyperlink>
      <w:r w:rsidRPr="0050129A">
        <w:rPr>
          <w:rStyle w:val="TextoNormalCaracter"/>
        </w:rPr>
        <w:t>, f. 4.</w:t>
      </w:r>
    </w:p>
    <w:p w:rsidR="0050129A" w:rsidRPr="0050129A" w:rsidRDefault="0050129A" w:rsidP="0050129A">
      <w:pPr>
        <w:pStyle w:val="TextoNormalSangraFrancesa"/>
        <w:rPr>
          <w:rStyle w:val="TextoNormalCaracter"/>
        </w:rPr>
      </w:pPr>
      <w:bookmarkStart w:id="1107" w:name="DESCRIPTORALFABETICO383"/>
      <w:r w:rsidRPr="0050129A">
        <w:rPr>
          <w:rStyle w:val="TextoNormalNegritaCaracter"/>
        </w:rPr>
        <w:t>Interpretación literal</w:t>
      </w:r>
      <w:bookmarkEnd w:id="1107"/>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8, VP I, VP II, VP III.</w:t>
      </w:r>
    </w:p>
    <w:p w:rsidR="0050129A" w:rsidRPr="0050129A" w:rsidRDefault="0050129A" w:rsidP="0050129A">
      <w:pPr>
        <w:pStyle w:val="TextoNormalSangraFrancesa"/>
        <w:rPr>
          <w:rStyle w:val="TextoNormalCaracter"/>
        </w:rPr>
      </w:pPr>
      <w:bookmarkStart w:id="1108" w:name="DESCRIPTORALFABETICO384"/>
      <w:r w:rsidRPr="0050129A">
        <w:rPr>
          <w:rStyle w:val="TextoNormalNegritaCaracter"/>
        </w:rPr>
        <w:t>Interpretación sistemática</w:t>
      </w:r>
      <w:bookmarkEnd w:id="1108"/>
      <w:r w:rsidRPr="0050129A">
        <w:rPr>
          <w:rStyle w:val="TextoNormalCaracter"/>
        </w:rPr>
        <w:t xml:space="preserve">, Sentencias </w:t>
      </w:r>
      <w:hyperlink w:anchor="SENTENCIA_2008_12" w:history="1">
        <w:r w:rsidRPr="0050129A">
          <w:rPr>
            <w:rStyle w:val="TextoNormalCaracter"/>
          </w:rPr>
          <w:t>12/2008</w:t>
        </w:r>
      </w:hyperlink>
      <w:r w:rsidRPr="0050129A">
        <w:rPr>
          <w:rStyle w:val="TextoNormalCaracter"/>
        </w:rPr>
        <w:t xml:space="preserve">, f. 4; </w:t>
      </w:r>
      <w:hyperlink w:anchor="SENTENCIA_2008_49" w:history="1">
        <w:r w:rsidRPr="0050129A">
          <w:rPr>
            <w:rStyle w:val="TextoNormalCaracter"/>
          </w:rPr>
          <w:t>49/2008</w:t>
        </w:r>
      </w:hyperlink>
      <w:r w:rsidRPr="0050129A">
        <w:rPr>
          <w:rStyle w:val="TextoNormalCaracter"/>
        </w:rPr>
        <w:t>, ff. 12, 19, 20, 21.</w:t>
      </w:r>
    </w:p>
    <w:p w:rsidR="0050129A" w:rsidRPr="0050129A" w:rsidRDefault="0050129A" w:rsidP="0050129A">
      <w:pPr>
        <w:pStyle w:val="TextoNormalSangraFrancesa"/>
        <w:rPr>
          <w:rStyle w:val="TextoNormalCaracter"/>
        </w:rPr>
      </w:pPr>
      <w:bookmarkStart w:id="1109" w:name="DESCRIPTORALFABETICO468"/>
      <w:r w:rsidRPr="0050129A">
        <w:rPr>
          <w:rStyle w:val="TextoNormalNegritaCaracter"/>
        </w:rPr>
        <w:t>Intervención judicial</w:t>
      </w:r>
      <w:bookmarkEnd w:id="1109"/>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ff. 2 a 9; </w:t>
      </w:r>
      <w:hyperlink w:anchor="SENTENCIA_2008_52" w:history="1">
        <w:r w:rsidRPr="0050129A">
          <w:rPr>
            <w:rStyle w:val="TextoNormalCaracter"/>
          </w:rPr>
          <w:t>52/2008</w:t>
        </w:r>
      </w:hyperlink>
      <w:r w:rsidRPr="0050129A">
        <w:rPr>
          <w:rStyle w:val="TextoNormalCaracter"/>
        </w:rPr>
        <w:t>, ff. 2 a 6.</w:t>
      </w:r>
    </w:p>
    <w:p w:rsidR="0050129A" w:rsidRPr="0050129A" w:rsidRDefault="0050129A" w:rsidP="0050129A">
      <w:pPr>
        <w:pStyle w:val="TextoNormalSangraFrancesa"/>
        <w:rPr>
          <w:rStyle w:val="TextoNormalCaracter"/>
        </w:rPr>
      </w:pPr>
      <w:bookmarkStart w:id="1110" w:name="DESCRIPTORALFABETICO50"/>
      <w:r w:rsidRPr="0050129A">
        <w:rPr>
          <w:rStyle w:val="TextoNormalNegritaCaracter"/>
        </w:rPr>
        <w:t>Intimidad económica</w:t>
      </w:r>
      <w:bookmarkEnd w:id="1110"/>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111" w:name="DESCRIPTORALFABETICO51"/>
      <w:r w:rsidRPr="0050129A">
        <w:rPr>
          <w:rStyle w:val="TextoNormalNegritaCaracter"/>
        </w:rPr>
        <w:t xml:space="preserve">Intimidad personal </w:t>
      </w:r>
      <w:r w:rsidRPr="0050129A">
        <w:rPr>
          <w:rStyle w:val="TextoNormalNegritaCaracter"/>
          <w:i/>
        </w:rPr>
        <w:t>versus</w:t>
      </w:r>
      <w:r w:rsidRPr="0050129A">
        <w:rPr>
          <w:rStyle w:val="TextoNormalNegritaCaracter"/>
        </w:rPr>
        <w:t xml:space="preserve"> intereses públicos</w:t>
      </w:r>
      <w:bookmarkEnd w:id="1111"/>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112" w:name="DESCRIPTORALFABETICO571"/>
      <w:r w:rsidRPr="0050129A">
        <w:rPr>
          <w:rStyle w:val="TextoNormalNegritaCaracter"/>
        </w:rPr>
        <w:t>Investigación insuficiente</w:t>
      </w:r>
      <w:bookmarkEnd w:id="1112"/>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ff. 2 a 9; </w:t>
      </w:r>
      <w:hyperlink w:anchor="SENTENCIA_2008_52" w:history="1">
        <w:r w:rsidRPr="0050129A">
          <w:rPr>
            <w:rStyle w:val="TextoNormalCaracter"/>
          </w:rPr>
          <w:t>52/2008</w:t>
        </w:r>
      </w:hyperlink>
      <w:r w:rsidRPr="0050129A">
        <w:rPr>
          <w:rStyle w:val="TextoNormalCaracter"/>
        </w:rPr>
        <w:t>, ff. 2 a 6, VP.</w:t>
      </w:r>
    </w:p>
    <w:p w:rsidR="0050129A" w:rsidRPr="0050129A" w:rsidRDefault="0050129A" w:rsidP="0050129A">
      <w:pPr>
        <w:pStyle w:val="TextoNormalSangraFrancesa"/>
        <w:rPr>
          <w:rStyle w:val="TextoNormalCaracter"/>
        </w:rPr>
      </w:pPr>
      <w:bookmarkStart w:id="1113" w:name="DESCRIPTORALFABETICO213"/>
      <w:r w:rsidRPr="0050129A">
        <w:rPr>
          <w:rStyle w:val="TextoNormalNegritaCaracter"/>
        </w:rPr>
        <w:t>Invocación extemporánea</w:t>
      </w:r>
      <w:bookmarkEnd w:id="1113"/>
      <w:r w:rsidRPr="0050129A">
        <w:rPr>
          <w:rStyle w:val="TextoNormalCaracter"/>
        </w:rPr>
        <w:t xml:space="preserve">, Sentencia </w:t>
      </w:r>
      <w:hyperlink w:anchor="SENTENCIA_2008_27" w:history="1">
        <w:r w:rsidRPr="0050129A">
          <w:rPr>
            <w:rStyle w:val="TextoNormalCaracter"/>
          </w:rPr>
          <w:t>27/2008</w:t>
        </w:r>
      </w:hyperlink>
      <w:r w:rsidRPr="0050129A">
        <w:rPr>
          <w:rStyle w:val="TextoNormalCaracter"/>
        </w:rPr>
        <w:t>, f. 2.</w:t>
      </w:r>
    </w:p>
    <w:p w:rsidR="0050129A" w:rsidRPr="0050129A" w:rsidRDefault="0050129A" w:rsidP="0050129A">
      <w:pPr>
        <w:pStyle w:val="TextoNormalSangraFrancesa"/>
        <w:rPr>
          <w:rStyle w:val="TextoNormalCaracter"/>
        </w:rPr>
      </w:pPr>
      <w:bookmarkStart w:id="1114" w:name="DESCRIPTORALFABETICO214"/>
      <w:r w:rsidRPr="0050129A">
        <w:rPr>
          <w:rStyle w:val="TextoNormalNegritaCaracter"/>
        </w:rPr>
        <w:t xml:space="preserve">Invocación </w:t>
      </w:r>
      <w:r w:rsidRPr="0050129A">
        <w:rPr>
          <w:rStyle w:val="TextoNormalNegritaCaracter"/>
          <w:i/>
        </w:rPr>
        <w:t>per saltum</w:t>
      </w:r>
      <w:bookmarkEnd w:id="1114"/>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115" w:name="DESCRIPTORALFABETICO87"/>
      <w:r w:rsidRPr="0050129A">
        <w:rPr>
          <w:rStyle w:val="TextoNormalNegritaCaracter"/>
        </w:rPr>
        <w:t>Irrazonabilidad de las resoluciones judiciales</w:t>
      </w:r>
      <w:bookmarkEnd w:id="1115"/>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 </w:t>
      </w:r>
      <w:hyperlink w:anchor="SENTENCIA_2008_43" w:history="1">
        <w:r w:rsidRPr="0050129A">
          <w:rPr>
            <w:rStyle w:val="TextoNormalCaracter"/>
          </w:rPr>
          <w:t>43/2008</w:t>
        </w:r>
      </w:hyperlink>
      <w:r w:rsidRPr="0050129A">
        <w:rPr>
          <w:rStyle w:val="TextoNormalCaracter"/>
        </w:rPr>
        <w:t>, ff. 4, 5.</w:t>
      </w:r>
    </w:p>
    <w:p w:rsidR="0050129A" w:rsidRPr="0050129A" w:rsidRDefault="0050129A" w:rsidP="0050129A">
      <w:pPr>
        <w:pStyle w:val="TextoNormalSangraFrancesa"/>
        <w:rPr>
          <w:rStyle w:val="TextoNormalCaracter"/>
        </w:rPr>
      </w:pPr>
      <w:bookmarkStart w:id="1116" w:name="DESCRIPTORALFABETICO88"/>
      <w:r w:rsidRPr="0050129A">
        <w:rPr>
          <w:rStyle w:val="TextoNormalNegritaCaracter"/>
        </w:rPr>
        <w:t>Irrazonabilidad de las sentencias</w:t>
      </w:r>
      <w:bookmarkEnd w:id="1116"/>
      <w:r w:rsidRPr="0050129A">
        <w:rPr>
          <w:rStyle w:val="TextoNormalCaracter"/>
        </w:rPr>
        <w:t xml:space="preserve">, Sentencia </w:t>
      </w:r>
      <w:hyperlink w:anchor="SENTENCIA_2008_11" w:history="1">
        <w:r w:rsidRPr="0050129A">
          <w:rPr>
            <w:rStyle w:val="TextoNormalCaracter"/>
          </w:rPr>
          <w:t>11/2008</w:t>
        </w:r>
      </w:hyperlink>
      <w:r w:rsidRPr="0050129A">
        <w:rPr>
          <w:rStyle w:val="TextoNormalCaracter"/>
        </w:rPr>
        <w:t>, ff. 5 a 9.</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11" w:history="1">
        <w:r w:rsidRPr="0050129A">
          <w:rPr>
            <w:rStyle w:val="TextoNormalCaracter"/>
          </w:rPr>
          <w:t>11/2008</w:t>
        </w:r>
      </w:hyperlink>
      <w:r w:rsidRPr="0050129A">
        <w:rPr>
          <w:rStyle w:val="TextoNormalCaracter"/>
        </w:rPr>
        <w:t>, ff. 5 a 9.</w:t>
      </w:r>
    </w:p>
    <w:p w:rsidR="0050129A" w:rsidRPr="0050129A" w:rsidRDefault="0050129A" w:rsidP="0050129A">
      <w:pPr>
        <w:pStyle w:val="TextoNormalSangraFrancesa"/>
        <w:rPr>
          <w:rStyle w:val="TextoNormalCaracter"/>
        </w:rPr>
      </w:pPr>
      <w:bookmarkStart w:id="1117" w:name="DESCRIPTORALFABETICO28"/>
      <w:r w:rsidRPr="0050129A">
        <w:rPr>
          <w:rStyle w:val="TextoNormalNegritaCaracter"/>
          <w:i/>
        </w:rPr>
        <w:t>Ius in officium</w:t>
      </w:r>
      <w:bookmarkEnd w:id="1117"/>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 5.</w:t>
      </w:r>
    </w:p>
    <w:p w:rsidR="0050129A" w:rsidRPr="0050129A" w:rsidRDefault="0050129A" w:rsidP="0050129A">
      <w:pPr>
        <w:pStyle w:val="TextoNormalSangraFrancesa"/>
        <w:rPr>
          <w:rStyle w:val="TextoNormalCaracter"/>
        </w:rPr>
      </w:pPr>
      <w:bookmarkStart w:id="1118" w:name="DESCRIPTORALFABETICO69"/>
      <w:r w:rsidRPr="0050129A">
        <w:rPr>
          <w:rStyle w:val="TextoNormalNegritaCaracter"/>
          <w:i/>
        </w:rPr>
        <w:t>Ius ut procedatur</w:t>
      </w:r>
      <w:bookmarkEnd w:id="1118"/>
      <w:r w:rsidRPr="0050129A">
        <w:rPr>
          <w:rStyle w:val="TextoNormalCaracter"/>
        </w:rPr>
        <w:t xml:space="preserve">, Sentencia </w:t>
      </w:r>
      <w:hyperlink w:anchor="SENTENCIA_2008_9" w:history="1">
        <w:r w:rsidRPr="0050129A">
          <w:rPr>
            <w:rStyle w:val="TextoNormalCaracter"/>
          </w:rPr>
          <w:t>9/2008</w:t>
        </w:r>
      </w:hyperlink>
      <w:r w:rsidRPr="0050129A">
        <w:rPr>
          <w:rStyle w:val="TextoNormalCaracter"/>
        </w:rPr>
        <w:t>, f. 3.</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J</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119" w:name="DESCRIPTORALFABETICO274"/>
      <w:r w:rsidRPr="0050129A">
        <w:rPr>
          <w:rStyle w:val="TextoNormalNegritaCaracter"/>
        </w:rPr>
        <w:t>Juez instructor</w:t>
      </w:r>
      <w:bookmarkEnd w:id="1119"/>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Juicio de constitucionalidad</w:t>
      </w:r>
      <w:r>
        <w:t xml:space="preserve"> véase </w:t>
      </w:r>
      <w:hyperlink w:anchor="DESCRIPTORALFABETICO153" w:history="1">
        <w:r w:rsidRPr="0050129A">
          <w:rPr>
            <w:rStyle w:val="TextoNormalNegritaCaracter"/>
          </w:rPr>
          <w:t>Control de constitucionalidad de las normas jurídicas</w:t>
        </w:r>
      </w:hyperlink>
    </w:p>
    <w:p w:rsidR="0050129A" w:rsidRPr="0050129A" w:rsidRDefault="0050129A" w:rsidP="0050129A">
      <w:pPr>
        <w:pStyle w:val="TextoNormalSangraFrancesa"/>
        <w:rPr>
          <w:rStyle w:val="TextoNormalNegritaCaracter"/>
        </w:rPr>
      </w:pPr>
      <w:r w:rsidRPr="0050129A">
        <w:rPr>
          <w:rStyle w:val="TextoNormalCursivaCaracter"/>
        </w:rPr>
        <w:t>Juicio de inconstitucionalidad</w:t>
      </w:r>
      <w:r>
        <w:t xml:space="preserve"> véase </w:t>
      </w:r>
      <w:hyperlink w:anchor="DESCRIPTORALFABETICO153" w:history="1">
        <w:r w:rsidRPr="0050129A">
          <w:rPr>
            <w:rStyle w:val="TextoNormalNegritaCaracter"/>
          </w:rPr>
          <w:t>Control de constitucionalidad de las normas jurídicas</w:t>
        </w:r>
      </w:hyperlink>
    </w:p>
    <w:p w:rsidR="0050129A" w:rsidRPr="0050129A" w:rsidRDefault="0050129A" w:rsidP="0050129A">
      <w:pPr>
        <w:pStyle w:val="TextoNormalSangraFrancesa"/>
        <w:rPr>
          <w:rStyle w:val="TextoNormalCaracter"/>
        </w:rPr>
      </w:pPr>
      <w:bookmarkStart w:id="1120" w:name="DESCRIPTORALFABETICO279"/>
      <w:r w:rsidRPr="0050129A">
        <w:rPr>
          <w:rStyle w:val="TextoNormalNegritaCaracter"/>
        </w:rPr>
        <w:t>Juicio de oportunidad</w:t>
      </w:r>
      <w:bookmarkEnd w:id="1120"/>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 7.</w:t>
      </w:r>
    </w:p>
    <w:p w:rsidR="0050129A" w:rsidRPr="0050129A" w:rsidRDefault="0050129A" w:rsidP="0050129A">
      <w:pPr>
        <w:pStyle w:val="TextoNormalSangraFrancesa"/>
        <w:rPr>
          <w:rStyle w:val="TextoNormalNegritaCaracter"/>
        </w:rPr>
      </w:pPr>
      <w:r w:rsidRPr="0050129A">
        <w:rPr>
          <w:rStyle w:val="TextoNormalCursivaCaracter"/>
        </w:rPr>
        <w:t>Juicio de oportunidad política</w:t>
      </w:r>
      <w:r>
        <w:t xml:space="preserve"> véase </w:t>
      </w:r>
      <w:hyperlink w:anchor="DESCRIPTORALFABETICO279" w:history="1">
        <w:r w:rsidRPr="0050129A">
          <w:rPr>
            <w:rStyle w:val="TextoNormalNegritaCaracter"/>
          </w:rPr>
          <w:t>Juicio de oportunidad</w:t>
        </w:r>
      </w:hyperlink>
    </w:p>
    <w:p w:rsidR="0050129A" w:rsidRPr="0050129A" w:rsidRDefault="0050129A" w:rsidP="0050129A">
      <w:pPr>
        <w:pStyle w:val="TextoNormalSangraFrancesa"/>
        <w:rPr>
          <w:rStyle w:val="TextoNormalCaracter"/>
        </w:rPr>
      </w:pPr>
      <w:bookmarkStart w:id="1121" w:name="DESCRIPTORALFABETICO318"/>
      <w:r w:rsidRPr="0050129A">
        <w:rPr>
          <w:rStyle w:val="TextoNormalNegritaCaracter"/>
        </w:rPr>
        <w:t>Juicio de razonabilidad</w:t>
      </w:r>
      <w:bookmarkEnd w:id="1121"/>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7.</w:t>
      </w:r>
    </w:p>
    <w:p w:rsidR="0050129A" w:rsidRPr="0050129A" w:rsidRDefault="0050129A" w:rsidP="0050129A">
      <w:pPr>
        <w:pStyle w:val="TextoNormalSangraFrancesa"/>
        <w:rPr>
          <w:rStyle w:val="TextoNormalCaracter"/>
        </w:rPr>
      </w:pPr>
      <w:bookmarkStart w:id="1122" w:name="DESCRIPTORALFABETICO202"/>
      <w:r w:rsidRPr="0050129A">
        <w:rPr>
          <w:rStyle w:val="TextoNormalNegritaCaracter"/>
        </w:rPr>
        <w:t>Juicio de relevancia</w:t>
      </w:r>
      <w:bookmarkEnd w:id="1122"/>
      <w:r w:rsidRPr="0050129A">
        <w:rPr>
          <w:rStyle w:val="TextoNormalCaracter"/>
        </w:rPr>
        <w:t xml:space="preserve">, Autos </w:t>
      </w:r>
      <w:hyperlink w:anchor="AUTO_2008_54" w:history="1">
        <w:r w:rsidRPr="0050129A">
          <w:rPr>
            <w:rStyle w:val="TextoNormalCaracter"/>
          </w:rPr>
          <w:t>54/2008</w:t>
        </w:r>
      </w:hyperlink>
      <w:r w:rsidRPr="0050129A">
        <w:rPr>
          <w:rStyle w:val="TextoNormalCaracter"/>
        </w:rPr>
        <w:t xml:space="preserve">; </w:t>
      </w:r>
      <w:hyperlink w:anchor="AUTO_2008_57" w:history="1">
        <w:r w:rsidRPr="0050129A">
          <w:rPr>
            <w:rStyle w:val="TextoNormalCaracter"/>
          </w:rPr>
          <w:t>57/2008</w:t>
        </w:r>
      </w:hyperlink>
      <w:r w:rsidRPr="0050129A">
        <w:rPr>
          <w:rStyle w:val="TextoNormalCaracter"/>
        </w:rPr>
        <w:t>.</w:t>
      </w:r>
    </w:p>
    <w:p w:rsidR="0050129A" w:rsidRPr="0050129A" w:rsidRDefault="0050129A" w:rsidP="0050129A">
      <w:pPr>
        <w:pStyle w:val="TextoNormalSangraFrancesa"/>
        <w:rPr>
          <w:rStyle w:val="TextoNormalCaracter"/>
        </w:rPr>
      </w:pPr>
      <w:bookmarkStart w:id="1123" w:name="DESCRIPTORALFABETICO203"/>
      <w:r w:rsidRPr="0050129A">
        <w:rPr>
          <w:rStyle w:val="TextoNormalNegritaCaracter"/>
        </w:rPr>
        <w:t>Juicio de relevancia inconsistente</w:t>
      </w:r>
      <w:bookmarkEnd w:id="1123"/>
      <w:r w:rsidRPr="0050129A">
        <w:rPr>
          <w:rStyle w:val="TextoNormalCaracter"/>
        </w:rPr>
        <w:t xml:space="preserve">, Auto </w:t>
      </w:r>
      <w:hyperlink w:anchor="AUTO_2008_24" w:history="1">
        <w:r w:rsidRPr="0050129A">
          <w:rPr>
            <w:rStyle w:val="TextoNormalCaracter"/>
          </w:rPr>
          <w:t>24/2008</w:t>
        </w:r>
      </w:hyperlink>
      <w:r w:rsidRPr="0050129A">
        <w:rPr>
          <w:rStyle w:val="TextoNormalCaracter"/>
        </w:rPr>
        <w:t>.</w:t>
      </w:r>
    </w:p>
    <w:p w:rsidR="0050129A" w:rsidRPr="0050129A" w:rsidRDefault="0050129A" w:rsidP="0050129A">
      <w:pPr>
        <w:pStyle w:val="TextoNormalSangraFrancesa"/>
        <w:rPr>
          <w:rStyle w:val="TextoNormalCaracter"/>
        </w:rPr>
      </w:pPr>
      <w:bookmarkStart w:id="1124" w:name="DESCRIPTORALFABETICO454"/>
      <w:r w:rsidRPr="0050129A">
        <w:rPr>
          <w:rStyle w:val="TextoNormalNegritaCaracter"/>
        </w:rPr>
        <w:t>Juntas arbitrales</w:t>
      </w:r>
      <w:bookmarkEnd w:id="1124"/>
      <w:r w:rsidRPr="0050129A">
        <w:rPr>
          <w:rStyle w:val="TextoNormalCaracter"/>
        </w:rPr>
        <w:t xml:space="preserve">, Sentencia </w:t>
      </w:r>
      <w:hyperlink w:anchor="SENTENCIA_2008_26" w:history="1">
        <w:r w:rsidRPr="0050129A">
          <w:rPr>
            <w:rStyle w:val="TextoNormalCaracter"/>
          </w:rPr>
          <w:t>26/2008</w:t>
        </w:r>
      </w:hyperlink>
      <w:r w:rsidRPr="0050129A">
        <w:rPr>
          <w:rStyle w:val="TextoNormalCaracter"/>
        </w:rPr>
        <w:t>, ff. 6 a 8.</w:t>
      </w:r>
    </w:p>
    <w:p w:rsidR="0050129A" w:rsidRPr="0050129A" w:rsidRDefault="0050129A" w:rsidP="0050129A">
      <w:pPr>
        <w:pStyle w:val="TextoNormalSangraFrancesa"/>
        <w:rPr>
          <w:rStyle w:val="TextoNormalCaracter"/>
        </w:rPr>
      </w:pPr>
      <w:bookmarkStart w:id="1125" w:name="DESCRIPTORALFABETICO445"/>
      <w:r w:rsidRPr="0050129A">
        <w:rPr>
          <w:rStyle w:val="TextoNormalNegritaCaracter"/>
        </w:rPr>
        <w:t>Jurisdicción civil</w:t>
      </w:r>
      <w:bookmarkEnd w:id="1125"/>
      <w:r w:rsidRPr="0050129A">
        <w:rPr>
          <w:rStyle w:val="TextoNormalCaracter"/>
        </w:rPr>
        <w:t xml:space="preserve">, Sentencia </w:t>
      </w:r>
      <w:hyperlink w:anchor="SENTENCIA_2008_45" w:history="1">
        <w:r w:rsidRPr="0050129A">
          <w:rPr>
            <w:rStyle w:val="TextoNormalCaracter"/>
          </w:rPr>
          <w:t>45/2008</w:t>
        </w:r>
      </w:hyperlink>
      <w:r w:rsidRPr="0050129A">
        <w:rPr>
          <w:rStyle w:val="TextoNormalCaracter"/>
        </w:rPr>
        <w:t>, f. 3, VP.</w:t>
      </w:r>
    </w:p>
    <w:p w:rsidR="0050129A" w:rsidRPr="0050129A" w:rsidRDefault="0050129A" w:rsidP="0050129A">
      <w:pPr>
        <w:pStyle w:val="TextoNormalSangraFrancesa"/>
        <w:rPr>
          <w:rStyle w:val="TextoNormalCaracter"/>
        </w:rPr>
      </w:pPr>
      <w:bookmarkStart w:id="1126" w:name="DESCRIPTORALFABETICO154"/>
      <w:r w:rsidRPr="0050129A">
        <w:rPr>
          <w:rStyle w:val="TextoNormalNegritaCaracter"/>
        </w:rPr>
        <w:t>Jurisdicción constitucional</w:t>
      </w:r>
      <w:bookmarkEnd w:id="1126"/>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2 a 4.</w:t>
      </w:r>
    </w:p>
    <w:p w:rsidR="0050129A" w:rsidRPr="0050129A" w:rsidRDefault="0050129A" w:rsidP="0050129A">
      <w:pPr>
        <w:pStyle w:val="TextoNormalSangraFrancesa"/>
        <w:rPr>
          <w:rStyle w:val="TextoNormalCaracter"/>
        </w:rPr>
      </w:pPr>
      <w:bookmarkStart w:id="1127" w:name="DESCRIPTORALFABETICO447"/>
      <w:r w:rsidRPr="0050129A">
        <w:rPr>
          <w:rStyle w:val="TextoNormalNegritaCaracter"/>
        </w:rPr>
        <w:t>Jurisdicción contencioso-administrativa</w:t>
      </w:r>
      <w:bookmarkEnd w:id="1127"/>
      <w:r w:rsidRPr="0050129A">
        <w:rPr>
          <w:rStyle w:val="TextoNormalCaracter"/>
        </w:rPr>
        <w:t xml:space="preserve">, Sentencias </w:t>
      </w:r>
      <w:hyperlink w:anchor="SENTENCIA_2008_26" w:history="1">
        <w:r w:rsidRPr="0050129A">
          <w:rPr>
            <w:rStyle w:val="TextoNormalCaracter"/>
          </w:rPr>
          <w:t>26/2008</w:t>
        </w:r>
      </w:hyperlink>
      <w:r w:rsidRPr="0050129A">
        <w:rPr>
          <w:rStyle w:val="TextoNormalCaracter"/>
        </w:rPr>
        <w:t xml:space="preserve">, f. 9; </w:t>
      </w:r>
      <w:hyperlink w:anchor="SENTENCIA_2008_45" w:history="1">
        <w:r w:rsidRPr="0050129A">
          <w:rPr>
            <w:rStyle w:val="TextoNormalCaracter"/>
          </w:rPr>
          <w:t>45/2008</w:t>
        </w:r>
      </w:hyperlink>
      <w:r w:rsidRPr="0050129A">
        <w:rPr>
          <w:rStyle w:val="TextoNormalCaracter"/>
        </w:rPr>
        <w:t>, f. 3.</w:t>
      </w:r>
    </w:p>
    <w:p w:rsidR="0050129A" w:rsidRPr="0050129A" w:rsidRDefault="0050129A" w:rsidP="0050129A">
      <w:pPr>
        <w:pStyle w:val="TextoNormalSangraFrancesa"/>
        <w:rPr>
          <w:rStyle w:val="TextoNormalNegritaCaracter"/>
        </w:rPr>
      </w:pPr>
      <w:r w:rsidRPr="0050129A">
        <w:rPr>
          <w:rStyle w:val="TextoNormalCursivaCaracter"/>
        </w:rPr>
        <w:t>Jurisdicción del Tribunal Constitucional</w:t>
      </w:r>
      <w:r>
        <w:t xml:space="preserve"> véase </w:t>
      </w:r>
      <w:hyperlink w:anchor="DESCRIPTORALFABETICO154" w:history="1">
        <w:r w:rsidRPr="0050129A">
          <w:rPr>
            <w:rStyle w:val="TextoNormalNegritaCaracter"/>
          </w:rPr>
          <w:t>Jurisdicción constitucional</w:t>
        </w:r>
      </w:hyperlink>
    </w:p>
    <w:p w:rsidR="0050129A" w:rsidRPr="0050129A" w:rsidRDefault="0050129A" w:rsidP="0050129A">
      <w:pPr>
        <w:pStyle w:val="TextoNormalSangraFrancesa"/>
        <w:rPr>
          <w:rStyle w:val="TextoNormalCaracter"/>
        </w:rPr>
      </w:pPr>
      <w:bookmarkStart w:id="1128" w:name="DESCRIPTORALFABETICO446"/>
      <w:r w:rsidRPr="0050129A">
        <w:rPr>
          <w:rStyle w:val="TextoNormalNegritaCaracter"/>
        </w:rPr>
        <w:t>Jurisdicción voluntaria</w:t>
      </w:r>
      <w:bookmarkEnd w:id="1128"/>
      <w:r w:rsidRPr="0050129A">
        <w:rPr>
          <w:rStyle w:val="TextoNormalCaracter"/>
        </w:rPr>
        <w:t xml:space="preserve">, Sentencia </w:t>
      </w:r>
      <w:hyperlink w:anchor="SENTENCIA_2008_58" w:history="1">
        <w:r w:rsidRPr="0050129A">
          <w:rPr>
            <w:rStyle w:val="TextoNormalCaracter"/>
          </w:rPr>
          <w:t>58/2008</w:t>
        </w:r>
      </w:hyperlink>
      <w:r w:rsidRPr="0050129A">
        <w:rPr>
          <w:rStyle w:val="TextoNormalCaracter"/>
        </w:rPr>
        <w:t>, ff. 1, 4.</w:t>
      </w:r>
    </w:p>
    <w:p w:rsidR="0050129A" w:rsidRPr="0050129A" w:rsidRDefault="0050129A" w:rsidP="0050129A">
      <w:pPr>
        <w:pStyle w:val="TextoNormalSangraFrancesa"/>
        <w:rPr>
          <w:rStyle w:val="TextoNormalCaracter"/>
        </w:rPr>
      </w:pPr>
      <w:bookmarkStart w:id="1129" w:name="DESCRIPTORALFABETICO506"/>
      <w:r w:rsidRPr="0050129A">
        <w:rPr>
          <w:rStyle w:val="TextoNormalNegritaCaracter"/>
        </w:rPr>
        <w:t>Justicia gratuita</w:t>
      </w:r>
      <w:bookmarkEnd w:id="1129"/>
      <w:r w:rsidRPr="0050129A">
        <w:rPr>
          <w:rStyle w:val="TextoNormalCaracter"/>
        </w:rPr>
        <w:t xml:space="preserve">, Sentencias </w:t>
      </w:r>
      <w:hyperlink w:anchor="SENTENCIA_2008_7" w:history="1">
        <w:r w:rsidRPr="0050129A">
          <w:rPr>
            <w:rStyle w:val="TextoNormalCaracter"/>
          </w:rPr>
          <w:t>7/2008</w:t>
        </w:r>
      </w:hyperlink>
      <w:r w:rsidRPr="0050129A">
        <w:rPr>
          <w:rStyle w:val="TextoNormalCaracter"/>
        </w:rPr>
        <w:t xml:space="preserve">, f. 2; </w:t>
      </w:r>
      <w:hyperlink w:anchor="SENTENCIA_2008_9" w:history="1">
        <w:r w:rsidRPr="0050129A">
          <w:rPr>
            <w:rStyle w:val="TextoNormalCaracter"/>
          </w:rPr>
          <w:t>9/2008</w:t>
        </w:r>
      </w:hyperlink>
      <w:r w:rsidRPr="0050129A">
        <w:rPr>
          <w:rStyle w:val="TextoNormalCaracter"/>
        </w:rPr>
        <w:t xml:space="preserve">, ff. 2, 4; </w:t>
      </w:r>
      <w:hyperlink w:anchor="SENTENCIA_2008_10" w:history="1">
        <w:r w:rsidRPr="0050129A">
          <w:rPr>
            <w:rStyle w:val="TextoNormalCaracter"/>
          </w:rPr>
          <w:t>10/2008</w:t>
        </w:r>
      </w:hyperlink>
      <w:r w:rsidRPr="0050129A">
        <w:rPr>
          <w:rStyle w:val="TextoNormalCaracter"/>
        </w:rPr>
        <w:t xml:space="preserve">, ff. 2, 3; </w:t>
      </w:r>
      <w:hyperlink w:anchor="SENTENCIA_2008_55" w:history="1">
        <w:r w:rsidRPr="0050129A">
          <w:rPr>
            <w:rStyle w:val="TextoNormalCaracter"/>
          </w:rPr>
          <w:t>55/2008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34" w:history="1">
        <w:r w:rsidRPr="0050129A">
          <w:rPr>
            <w:rStyle w:val="TextoNormalCaracter"/>
          </w:rPr>
          <w:t>34/2008</w:t>
        </w:r>
      </w:hyperlink>
      <w:r w:rsidRPr="0050129A">
        <w:rPr>
          <w:rStyle w:val="TextoNormalCaracter"/>
        </w:rPr>
        <w:t>.</w:t>
      </w:r>
    </w:p>
    <w:p w:rsidR="0050129A" w:rsidRPr="0050129A" w:rsidRDefault="0050129A" w:rsidP="0050129A">
      <w:pPr>
        <w:pStyle w:val="TextoNormalSangraFrancesa"/>
        <w:rPr>
          <w:rStyle w:val="TextoNormalCaracter"/>
        </w:rPr>
      </w:pPr>
      <w:bookmarkStart w:id="1130" w:name="DESCRIPTORALFABETICO276"/>
      <w:r w:rsidRPr="0050129A">
        <w:rPr>
          <w:rStyle w:val="TextoNormalNegritaCaracter"/>
        </w:rPr>
        <w:t>Juzgado de Vigilancia Penitenciaria</w:t>
      </w:r>
      <w:bookmarkEnd w:id="1130"/>
      <w:r w:rsidRPr="0050129A">
        <w:rPr>
          <w:rStyle w:val="TextoNormalCaracter"/>
        </w:rPr>
        <w:t xml:space="preserve">, Sentencia </w:t>
      </w:r>
      <w:hyperlink w:anchor="SENTENCIA_2008_42" w:history="1">
        <w:r w:rsidRPr="0050129A">
          <w:rPr>
            <w:rStyle w:val="TextoNormalCaracter"/>
          </w:rPr>
          <w:t>42/2008</w:t>
        </w:r>
      </w:hyperlink>
      <w:r w:rsidRPr="0050129A">
        <w:rPr>
          <w:rStyle w:val="TextoNormalCaracter"/>
        </w:rPr>
        <w:t>, ff. 3 a 6.</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L</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131" w:name="DESCRIPTORALFABETICO373"/>
      <w:r w:rsidRPr="0050129A">
        <w:rPr>
          <w:rStyle w:val="TextoNormalNegritaCaracter"/>
        </w:rPr>
        <w:t>Legislación autonómica</w:t>
      </w:r>
      <w:bookmarkEnd w:id="1131"/>
      <w:r w:rsidRPr="0050129A">
        <w:rPr>
          <w:rStyle w:val="TextoNormalCaracter"/>
        </w:rPr>
        <w:t xml:space="preserve">, Sentencia </w:t>
      </w:r>
      <w:hyperlink w:anchor="SENTENCIA_2008_47" w:history="1">
        <w:r w:rsidRPr="0050129A">
          <w:rPr>
            <w:rStyle w:val="TextoNormalCaracter"/>
          </w:rPr>
          <w:t>47/2008</w:t>
        </w:r>
      </w:hyperlink>
      <w:r w:rsidRPr="0050129A">
        <w:rPr>
          <w:rStyle w:val="TextoNormalCaracter"/>
        </w:rPr>
        <w:t>, f. 2.</w:t>
      </w:r>
    </w:p>
    <w:p w:rsidR="0050129A" w:rsidRPr="0050129A" w:rsidRDefault="0050129A" w:rsidP="0050129A">
      <w:pPr>
        <w:pStyle w:val="TextoNormalSangraFrancesa"/>
        <w:rPr>
          <w:rStyle w:val="TextoNormalCaracter"/>
        </w:rPr>
      </w:pPr>
      <w:bookmarkStart w:id="1132" w:name="DESCRIPTORALFABETICO278"/>
      <w:r w:rsidRPr="0050129A">
        <w:rPr>
          <w:rStyle w:val="TextoNormalNegritaCaracter"/>
        </w:rPr>
        <w:t>Legislador</w:t>
      </w:r>
      <w:bookmarkEnd w:id="1132"/>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5, 11, 19, 20.</w:t>
      </w:r>
    </w:p>
    <w:p w:rsidR="0050129A" w:rsidRPr="0050129A" w:rsidRDefault="0050129A" w:rsidP="0050129A">
      <w:pPr>
        <w:pStyle w:val="TextoNormalSangraFrancesa"/>
        <w:rPr>
          <w:rStyle w:val="TextoNormalCaracter"/>
        </w:rPr>
      </w:pPr>
      <w:bookmarkStart w:id="1133" w:name="DESCRIPTORALFABETICO515"/>
      <w:r w:rsidRPr="0050129A">
        <w:rPr>
          <w:rStyle w:val="TextoNormalNegritaCaracter"/>
        </w:rPr>
        <w:t>Legitimación activa</w:t>
      </w:r>
      <w:bookmarkEnd w:id="1133"/>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f. 3; </w:t>
      </w:r>
      <w:hyperlink w:anchor="SENTENCIA_2008_51" w:history="1">
        <w:r w:rsidRPr="0050129A">
          <w:rPr>
            <w:rStyle w:val="TextoNormalCaracter"/>
          </w:rPr>
          <w:t>51/2008</w:t>
        </w:r>
      </w:hyperlink>
      <w:r w:rsidRPr="0050129A">
        <w:rPr>
          <w:rStyle w:val="TextoNormalCaracter"/>
        </w:rPr>
        <w:t>, ff. 3, 7.</w:t>
      </w:r>
    </w:p>
    <w:p w:rsidR="0050129A" w:rsidRPr="0050129A" w:rsidRDefault="0050129A" w:rsidP="0050129A">
      <w:pPr>
        <w:pStyle w:val="TextoNormalSangraFrancesa"/>
        <w:rPr>
          <w:rStyle w:val="TextoNormalCaracter"/>
        </w:rPr>
      </w:pPr>
      <w:bookmarkStart w:id="1134" w:name="DESCRIPTORALFABETICO162"/>
      <w:r w:rsidRPr="0050129A">
        <w:rPr>
          <w:rStyle w:val="TextoNormalNegritaCaracter"/>
        </w:rPr>
        <w:t>Legitimación activa en el incidente de suspensión cautelar</w:t>
      </w:r>
      <w:bookmarkEnd w:id="1134"/>
      <w:r w:rsidRPr="0050129A">
        <w:rPr>
          <w:rStyle w:val="TextoNormalCaracter"/>
        </w:rPr>
        <w:t xml:space="preserve">, Auto </w:t>
      </w:r>
      <w:hyperlink w:anchor="AUTO_2008_75" w:history="1">
        <w:r w:rsidRPr="0050129A">
          <w:rPr>
            <w:rStyle w:val="TextoNormalCaracter"/>
          </w:rPr>
          <w:t>75/2008</w:t>
        </w:r>
      </w:hyperlink>
      <w:r w:rsidRPr="0050129A">
        <w:rPr>
          <w:rStyle w:val="TextoNormalCaracter"/>
        </w:rPr>
        <w:t>.</w:t>
      </w:r>
    </w:p>
    <w:p w:rsidR="0050129A" w:rsidRPr="0050129A" w:rsidRDefault="0050129A" w:rsidP="0050129A">
      <w:pPr>
        <w:pStyle w:val="TextoNormalSangraFrancesa"/>
        <w:rPr>
          <w:rStyle w:val="TextoNormalCaracter"/>
        </w:rPr>
      </w:pPr>
      <w:bookmarkStart w:id="1135" w:name="DESCRIPTORALFABETICO516"/>
      <w:r w:rsidRPr="0050129A">
        <w:rPr>
          <w:rStyle w:val="TextoNormalNegritaCaracter"/>
        </w:rPr>
        <w:t>Legitimación de abogado</w:t>
      </w:r>
      <w:bookmarkEnd w:id="1135"/>
      <w:r w:rsidRPr="0050129A">
        <w:rPr>
          <w:rStyle w:val="TextoNormalCaracter"/>
        </w:rPr>
        <w:t xml:space="preserve">, Auto </w:t>
      </w:r>
      <w:hyperlink w:anchor="AUTO_2008_100" w:history="1">
        <w:r w:rsidRPr="0050129A">
          <w:rPr>
            <w:rStyle w:val="TextoNormalCaracter"/>
          </w:rPr>
          <w:t>100/2008</w:t>
        </w:r>
      </w:hyperlink>
      <w:r w:rsidRPr="0050129A">
        <w:rPr>
          <w:rStyle w:val="TextoNormalCaracter"/>
        </w:rPr>
        <w:t>.</w:t>
      </w:r>
    </w:p>
    <w:p w:rsidR="0050129A" w:rsidRPr="0050129A" w:rsidRDefault="0050129A" w:rsidP="0050129A">
      <w:pPr>
        <w:pStyle w:val="TextoNormalSangraFrancesa"/>
        <w:rPr>
          <w:rStyle w:val="TextoNormalCaracter"/>
        </w:rPr>
      </w:pPr>
      <w:bookmarkStart w:id="1136" w:name="DESCRIPTORALFABETICO224"/>
      <w:r w:rsidRPr="0050129A">
        <w:rPr>
          <w:rStyle w:val="TextoNormalNegritaCaracter"/>
        </w:rPr>
        <w:t>Legitimación de personas jurídicas públicas</w:t>
      </w:r>
      <w:bookmarkEnd w:id="1136"/>
      <w:r w:rsidRPr="0050129A">
        <w:rPr>
          <w:rStyle w:val="TextoNormalCaracter"/>
        </w:rPr>
        <w:t xml:space="preserve">, Sentencia </w:t>
      </w:r>
      <w:hyperlink w:anchor="SENTENCIA_2008_11" w:history="1">
        <w:r w:rsidRPr="0050129A">
          <w:rPr>
            <w:rStyle w:val="TextoNormalCaracter"/>
          </w:rPr>
          <w:t>11/2008</w:t>
        </w:r>
      </w:hyperlink>
      <w:r w:rsidRPr="0050129A">
        <w:rPr>
          <w:rStyle w:val="TextoNormalCaracter"/>
        </w:rPr>
        <w:t>, f. 3.</w:t>
      </w:r>
    </w:p>
    <w:p w:rsidR="0050129A" w:rsidRPr="0050129A" w:rsidRDefault="0050129A" w:rsidP="0050129A">
      <w:pPr>
        <w:pStyle w:val="TextoNormalSangraFrancesa"/>
        <w:rPr>
          <w:rStyle w:val="TextoNormalCaracter"/>
        </w:rPr>
      </w:pPr>
      <w:bookmarkStart w:id="1137" w:name="DESCRIPTORALFABETICO185"/>
      <w:r w:rsidRPr="0050129A">
        <w:rPr>
          <w:rStyle w:val="TextoNormalNegritaCaracter"/>
        </w:rPr>
        <w:t>Legitimación en cuestión de inconstitucionalidad</w:t>
      </w:r>
      <w:bookmarkEnd w:id="1137"/>
      <w:r w:rsidRPr="0050129A">
        <w:rPr>
          <w:rStyle w:val="TextoNormalCaracter"/>
        </w:rPr>
        <w:t xml:space="preserve">, Auto </w:t>
      </w:r>
      <w:hyperlink w:anchor="AUTO_2008_12" w:history="1">
        <w:r w:rsidRPr="0050129A">
          <w:rPr>
            <w:rStyle w:val="TextoNormalCaracter"/>
          </w:rPr>
          <w:t>12/2008</w:t>
        </w:r>
      </w:hyperlink>
      <w:r w:rsidRPr="0050129A">
        <w:rPr>
          <w:rStyle w:val="TextoNormalCaracter"/>
        </w:rPr>
        <w:t>.</w:t>
      </w:r>
    </w:p>
    <w:p w:rsidR="0050129A" w:rsidRPr="0050129A" w:rsidRDefault="0050129A" w:rsidP="0050129A">
      <w:pPr>
        <w:pStyle w:val="TextoNormalSangraFrancesa"/>
        <w:rPr>
          <w:rStyle w:val="TextoNormalCaracter"/>
        </w:rPr>
      </w:pPr>
      <w:bookmarkStart w:id="1138" w:name="DESCRIPTORALFABETICO517"/>
      <w:r w:rsidRPr="0050129A">
        <w:rPr>
          <w:rStyle w:val="TextoNormalNegritaCaracter"/>
        </w:rPr>
        <w:t xml:space="preserve">Legitimación para instar el procedimiento de </w:t>
      </w:r>
      <w:r w:rsidRPr="0050129A">
        <w:rPr>
          <w:rStyle w:val="TextoNormalNegritaCaracter"/>
          <w:i/>
        </w:rPr>
        <w:t>habeas corpus</w:t>
      </w:r>
      <w:bookmarkEnd w:id="1138"/>
      <w:r w:rsidRPr="0050129A">
        <w:rPr>
          <w:rStyle w:val="TextoNormalCaracter"/>
        </w:rPr>
        <w:t xml:space="preserve">, Sentencia </w:t>
      </w:r>
      <w:hyperlink w:anchor="SENTENCIA_2008_37" w:history="1">
        <w:r w:rsidRPr="0050129A">
          <w:rPr>
            <w:rStyle w:val="TextoNormalCaracter"/>
          </w:rPr>
          <w:t>37/2008</w:t>
        </w:r>
      </w:hyperlink>
      <w:r w:rsidRPr="0050129A">
        <w:rPr>
          <w:rStyle w:val="TextoNormalCaracter"/>
        </w:rPr>
        <w:t>, f. 2.</w:t>
      </w:r>
    </w:p>
    <w:p w:rsidR="0050129A" w:rsidRPr="0050129A" w:rsidRDefault="0050129A" w:rsidP="0050129A">
      <w:pPr>
        <w:pStyle w:val="TextoNormalSangraFrancesa"/>
        <w:rPr>
          <w:rStyle w:val="TextoNormalCaracter"/>
        </w:rPr>
      </w:pPr>
      <w:bookmarkStart w:id="1139" w:name="DESCRIPTORALFABETICO518"/>
      <w:r w:rsidRPr="0050129A">
        <w:rPr>
          <w:rStyle w:val="TextoNormalNegritaCaracter"/>
        </w:rPr>
        <w:t>Legitimación por sucesión</w:t>
      </w:r>
      <w:bookmarkEnd w:id="1139"/>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ff. 3, 7.</w:t>
      </w:r>
    </w:p>
    <w:p w:rsidR="0050129A" w:rsidRPr="0050129A" w:rsidRDefault="0050129A" w:rsidP="0050129A">
      <w:pPr>
        <w:pStyle w:val="TextoNormalSangraFrancesa"/>
        <w:rPr>
          <w:rStyle w:val="TextoNormalCaracter"/>
        </w:rPr>
      </w:pPr>
      <w:bookmarkStart w:id="1140" w:name="DESCRIPTORALFABETICO514"/>
      <w:r w:rsidRPr="0050129A">
        <w:rPr>
          <w:rStyle w:val="TextoNormalNegritaCaracter"/>
        </w:rPr>
        <w:t>Legitimación procesal</w:t>
      </w:r>
      <w:bookmarkEnd w:id="1140"/>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f. 3; </w:t>
      </w:r>
      <w:hyperlink w:anchor="SENTENCIA_2008_18" w:history="1">
        <w:r w:rsidRPr="0050129A">
          <w:rPr>
            <w:rStyle w:val="TextoNormalCaracter"/>
          </w:rPr>
          <w:t>18/2008</w:t>
        </w:r>
      </w:hyperlink>
      <w:r w:rsidRPr="0050129A">
        <w:rPr>
          <w:rStyle w:val="TextoNormalCaracter"/>
        </w:rPr>
        <w:t>, f. único.</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75" w:history="1">
        <w:r w:rsidRPr="0050129A">
          <w:rPr>
            <w:rStyle w:val="TextoNormalCaracter"/>
          </w:rPr>
          <w:t>75/2008</w:t>
        </w:r>
      </w:hyperlink>
      <w:r w:rsidRPr="0050129A">
        <w:rPr>
          <w:rStyle w:val="TextoNormalCaracter"/>
        </w:rPr>
        <w:t>.</w:t>
      </w:r>
    </w:p>
    <w:p w:rsidR="0050129A" w:rsidRPr="0050129A" w:rsidRDefault="0050129A" w:rsidP="0050129A">
      <w:pPr>
        <w:pStyle w:val="TextoNormalSangraFrancesa"/>
        <w:rPr>
          <w:rStyle w:val="TextoNormalCaracter"/>
        </w:rPr>
      </w:pPr>
      <w:bookmarkStart w:id="1141" w:name="DESCRIPTORALFABETICO176"/>
      <w:r w:rsidRPr="0050129A">
        <w:rPr>
          <w:rStyle w:val="TextoNormalNegritaCaracter"/>
        </w:rPr>
        <w:t>Levantamiento de la suspensión de disposiciones de las Comunidades Autónomas</w:t>
      </w:r>
      <w:bookmarkEnd w:id="1141"/>
      <w:r w:rsidRPr="0050129A">
        <w:rPr>
          <w:rStyle w:val="TextoNormalCaracter"/>
        </w:rPr>
        <w:t xml:space="preserve">, Auto </w:t>
      </w:r>
      <w:hyperlink w:anchor="AUTO_2008_80" w:history="1">
        <w:r w:rsidRPr="0050129A">
          <w:rPr>
            <w:rStyle w:val="TextoNormalCaracter"/>
          </w:rPr>
          <w:t>80/2008</w:t>
        </w:r>
      </w:hyperlink>
      <w:r w:rsidRPr="0050129A">
        <w:rPr>
          <w:rStyle w:val="TextoNormalCaracter"/>
        </w:rPr>
        <w:t>.</w:t>
      </w:r>
    </w:p>
    <w:p w:rsidR="0050129A" w:rsidRPr="0050129A" w:rsidRDefault="0050129A" w:rsidP="0050129A">
      <w:pPr>
        <w:pStyle w:val="TextoNormalSangraFrancesa"/>
        <w:rPr>
          <w:rStyle w:val="TextoNormalCaracter"/>
        </w:rPr>
      </w:pPr>
      <w:bookmarkStart w:id="1142" w:name="DESCRIPTORALFABETICO280"/>
      <w:r w:rsidRPr="0050129A">
        <w:rPr>
          <w:rStyle w:val="TextoNormalNegritaCaracter"/>
        </w:rPr>
        <w:t>Libertad de configuración del legislador</w:t>
      </w:r>
      <w:bookmarkEnd w:id="1142"/>
      <w:r w:rsidRPr="0050129A">
        <w:rPr>
          <w:rStyle w:val="TextoNormalCaracter"/>
        </w:rPr>
        <w:t xml:space="preserve">, Sentencias </w:t>
      </w:r>
      <w:hyperlink w:anchor="SENTENCIA_2008_12" w:history="1">
        <w:r w:rsidRPr="0050129A">
          <w:rPr>
            <w:rStyle w:val="TextoNormalCaracter"/>
          </w:rPr>
          <w:t>12/2008</w:t>
        </w:r>
      </w:hyperlink>
      <w:r w:rsidRPr="0050129A">
        <w:rPr>
          <w:rStyle w:val="TextoNormalCaracter"/>
        </w:rPr>
        <w:t xml:space="preserve">, f. 8; </w:t>
      </w:r>
      <w:hyperlink w:anchor="SENTENCIA_2008_48" w:history="1">
        <w:r w:rsidRPr="0050129A">
          <w:rPr>
            <w:rStyle w:val="TextoNormalCaracter"/>
          </w:rPr>
          <w:t>48/2008</w:t>
        </w:r>
      </w:hyperlink>
      <w:r w:rsidRPr="0050129A">
        <w:rPr>
          <w:rStyle w:val="TextoNormalCaracter"/>
        </w:rPr>
        <w:t xml:space="preserve">, f. 2; </w:t>
      </w:r>
      <w:hyperlink w:anchor="SENTENCIA_2008_49" w:history="1">
        <w:r w:rsidRPr="0050129A">
          <w:rPr>
            <w:rStyle w:val="TextoNormalCaracter"/>
          </w:rPr>
          <w:t>49/2008</w:t>
        </w:r>
      </w:hyperlink>
      <w:r w:rsidRPr="0050129A">
        <w:rPr>
          <w:rStyle w:val="TextoNormalCaracter"/>
        </w:rPr>
        <w:t xml:space="preserve">, ff. 2, 3, 4, 5, 18, 21, VP II; </w:t>
      </w:r>
      <w:hyperlink w:anchor="SENTENCIA_2008_57" w:history="1">
        <w:r w:rsidRPr="0050129A">
          <w:rPr>
            <w:rStyle w:val="TextoNormalCaracter"/>
          </w:rPr>
          <w:t>57/2008</w:t>
        </w:r>
      </w:hyperlink>
      <w:r w:rsidRPr="0050129A">
        <w:rPr>
          <w:rStyle w:val="TextoNormalCaracter"/>
        </w:rPr>
        <w:t>, f. 6.</w:t>
      </w:r>
    </w:p>
    <w:p w:rsidR="0050129A" w:rsidRPr="0050129A" w:rsidRDefault="0050129A" w:rsidP="0050129A">
      <w:pPr>
        <w:pStyle w:val="TextoNormalSangraFrancesa"/>
        <w:rPr>
          <w:rStyle w:val="TextoNormalCaracter"/>
        </w:rPr>
      </w:pPr>
      <w:bookmarkStart w:id="1143" w:name="DESCRIPTORALFABETICO130"/>
      <w:r w:rsidRPr="0050129A">
        <w:rPr>
          <w:rStyle w:val="TextoNormalNegritaCaracter"/>
        </w:rPr>
        <w:t>Libertad de expresión</w:t>
      </w:r>
      <w:bookmarkEnd w:id="1143"/>
      <w:r w:rsidRPr="0050129A">
        <w:rPr>
          <w:rStyle w:val="TextoNormalCaracter"/>
        </w:rPr>
        <w:t xml:space="preserve">, Sentencias </w:t>
      </w:r>
      <w:hyperlink w:anchor="SENTENCIA_2008_51" w:history="1">
        <w:r w:rsidRPr="0050129A">
          <w:rPr>
            <w:rStyle w:val="TextoNormalCaracter"/>
          </w:rPr>
          <w:t>51/2008</w:t>
        </w:r>
      </w:hyperlink>
      <w:r w:rsidRPr="0050129A">
        <w:rPr>
          <w:rStyle w:val="TextoNormalCaracter"/>
        </w:rPr>
        <w:t xml:space="preserve">, f. 5; </w:t>
      </w:r>
      <w:hyperlink w:anchor="SENTENCIA_2008_56" w:history="1">
        <w:r w:rsidRPr="0050129A">
          <w:rPr>
            <w:rStyle w:val="TextoNormalCaracter"/>
          </w:rPr>
          <w:t>56/2008</w:t>
        </w:r>
      </w:hyperlink>
      <w:r w:rsidRPr="0050129A">
        <w:rPr>
          <w:rStyle w:val="TextoNormalCaracter"/>
        </w:rPr>
        <w:t>, ff. 3, 5, 6, 7, 9, 10.</w:t>
      </w:r>
    </w:p>
    <w:p w:rsidR="0050129A" w:rsidRPr="0050129A" w:rsidRDefault="0050129A" w:rsidP="0050129A">
      <w:pPr>
        <w:pStyle w:val="TextoNormalSangraFrancesa"/>
        <w:rPr>
          <w:rStyle w:val="TextoNormalCaracter"/>
        </w:rPr>
      </w:pPr>
      <w:bookmarkStart w:id="1144" w:name="DESCRIPTORALFABETICO134"/>
      <w:r w:rsidRPr="0050129A">
        <w:rPr>
          <w:rStyle w:val="TextoNormalNegritaCaracter"/>
        </w:rPr>
        <w:t>Libertad de información</w:t>
      </w:r>
      <w:bookmarkEnd w:id="1144"/>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 5.</w:t>
      </w:r>
    </w:p>
    <w:p w:rsidR="0050129A" w:rsidRPr="0050129A" w:rsidRDefault="0050129A" w:rsidP="0050129A">
      <w:pPr>
        <w:pStyle w:val="TextoNormalSangraFrancesa"/>
        <w:rPr>
          <w:rStyle w:val="TextoNormalCaracter"/>
        </w:rPr>
      </w:pPr>
      <w:bookmarkStart w:id="1145" w:name="DESCRIPTORALFABETICO136"/>
      <w:r w:rsidRPr="0050129A">
        <w:rPr>
          <w:rStyle w:val="TextoNormalNegritaCaracter"/>
        </w:rPr>
        <w:t>Libertad ideológica</w:t>
      </w:r>
      <w:bookmarkEnd w:id="1145"/>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6, VP.</w:t>
      </w:r>
    </w:p>
    <w:p w:rsidR="0050129A" w:rsidRPr="0050129A" w:rsidRDefault="0050129A" w:rsidP="0050129A">
      <w:pPr>
        <w:pStyle w:val="TextoNormalSangraFrancesa"/>
        <w:rPr>
          <w:rStyle w:val="TextoNormalCaracter"/>
        </w:rPr>
      </w:pPr>
      <w:bookmarkStart w:id="1146" w:name="DESCRIPTORALFABETICO281"/>
      <w:r w:rsidRPr="0050129A">
        <w:rPr>
          <w:rStyle w:val="TextoNormalNegritaCaracter"/>
        </w:rPr>
        <w:t>Límites a la libertad de configuración del legislador</w:t>
      </w:r>
      <w:bookmarkEnd w:id="1146"/>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147" w:name="DESCRIPTORALFABETICO133"/>
      <w:r w:rsidRPr="0050129A">
        <w:rPr>
          <w:rStyle w:val="TextoNormalNegritaCaracter"/>
        </w:rPr>
        <w:t>Límites a la libertad de expresión</w:t>
      </w:r>
      <w:bookmarkEnd w:id="1147"/>
      <w:r w:rsidRPr="0050129A">
        <w:rPr>
          <w:rStyle w:val="TextoNormalCaracter"/>
        </w:rPr>
        <w:t xml:space="preserve">, Sentencias </w:t>
      </w:r>
      <w:hyperlink w:anchor="SENTENCIA_2008_12" w:history="1">
        <w:r w:rsidRPr="0050129A">
          <w:rPr>
            <w:rStyle w:val="TextoNormalCaracter"/>
          </w:rPr>
          <w:t>12/2008</w:t>
        </w:r>
      </w:hyperlink>
      <w:r w:rsidRPr="0050129A">
        <w:rPr>
          <w:rStyle w:val="TextoNormalCaracter"/>
        </w:rPr>
        <w:t xml:space="preserve">, f. 6; </w:t>
      </w:r>
      <w:hyperlink w:anchor="SENTENCIA_2008_56" w:history="1">
        <w:r w:rsidRPr="0050129A">
          <w:rPr>
            <w:rStyle w:val="TextoNormalCaracter"/>
          </w:rPr>
          <w:t>56/2008</w:t>
        </w:r>
      </w:hyperlink>
      <w:r w:rsidRPr="0050129A">
        <w:rPr>
          <w:rStyle w:val="TextoNormalCaracter"/>
        </w:rPr>
        <w:t>, f. 7.</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4" w:history="1">
        <w:r w:rsidRPr="0050129A">
          <w:rPr>
            <w:rStyle w:val="TextoNormalCaracter"/>
          </w:rPr>
          <w:t>4/2008</w:t>
        </w:r>
      </w:hyperlink>
      <w:r w:rsidRPr="0050129A">
        <w:rPr>
          <w:rStyle w:val="TextoNormalCaracter"/>
        </w:rPr>
        <w:t>.</w:t>
      </w:r>
    </w:p>
    <w:p w:rsidR="0050129A" w:rsidRPr="0050129A" w:rsidRDefault="0050129A" w:rsidP="0050129A">
      <w:pPr>
        <w:pStyle w:val="TextoNormalSangraFrancesa"/>
        <w:rPr>
          <w:rStyle w:val="TextoNormalCaracter"/>
        </w:rPr>
      </w:pPr>
      <w:bookmarkStart w:id="1148" w:name="DESCRIPTORALFABETICO585"/>
      <w:r w:rsidRPr="0050129A">
        <w:rPr>
          <w:rStyle w:val="TextoNormalNegritaCaracter"/>
        </w:rPr>
        <w:lastRenderedPageBreak/>
        <w:t>Liquidación de condena</w:t>
      </w:r>
      <w:bookmarkEnd w:id="1148"/>
      <w:r w:rsidRPr="0050129A">
        <w:rPr>
          <w:rStyle w:val="TextoNormalCaracter"/>
        </w:rPr>
        <w:t xml:space="preserve">, Autos </w:t>
      </w:r>
      <w:hyperlink w:anchor="AUTO_2008_17" w:history="1">
        <w:r w:rsidRPr="0050129A">
          <w:rPr>
            <w:rStyle w:val="TextoNormalCaracter"/>
          </w:rPr>
          <w:t>17/2008</w:t>
        </w:r>
      </w:hyperlink>
      <w:r w:rsidRPr="0050129A">
        <w:rPr>
          <w:rStyle w:val="TextoNormalCaracter"/>
        </w:rPr>
        <w:t xml:space="preserve">; </w:t>
      </w:r>
      <w:hyperlink w:anchor="AUTO_2008_19" w:history="1">
        <w:r w:rsidRPr="0050129A">
          <w:rPr>
            <w:rStyle w:val="TextoNormalCaracter"/>
          </w:rPr>
          <w:t>19/2008</w:t>
        </w:r>
      </w:hyperlink>
      <w:r w:rsidRPr="0050129A">
        <w:rPr>
          <w:rStyle w:val="TextoNormalCaracter"/>
        </w:rPr>
        <w:t xml:space="preserve">; </w:t>
      </w:r>
      <w:hyperlink w:anchor="AUTO_2008_43" w:history="1">
        <w:r w:rsidRPr="0050129A">
          <w:rPr>
            <w:rStyle w:val="TextoNormalCaracter"/>
          </w:rPr>
          <w:t>43/2008</w:t>
        </w:r>
      </w:hyperlink>
      <w:r w:rsidRPr="0050129A">
        <w:rPr>
          <w:rStyle w:val="TextoNormalCaracter"/>
        </w:rPr>
        <w:t>.</w:t>
      </w:r>
    </w:p>
    <w:p w:rsidR="0050129A" w:rsidRPr="0050129A" w:rsidRDefault="0050129A" w:rsidP="0050129A">
      <w:pPr>
        <w:pStyle w:val="TextoNormalSangraFrancesa"/>
        <w:rPr>
          <w:rStyle w:val="TextoNormalCaracter"/>
        </w:rPr>
      </w:pPr>
      <w:bookmarkStart w:id="1149" w:name="DESCRIPTORALFABETICO6"/>
      <w:r w:rsidRPr="0050129A">
        <w:rPr>
          <w:rStyle w:val="TextoNormalNegritaCaracter"/>
        </w:rPr>
        <w:t>Liquidaciones tributarias</w:t>
      </w:r>
      <w:bookmarkEnd w:id="1149"/>
      <w:r w:rsidRPr="0050129A">
        <w:rPr>
          <w:rStyle w:val="TextoNormalCaracter"/>
        </w:rPr>
        <w:t xml:space="preserve">, Auto </w:t>
      </w:r>
      <w:hyperlink w:anchor="AUTO_2008_66" w:history="1">
        <w:r w:rsidRPr="0050129A">
          <w:rPr>
            <w:rStyle w:val="TextoNormalCaracter"/>
          </w:rPr>
          <w:t>66/2008</w:t>
        </w:r>
      </w:hyperlink>
      <w:r w:rsidRPr="0050129A">
        <w:rPr>
          <w:rStyle w:val="TextoNormalCaracter"/>
        </w:rPr>
        <w:t>.</w:t>
      </w:r>
    </w:p>
    <w:p w:rsidR="0050129A" w:rsidRPr="0050129A" w:rsidRDefault="0050129A" w:rsidP="0050129A">
      <w:pPr>
        <w:pStyle w:val="TextoNormalSangraFrancesa"/>
        <w:rPr>
          <w:rStyle w:val="TextoNormalCaracter"/>
        </w:rPr>
      </w:pPr>
      <w:bookmarkStart w:id="1150" w:name="DESCRIPTORALFABETICO21"/>
      <w:r w:rsidRPr="0050129A">
        <w:rPr>
          <w:rStyle w:val="TextoNormalNegritaCaracter"/>
        </w:rPr>
        <w:t>Listas electorales</w:t>
      </w:r>
      <w:bookmarkEnd w:id="1150"/>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5, 6.</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M</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151" w:name="DESCRIPTORALFABETICO427"/>
      <w:r w:rsidRPr="0050129A">
        <w:rPr>
          <w:rStyle w:val="TextoNormalNegritaCaracter"/>
        </w:rPr>
        <w:t>Máquinas expendedoras de productos del tabaco</w:t>
      </w:r>
      <w:bookmarkEnd w:id="1151"/>
      <w:r w:rsidRPr="0050129A">
        <w:rPr>
          <w:rStyle w:val="TextoNormalCaracter"/>
        </w:rPr>
        <w:t xml:space="preserve">, Auto </w:t>
      </w:r>
      <w:hyperlink w:anchor="AUTO_2008_80" w:history="1">
        <w:r w:rsidRPr="0050129A">
          <w:rPr>
            <w:rStyle w:val="TextoNormalCaracter"/>
          </w:rPr>
          <w:t>80/2008</w:t>
        </w:r>
      </w:hyperlink>
      <w:r w:rsidRPr="0050129A">
        <w:rPr>
          <w:rStyle w:val="TextoNormalCaracter"/>
        </w:rPr>
        <w:t>.</w:t>
      </w:r>
    </w:p>
    <w:p w:rsidR="0050129A" w:rsidRPr="0050129A" w:rsidRDefault="0050129A" w:rsidP="0050129A">
      <w:pPr>
        <w:pStyle w:val="TextoNormalSangraFrancesa"/>
        <w:rPr>
          <w:rStyle w:val="TextoNormalCaracter"/>
        </w:rPr>
      </w:pPr>
      <w:bookmarkStart w:id="1152" w:name="DESCRIPTORALFABETICO511"/>
      <w:r w:rsidRPr="0050129A">
        <w:rPr>
          <w:rStyle w:val="TextoNormalNegritaCaracter"/>
        </w:rPr>
        <w:t>Medidas cautelares</w:t>
      </w:r>
      <w:bookmarkEnd w:id="1152"/>
      <w:r w:rsidRPr="0050129A">
        <w:rPr>
          <w:rStyle w:val="TextoNormalCaracter"/>
        </w:rPr>
        <w:t xml:space="preserve">, Sentencia </w:t>
      </w:r>
      <w:hyperlink w:anchor="SENTENCIA_2008_4" w:history="1">
        <w:r w:rsidRPr="0050129A">
          <w:rPr>
            <w:rStyle w:val="TextoNormalCaracter"/>
          </w:rPr>
          <w:t>4/2008</w:t>
        </w:r>
      </w:hyperlink>
      <w:r w:rsidRPr="0050129A">
        <w:rPr>
          <w:rStyle w:val="TextoNormalCaracter"/>
        </w:rPr>
        <w:t>, f. 3.</w:t>
      </w:r>
    </w:p>
    <w:p w:rsidR="0050129A" w:rsidRPr="0050129A" w:rsidRDefault="0050129A" w:rsidP="0050129A">
      <w:pPr>
        <w:pStyle w:val="TextoNormalSangraFrancesa"/>
        <w:rPr>
          <w:rStyle w:val="TextoNormalCaracter"/>
        </w:rPr>
      </w:pPr>
      <w:bookmarkStart w:id="1153" w:name="DESCRIPTORALFABETICO71"/>
      <w:r w:rsidRPr="0050129A">
        <w:rPr>
          <w:rStyle w:val="TextoNormalNegritaCaracter"/>
        </w:rPr>
        <w:t>Medidas disuasorias del acceso a la justicia</w:t>
      </w:r>
      <w:bookmarkEnd w:id="1153"/>
      <w:r w:rsidRPr="0050129A">
        <w:rPr>
          <w:rStyle w:val="TextoNormalCaracter"/>
        </w:rPr>
        <w:t xml:space="preserve">, Sentencia </w:t>
      </w:r>
      <w:hyperlink w:anchor="SENTENCIA_2008_46" w:history="1">
        <w:r w:rsidRPr="0050129A">
          <w:rPr>
            <w:rStyle w:val="TextoNormalCaracter"/>
          </w:rPr>
          <w:t>46/2008</w:t>
        </w:r>
      </w:hyperlink>
      <w:r w:rsidRPr="0050129A">
        <w:rPr>
          <w:rStyle w:val="TextoNormalCaracter"/>
        </w:rPr>
        <w:t>, f. 3.</w:t>
      </w:r>
    </w:p>
    <w:p w:rsidR="0050129A" w:rsidRPr="0050129A" w:rsidRDefault="0050129A" w:rsidP="0050129A">
      <w:pPr>
        <w:pStyle w:val="TextoNormalSangraFrancesa"/>
        <w:rPr>
          <w:rStyle w:val="TextoNormalCaracter"/>
        </w:rPr>
      </w:pPr>
      <w:bookmarkStart w:id="1154" w:name="DESCRIPTORALFABETICO138"/>
      <w:r w:rsidRPr="0050129A">
        <w:rPr>
          <w:rStyle w:val="TextoNormalNegritaCaracter"/>
        </w:rPr>
        <w:t>Medidas empresariales sin indicios de carácter antisindical</w:t>
      </w:r>
      <w:bookmarkEnd w:id="1154"/>
      <w:r w:rsidRPr="0050129A">
        <w:rPr>
          <w:rStyle w:val="TextoNormalCaracter"/>
        </w:rPr>
        <w:t xml:space="preserve">, Auto </w:t>
      </w:r>
      <w:hyperlink w:anchor="AUTO_2008_30" w:history="1">
        <w:r w:rsidRPr="0050129A">
          <w:rPr>
            <w:rStyle w:val="TextoNormalCaracter"/>
          </w:rPr>
          <w:t>30/2008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Medidas penitenciarias</w:t>
      </w:r>
      <w:r>
        <w:t xml:space="preserve"> véase </w:t>
      </w:r>
      <w:hyperlink w:anchor="DESCRIPTORALFABETICO415" w:history="1">
        <w:r w:rsidRPr="0050129A">
          <w:rPr>
            <w:rStyle w:val="TextoNormalNegritaCaracter"/>
          </w:rPr>
          <w:t>Régimen penitenciario</w:t>
        </w:r>
      </w:hyperlink>
    </w:p>
    <w:p w:rsidR="0050129A" w:rsidRPr="0050129A" w:rsidRDefault="0050129A" w:rsidP="0050129A">
      <w:pPr>
        <w:pStyle w:val="TextoNormalSangraFrancesa"/>
        <w:rPr>
          <w:rStyle w:val="TextoNormalCaracter"/>
        </w:rPr>
      </w:pPr>
      <w:bookmarkStart w:id="1155" w:name="DESCRIPTORALFABETICO403"/>
      <w:r w:rsidRPr="0050129A">
        <w:rPr>
          <w:rStyle w:val="TextoNormalNegritaCaracter"/>
        </w:rPr>
        <w:t>Menores</w:t>
      </w:r>
      <w:bookmarkEnd w:id="1155"/>
      <w:r w:rsidRPr="0050129A">
        <w:rPr>
          <w:rStyle w:val="TextoNormalCaracter"/>
        </w:rPr>
        <w:t xml:space="preserve">, Sentencias </w:t>
      </w:r>
      <w:hyperlink w:anchor="SENTENCIA_2008_11" w:history="1">
        <w:r w:rsidRPr="0050129A">
          <w:rPr>
            <w:rStyle w:val="TextoNormalCaracter"/>
          </w:rPr>
          <w:t>11/2008</w:t>
        </w:r>
      </w:hyperlink>
      <w:r w:rsidRPr="0050129A">
        <w:rPr>
          <w:rStyle w:val="TextoNormalCaracter"/>
        </w:rPr>
        <w:t xml:space="preserve">, ff. 1, 5 a 9; </w:t>
      </w:r>
      <w:hyperlink w:anchor="SENTENCIA_2008_22" w:history="1">
        <w:r w:rsidRPr="0050129A">
          <w:rPr>
            <w:rStyle w:val="TextoNormalCaracter"/>
          </w:rPr>
          <w:t>22/2008</w:t>
        </w:r>
      </w:hyperlink>
      <w:r w:rsidRPr="0050129A">
        <w:rPr>
          <w:rStyle w:val="TextoNormalCaracter"/>
        </w:rPr>
        <w:t xml:space="preserve">, ff. 2, 3, 4, 5, 6, 7, 8; </w:t>
      </w:r>
      <w:hyperlink w:anchor="SENTENCIA_2008_58" w:history="1">
        <w:r w:rsidRPr="0050129A">
          <w:rPr>
            <w:rStyle w:val="TextoNormalCaracter"/>
          </w:rPr>
          <w:t>58/2008</w:t>
        </w:r>
      </w:hyperlink>
      <w:r w:rsidRPr="0050129A">
        <w:rPr>
          <w:rStyle w:val="TextoNormalCaracter"/>
        </w:rPr>
        <w:t>, ff. 2 a 4.</w:t>
      </w:r>
    </w:p>
    <w:p w:rsidR="0050129A" w:rsidRPr="0050129A" w:rsidRDefault="0050129A" w:rsidP="0050129A">
      <w:pPr>
        <w:pStyle w:val="TextoNormalSangraFrancesa"/>
        <w:rPr>
          <w:rStyle w:val="TextoNormalCaracter"/>
        </w:rPr>
      </w:pPr>
      <w:bookmarkStart w:id="1156" w:name="DESCRIPTORALFABETICO290"/>
      <w:r w:rsidRPr="0050129A">
        <w:rPr>
          <w:rStyle w:val="TextoNormalNegritaCaracter"/>
        </w:rPr>
        <w:t>Mesas parlamentarias</w:t>
      </w:r>
      <w:bookmarkEnd w:id="1156"/>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bookmarkStart w:id="1157" w:name="DESCRIPTORALFABETICO89"/>
      <w:r w:rsidRPr="0050129A">
        <w:rPr>
          <w:rStyle w:val="TextoNormalNegritaCaracter"/>
        </w:rPr>
        <w:t>Motivación de las resoluciones judiciales</w:t>
      </w:r>
      <w:bookmarkEnd w:id="1157"/>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 4, VP.</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Sentencias </w:t>
      </w:r>
      <w:hyperlink w:anchor="SENTENCIA_2008_16" w:history="1">
        <w:r w:rsidRPr="0050129A">
          <w:rPr>
            <w:rStyle w:val="TextoNormalCaracter"/>
          </w:rPr>
          <w:t>16/2008</w:t>
        </w:r>
      </w:hyperlink>
      <w:r w:rsidRPr="0050129A">
        <w:rPr>
          <w:rStyle w:val="TextoNormalCaracter"/>
        </w:rPr>
        <w:t xml:space="preserve">, f. 3; </w:t>
      </w:r>
      <w:hyperlink w:anchor="SENTENCIA_2008_34" w:history="1">
        <w:r w:rsidRPr="0050129A">
          <w:rPr>
            <w:rStyle w:val="TextoNormalCaracter"/>
          </w:rPr>
          <w:t>34/2008</w:t>
        </w:r>
      </w:hyperlink>
      <w:r w:rsidRPr="0050129A">
        <w:rPr>
          <w:rStyle w:val="TextoNormalCaracter"/>
        </w:rPr>
        <w:t xml:space="preserve">, ff. 6 a 8; </w:t>
      </w:r>
      <w:hyperlink w:anchor="SENTENCIA_2008_43" w:history="1">
        <w:r w:rsidRPr="0050129A">
          <w:rPr>
            <w:rStyle w:val="TextoNormalCaracter"/>
          </w:rPr>
          <w:t>43/2008</w:t>
        </w:r>
      </w:hyperlink>
      <w:r w:rsidRPr="0050129A">
        <w:rPr>
          <w:rStyle w:val="TextoNormalCaracter"/>
        </w:rPr>
        <w:t>, ff. 4, 5.</w:t>
      </w:r>
    </w:p>
    <w:p w:rsidR="0050129A" w:rsidRPr="0050129A" w:rsidRDefault="0050129A" w:rsidP="0050129A">
      <w:pPr>
        <w:pStyle w:val="TextoNormalSangraFrancesa"/>
        <w:rPr>
          <w:rStyle w:val="TextoNormalCaracter"/>
        </w:rPr>
      </w:pPr>
      <w:bookmarkStart w:id="1158" w:name="DESCRIPTORALFABETICO92"/>
      <w:r w:rsidRPr="0050129A">
        <w:rPr>
          <w:rStyle w:val="TextoNormalNegritaCaracter"/>
        </w:rPr>
        <w:t>Motivación de las resoluciones judiciales por remisión</w:t>
      </w:r>
      <w:bookmarkEnd w:id="1158"/>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 5.</w:t>
      </w:r>
    </w:p>
    <w:p w:rsidR="0050129A" w:rsidRPr="0050129A" w:rsidRDefault="0050129A" w:rsidP="0050129A">
      <w:pPr>
        <w:pStyle w:val="TextoNormalSangraFrancesa"/>
        <w:rPr>
          <w:rStyle w:val="TextoNormalCaracter"/>
        </w:rPr>
      </w:pPr>
      <w:bookmarkStart w:id="1159" w:name="DESCRIPTORALFABETICO94"/>
      <w:r w:rsidRPr="0050129A">
        <w:rPr>
          <w:rStyle w:val="TextoNormalNegritaCaracter"/>
        </w:rPr>
        <w:t>Motivación de las sentencias</w:t>
      </w:r>
      <w:bookmarkEnd w:id="1159"/>
      <w:r w:rsidRPr="0050129A">
        <w:rPr>
          <w:rStyle w:val="TextoNormalCaracter"/>
        </w:rPr>
        <w:t xml:space="preserve">, Sentencias </w:t>
      </w:r>
      <w:hyperlink w:anchor="SENTENCIA_2008_11" w:history="1">
        <w:r w:rsidRPr="0050129A">
          <w:rPr>
            <w:rStyle w:val="TextoNormalCaracter"/>
          </w:rPr>
          <w:t>11/2008</w:t>
        </w:r>
      </w:hyperlink>
      <w:r w:rsidRPr="0050129A">
        <w:rPr>
          <w:rStyle w:val="TextoNormalCaracter"/>
        </w:rPr>
        <w:t xml:space="preserve">, ff. 5 a 9; </w:t>
      </w:r>
      <w:hyperlink w:anchor="SENTENCIA_2008_21" w:history="1">
        <w:r w:rsidRPr="0050129A">
          <w:rPr>
            <w:rStyle w:val="TextoNormalCaracter"/>
          </w:rPr>
          <w:t>21/2008</w:t>
        </w:r>
      </w:hyperlink>
      <w:r w:rsidRPr="0050129A">
        <w:rPr>
          <w:rStyle w:val="TextoNormalCaracter"/>
        </w:rPr>
        <w:t>, ff. 3, 4, 5.</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 </w:t>
      </w:r>
      <w:hyperlink w:anchor="SENTENCIA_2008_19" w:history="1">
        <w:r w:rsidRPr="0050129A">
          <w:rPr>
            <w:rStyle w:val="TextoNormalCaracter"/>
          </w:rPr>
          <w:t>19/2008</w:t>
        </w:r>
      </w:hyperlink>
      <w:r w:rsidRPr="0050129A">
        <w:rPr>
          <w:rStyle w:val="TextoNormalCaracter"/>
        </w:rPr>
        <w:t>, f. 1.</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 </w:t>
      </w:r>
      <w:hyperlink w:anchor="SENTENCIA_2008_21" w:history="1">
        <w:r w:rsidRPr="0050129A">
          <w:rPr>
            <w:rStyle w:val="TextoNormalCaracter"/>
          </w:rPr>
          <w:t>21/2008</w:t>
        </w:r>
      </w:hyperlink>
      <w:r w:rsidRPr="0050129A">
        <w:rPr>
          <w:rStyle w:val="TextoNormalCaracter"/>
        </w:rPr>
        <w:t>, ff. 3 a 5.</w:t>
      </w:r>
    </w:p>
    <w:p w:rsidR="0050129A" w:rsidRPr="0050129A" w:rsidRDefault="0050129A" w:rsidP="0050129A">
      <w:pPr>
        <w:pStyle w:val="TextoNormalSangraFrancesa"/>
        <w:rPr>
          <w:rStyle w:val="TextoNormalCaracter"/>
        </w:rPr>
      </w:pPr>
      <w:bookmarkStart w:id="1160" w:name="DESCRIPTORALFABETICO96"/>
      <w:r w:rsidRPr="0050129A">
        <w:rPr>
          <w:rStyle w:val="TextoNormalNegritaCaracter"/>
        </w:rPr>
        <w:t>Motivación de las sentencias absolutorias</w:t>
      </w:r>
      <w:bookmarkEnd w:id="1160"/>
      <w:r w:rsidRPr="0050129A">
        <w:rPr>
          <w:rStyle w:val="TextoNormalCaracter"/>
        </w:rPr>
        <w:t xml:space="preserve">, Sentencia </w:t>
      </w:r>
      <w:hyperlink w:anchor="SENTENCIA_2008_23" w:history="1">
        <w:r w:rsidRPr="0050129A">
          <w:rPr>
            <w:rStyle w:val="TextoNormalCaracter"/>
          </w:rPr>
          <w:t>23/2008</w:t>
        </w:r>
      </w:hyperlink>
      <w:r w:rsidRPr="0050129A">
        <w:rPr>
          <w:rStyle w:val="TextoNormalCaracter"/>
        </w:rPr>
        <w:t>, f. 3.</w:t>
      </w:r>
    </w:p>
    <w:p w:rsidR="0050129A" w:rsidRPr="0050129A" w:rsidRDefault="0050129A" w:rsidP="0050129A">
      <w:pPr>
        <w:pStyle w:val="TextoNormalSangraFrancesa"/>
        <w:rPr>
          <w:rStyle w:val="TextoNormalCaracter"/>
        </w:rPr>
      </w:pPr>
      <w:bookmarkStart w:id="1161" w:name="DESCRIPTORALFABETICO97"/>
      <w:r w:rsidRPr="0050129A">
        <w:rPr>
          <w:rStyle w:val="TextoNormalNegritaCaracter"/>
        </w:rPr>
        <w:t>Motivación insuficiente de resoluciones judiciales</w:t>
      </w:r>
      <w:bookmarkEnd w:id="1161"/>
      <w:r w:rsidRPr="0050129A">
        <w:rPr>
          <w:rStyle w:val="TextoNormalCaracter"/>
        </w:rPr>
        <w:t xml:space="preserve">, Sentencia </w:t>
      </w:r>
      <w:hyperlink w:anchor="SENTENCIA_2008_27" w:history="1">
        <w:r w:rsidRPr="0050129A">
          <w:rPr>
            <w:rStyle w:val="TextoNormalCaracter"/>
          </w:rPr>
          <w:t>27/2008</w:t>
        </w:r>
      </w:hyperlink>
      <w:r w:rsidRPr="0050129A">
        <w:rPr>
          <w:rStyle w:val="TextoNormalCaracter"/>
        </w:rPr>
        <w:t>, ff. 4 a 6.</w:t>
      </w:r>
    </w:p>
    <w:p w:rsidR="0050129A" w:rsidRPr="0050129A" w:rsidRDefault="0050129A" w:rsidP="0050129A">
      <w:pPr>
        <w:pStyle w:val="TextoNormalSangraFrancesa"/>
        <w:rPr>
          <w:rStyle w:val="TextoNormalCaracter"/>
        </w:rPr>
      </w:pPr>
      <w:bookmarkStart w:id="1162" w:name="DESCRIPTORALFABETICO93"/>
      <w:r w:rsidRPr="0050129A">
        <w:rPr>
          <w:rStyle w:val="TextoNormalNegritaCaracter"/>
        </w:rPr>
        <w:t>Motivación por remisión insuficiente</w:t>
      </w:r>
      <w:bookmarkEnd w:id="1162"/>
      <w:r w:rsidRPr="0050129A">
        <w:rPr>
          <w:rStyle w:val="TextoNormalCaracter"/>
        </w:rPr>
        <w:t xml:space="preserve">, Sentencia </w:t>
      </w:r>
      <w:hyperlink w:anchor="SENTENCIA_2008_27" w:history="1">
        <w:r w:rsidRPr="0050129A">
          <w:rPr>
            <w:rStyle w:val="TextoNormalCaracter"/>
          </w:rPr>
          <w:t>27/2008</w:t>
        </w:r>
      </w:hyperlink>
      <w:r w:rsidRPr="0050129A">
        <w:rPr>
          <w:rStyle w:val="TextoNormalCaracter"/>
        </w:rPr>
        <w:t>, ff. 4 a 6.</w:t>
      </w:r>
    </w:p>
    <w:p w:rsidR="0050129A" w:rsidRPr="0050129A" w:rsidRDefault="0050129A" w:rsidP="0050129A">
      <w:pPr>
        <w:pStyle w:val="TextoNormalSangraFrancesa"/>
        <w:rPr>
          <w:rStyle w:val="TextoNormalCaracter"/>
        </w:rPr>
      </w:pPr>
      <w:bookmarkStart w:id="1163" w:name="DESCRIPTORALFABETICO406"/>
      <w:r w:rsidRPr="0050129A">
        <w:rPr>
          <w:rStyle w:val="TextoNormalNegritaCaracter"/>
        </w:rPr>
        <w:t>Mujer</w:t>
      </w:r>
      <w:bookmarkEnd w:id="1163"/>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2 a 10.</w:t>
      </w:r>
    </w:p>
    <w:p w:rsidR="0050129A" w:rsidRPr="0050129A" w:rsidRDefault="0050129A" w:rsidP="0050129A">
      <w:pPr>
        <w:pStyle w:val="TextoNormalSangraFrancesa"/>
        <w:rPr>
          <w:rStyle w:val="TextoNormalCaracter"/>
        </w:rPr>
      </w:pPr>
      <w:bookmarkStart w:id="1164" w:name="DESCRIPTORALFABETICO395"/>
      <w:r w:rsidRPr="0050129A">
        <w:rPr>
          <w:rStyle w:val="TextoNormalNegritaCaracter"/>
        </w:rPr>
        <w:t>Multa</w:t>
      </w:r>
      <w:bookmarkEnd w:id="1164"/>
      <w:r w:rsidRPr="0050129A">
        <w:rPr>
          <w:rStyle w:val="TextoNormalCaracter"/>
        </w:rPr>
        <w:t xml:space="preserve">, Autos </w:t>
      </w:r>
      <w:hyperlink w:anchor="AUTO_2008_7" w:history="1">
        <w:r w:rsidRPr="0050129A">
          <w:rPr>
            <w:rStyle w:val="TextoNormalCaracter"/>
          </w:rPr>
          <w:t>7/2008</w:t>
        </w:r>
      </w:hyperlink>
      <w:r w:rsidRPr="0050129A">
        <w:rPr>
          <w:rStyle w:val="TextoNormalCaracter"/>
        </w:rPr>
        <w:t xml:space="preserve">; </w:t>
      </w:r>
      <w:hyperlink w:anchor="AUTO_2008_31" w:history="1">
        <w:r w:rsidRPr="0050129A">
          <w:rPr>
            <w:rStyle w:val="TextoNormalCaracter"/>
          </w:rPr>
          <w:t>31/2008</w:t>
        </w:r>
      </w:hyperlink>
      <w:r w:rsidRPr="0050129A">
        <w:rPr>
          <w:rStyle w:val="TextoNormalCaracter"/>
        </w:rPr>
        <w:t xml:space="preserve">; </w:t>
      </w:r>
      <w:hyperlink w:anchor="AUTO_2008_33" w:history="1">
        <w:r w:rsidRPr="0050129A">
          <w:rPr>
            <w:rStyle w:val="TextoNormalCaracter"/>
          </w:rPr>
          <w:t>33/2008</w:t>
        </w:r>
      </w:hyperlink>
      <w:r w:rsidRPr="0050129A">
        <w:rPr>
          <w:rStyle w:val="TextoNormalCaracter"/>
        </w:rPr>
        <w:t xml:space="preserve">; </w:t>
      </w:r>
      <w:hyperlink w:anchor="AUTO_2008_36" w:history="1">
        <w:r w:rsidRPr="0050129A">
          <w:rPr>
            <w:rStyle w:val="TextoNormalCaracter"/>
          </w:rPr>
          <w:t>36/2008</w:t>
        </w:r>
      </w:hyperlink>
      <w:r w:rsidRPr="0050129A">
        <w:rPr>
          <w:rStyle w:val="TextoNormalCaracter"/>
        </w:rPr>
        <w:t xml:space="preserve">; </w:t>
      </w:r>
      <w:hyperlink w:anchor="AUTO_2008_67" w:history="1">
        <w:r w:rsidRPr="0050129A">
          <w:rPr>
            <w:rStyle w:val="TextoNormalCaracter"/>
          </w:rPr>
          <w:t>67/2008</w:t>
        </w:r>
      </w:hyperlink>
      <w:r w:rsidRPr="0050129A">
        <w:rPr>
          <w:rStyle w:val="TextoNormalCaracter"/>
        </w:rPr>
        <w:t xml:space="preserve">; </w:t>
      </w:r>
      <w:hyperlink w:anchor="AUTO_2008_109" w:history="1">
        <w:r w:rsidRPr="0050129A">
          <w:rPr>
            <w:rStyle w:val="TextoNormalCaracter"/>
          </w:rPr>
          <w:t>109/2008</w:t>
        </w:r>
      </w:hyperlink>
      <w:r w:rsidRPr="0050129A">
        <w:rPr>
          <w:rStyle w:val="TextoNormalCaracter"/>
        </w:rPr>
        <w:t>.</w:t>
      </w:r>
    </w:p>
    <w:p w:rsidR="0050129A" w:rsidRPr="0050129A" w:rsidRDefault="0050129A" w:rsidP="0050129A">
      <w:pPr>
        <w:pStyle w:val="TextoNormalSangraFrancesa"/>
        <w:rPr>
          <w:rStyle w:val="TextoNormalCaracter"/>
        </w:rPr>
      </w:pPr>
      <w:bookmarkStart w:id="1165" w:name="DESCRIPTORALFABETICO341"/>
      <w:r w:rsidRPr="0050129A">
        <w:rPr>
          <w:rStyle w:val="TextoNormalNegritaCaracter"/>
        </w:rPr>
        <w:t>Multas administrativas</w:t>
      </w:r>
      <w:bookmarkEnd w:id="1165"/>
      <w:r w:rsidRPr="0050129A">
        <w:rPr>
          <w:rStyle w:val="TextoNormalCaracter"/>
        </w:rPr>
        <w:t xml:space="preserve">, Auto </w:t>
      </w:r>
      <w:hyperlink w:anchor="AUTO_2008_65" w:history="1">
        <w:r w:rsidRPr="0050129A">
          <w:rPr>
            <w:rStyle w:val="TextoNormalCaracter"/>
          </w:rPr>
          <w:t>65/2008</w:t>
        </w:r>
      </w:hyperlink>
      <w:r w:rsidRPr="0050129A">
        <w:rPr>
          <w:rStyle w:val="TextoNormalCaracter"/>
        </w:rPr>
        <w:t>.</w:t>
      </w:r>
    </w:p>
    <w:p w:rsidR="0050129A" w:rsidRPr="0050129A" w:rsidRDefault="0050129A" w:rsidP="0050129A">
      <w:pPr>
        <w:pStyle w:val="TextoNormalSangraFrancesa"/>
        <w:rPr>
          <w:rStyle w:val="TextoNormalCaracter"/>
        </w:rPr>
      </w:pPr>
      <w:bookmarkStart w:id="1166" w:name="DESCRIPTORALFABETICO342"/>
      <w:r w:rsidRPr="0050129A">
        <w:rPr>
          <w:rStyle w:val="TextoNormalNegritaCaracter"/>
        </w:rPr>
        <w:t>Multas de tráfico</w:t>
      </w:r>
      <w:bookmarkEnd w:id="1166"/>
      <w:r w:rsidRPr="0050129A">
        <w:rPr>
          <w:rStyle w:val="TextoNormalCaracter"/>
        </w:rPr>
        <w:t xml:space="preserve">, Sentencias </w:t>
      </w:r>
      <w:hyperlink w:anchor="SENTENCIA_2008_32" w:history="1">
        <w:r w:rsidRPr="0050129A">
          <w:rPr>
            <w:rStyle w:val="TextoNormalCaracter"/>
          </w:rPr>
          <w:t>32/2008</w:t>
        </w:r>
      </w:hyperlink>
      <w:r w:rsidRPr="0050129A">
        <w:rPr>
          <w:rStyle w:val="TextoNormalCaracter"/>
        </w:rPr>
        <w:t xml:space="preserve">, f. 2; </w:t>
      </w:r>
      <w:hyperlink w:anchor="SENTENCIA_2008_40" w:history="1">
        <w:r w:rsidRPr="0050129A">
          <w:rPr>
            <w:rStyle w:val="TextoNormalCaracter"/>
          </w:rPr>
          <w:t>40/2008</w:t>
        </w:r>
      </w:hyperlink>
      <w:r w:rsidRPr="0050129A">
        <w:rPr>
          <w:rStyle w:val="TextoNormalCaracter"/>
        </w:rPr>
        <w:t xml:space="preserve">, f. 5; </w:t>
      </w:r>
      <w:hyperlink w:anchor="SENTENCIA_2008_54" w:history="1">
        <w:r w:rsidRPr="0050129A">
          <w:rPr>
            <w:rStyle w:val="TextoNormalCaracter"/>
          </w:rPr>
          <w:t>54/2008</w:t>
        </w:r>
      </w:hyperlink>
      <w:r w:rsidRPr="0050129A">
        <w:rPr>
          <w:rStyle w:val="TextoNormalCaracter"/>
        </w:rPr>
        <w:t>, f. 6.</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N</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167" w:name="DESCRIPTORALFABETICO322"/>
      <w:r w:rsidRPr="0050129A">
        <w:rPr>
          <w:rStyle w:val="TextoNormalNegritaCaracter"/>
        </w:rPr>
        <w:t>Norma suprema</w:t>
      </w:r>
      <w:bookmarkEnd w:id="1167"/>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8.</w:t>
      </w:r>
    </w:p>
    <w:p w:rsidR="0050129A" w:rsidRPr="0050129A" w:rsidRDefault="0050129A" w:rsidP="0050129A">
      <w:pPr>
        <w:pStyle w:val="TextoNormalSangraFrancesa"/>
        <w:rPr>
          <w:rStyle w:val="TextoNormalCaracter"/>
        </w:rPr>
      </w:pPr>
      <w:bookmarkStart w:id="1168" w:name="DESCRIPTORALFABETICO412"/>
      <w:r w:rsidRPr="0050129A">
        <w:rPr>
          <w:rStyle w:val="TextoNormalNegritaCaracter"/>
        </w:rPr>
        <w:t>Notificación administrativa</w:t>
      </w:r>
      <w:bookmarkEnd w:id="1168"/>
      <w:r w:rsidRPr="0050129A">
        <w:rPr>
          <w:rStyle w:val="TextoNormalCaracter"/>
        </w:rPr>
        <w:t xml:space="preserve">, Sentencia </w:t>
      </w:r>
      <w:hyperlink w:anchor="SENTENCIA_2008_46" w:history="1">
        <w:r w:rsidRPr="0050129A">
          <w:rPr>
            <w:rStyle w:val="TextoNormalCaracter"/>
          </w:rPr>
          <w:t>46/2008</w:t>
        </w:r>
      </w:hyperlink>
      <w:r w:rsidRPr="0050129A">
        <w:rPr>
          <w:rStyle w:val="TextoNormalCaracter"/>
        </w:rPr>
        <w:t>, f. 3.</w:t>
      </w:r>
    </w:p>
    <w:p w:rsidR="0050129A" w:rsidRPr="0050129A" w:rsidRDefault="0050129A" w:rsidP="0050129A">
      <w:pPr>
        <w:pStyle w:val="TextoNormalSangraFrancesa"/>
        <w:rPr>
          <w:rStyle w:val="TextoNormalCaracter"/>
        </w:rPr>
      </w:pPr>
      <w:bookmarkStart w:id="1169" w:name="DESCRIPTORALFABETICO413"/>
      <w:r w:rsidRPr="0050129A">
        <w:rPr>
          <w:rStyle w:val="TextoNormalNegritaCaracter"/>
        </w:rPr>
        <w:t>Notificación al presentador de la declaración tributaria</w:t>
      </w:r>
      <w:bookmarkEnd w:id="1169"/>
      <w:r w:rsidRPr="0050129A">
        <w:rPr>
          <w:rStyle w:val="TextoNormalCaracter"/>
        </w:rPr>
        <w:t xml:space="preserve">, Sentencia </w:t>
      </w:r>
      <w:hyperlink w:anchor="SENTENCIA_2008_46" w:history="1">
        <w:r w:rsidRPr="0050129A">
          <w:rPr>
            <w:rStyle w:val="TextoNormalCaracter"/>
          </w:rPr>
          <w:t>46/2008</w:t>
        </w:r>
      </w:hyperlink>
      <w:r w:rsidRPr="0050129A">
        <w:rPr>
          <w:rStyle w:val="TextoNormalCaracter"/>
        </w:rPr>
        <w:t>, f. 3.</w:t>
      </w:r>
    </w:p>
    <w:p w:rsidR="0050129A" w:rsidRPr="0050129A" w:rsidRDefault="0050129A" w:rsidP="0050129A">
      <w:pPr>
        <w:pStyle w:val="TextoNormalSangraFrancesa"/>
        <w:rPr>
          <w:rStyle w:val="TextoNormalCaracter"/>
        </w:rPr>
      </w:pPr>
      <w:bookmarkStart w:id="1170" w:name="DESCRIPTORALFABETICO548"/>
      <w:r w:rsidRPr="0050129A">
        <w:rPr>
          <w:rStyle w:val="TextoNormalNegritaCaracter"/>
        </w:rPr>
        <w:t>Notificación por el registrador del procedimiento de ejecución</w:t>
      </w:r>
      <w:bookmarkEnd w:id="1170"/>
      <w:r w:rsidRPr="0050129A">
        <w:rPr>
          <w:rStyle w:val="TextoNormalCaracter"/>
        </w:rPr>
        <w:t xml:space="preserve">, Sentencia </w:t>
      </w:r>
      <w:hyperlink w:anchor="SENTENCIA_2008_6" w:history="1">
        <w:r w:rsidRPr="0050129A">
          <w:rPr>
            <w:rStyle w:val="TextoNormalCaracter"/>
          </w:rPr>
          <w:t>6/2008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171" w:name="DESCRIPTORALFABETICO500"/>
      <w:r w:rsidRPr="0050129A">
        <w:rPr>
          <w:rStyle w:val="TextoNormalNegritaCaracter"/>
        </w:rPr>
        <w:t>Nueva valoración de la prueba en segunda instancia</w:t>
      </w:r>
      <w:bookmarkEnd w:id="1171"/>
      <w:r w:rsidRPr="0050129A">
        <w:rPr>
          <w:rStyle w:val="TextoNormalCaracter"/>
        </w:rPr>
        <w:t xml:space="preserve">, Sentencias </w:t>
      </w:r>
      <w:hyperlink w:anchor="SENTENCIA_2008_28" w:history="1">
        <w:r w:rsidRPr="0050129A">
          <w:rPr>
            <w:rStyle w:val="TextoNormalCaracter"/>
          </w:rPr>
          <w:t>28/2008</w:t>
        </w:r>
      </w:hyperlink>
      <w:r w:rsidRPr="0050129A">
        <w:rPr>
          <w:rStyle w:val="TextoNormalCaracter"/>
        </w:rPr>
        <w:t xml:space="preserve">, ff. 2, 3; </w:t>
      </w:r>
      <w:hyperlink w:anchor="SENTENCIA_2008_36" w:history="1">
        <w:r w:rsidRPr="0050129A">
          <w:rPr>
            <w:rStyle w:val="TextoNormalCaracter"/>
          </w:rPr>
          <w:t>36/2008</w:t>
        </w:r>
      </w:hyperlink>
      <w:r w:rsidRPr="0050129A">
        <w:rPr>
          <w:rStyle w:val="TextoNormalCaracter"/>
        </w:rPr>
        <w:t>, f. 5.</w:t>
      </w:r>
    </w:p>
    <w:p w:rsidR="0050129A" w:rsidRPr="0050129A" w:rsidRDefault="0050129A" w:rsidP="0050129A">
      <w:pPr>
        <w:pStyle w:val="TextoNormalSangraFrancesa"/>
        <w:rPr>
          <w:rStyle w:val="TextoNormalCaracter"/>
        </w:rPr>
      </w:pPr>
      <w:bookmarkStart w:id="1172" w:name="DESCRIPTORALFABETICO501"/>
      <w:r w:rsidRPr="0050129A">
        <w:rPr>
          <w:rStyle w:val="TextoNormalNegritaCaracter"/>
        </w:rPr>
        <w:t>Nueva valoración de la prueba personal sin inmediación</w:t>
      </w:r>
      <w:bookmarkEnd w:id="1172"/>
      <w:r w:rsidRPr="0050129A">
        <w:rPr>
          <w:rStyle w:val="TextoNormalCaracter"/>
        </w:rPr>
        <w:t xml:space="preserve">, Sentencia </w:t>
      </w:r>
      <w:hyperlink w:anchor="SENTENCIA_2008_36" w:history="1">
        <w:r w:rsidRPr="0050129A">
          <w:rPr>
            <w:rStyle w:val="TextoNormalCaracter"/>
          </w:rPr>
          <w:t>36/2008</w:t>
        </w:r>
      </w:hyperlink>
      <w:r w:rsidRPr="0050129A">
        <w:rPr>
          <w:rStyle w:val="TextoNormalCaracter"/>
        </w:rPr>
        <w:t>, f. 5.</w:t>
      </w:r>
    </w:p>
    <w:p w:rsidR="0050129A" w:rsidRPr="0050129A" w:rsidRDefault="0050129A" w:rsidP="0050129A">
      <w:pPr>
        <w:pStyle w:val="TextoNormalSangraFrancesa"/>
        <w:rPr>
          <w:rStyle w:val="TextoNormalCaracter"/>
        </w:rPr>
      </w:pPr>
      <w:bookmarkStart w:id="1173" w:name="DESCRIPTORALFABETICO249"/>
      <w:r w:rsidRPr="0050129A">
        <w:rPr>
          <w:rStyle w:val="TextoNormalNegritaCaracter"/>
        </w:rPr>
        <w:t>Nulidad de Auto de prisión provisional</w:t>
      </w:r>
      <w:bookmarkEnd w:id="1173"/>
      <w:r w:rsidRPr="0050129A">
        <w:rPr>
          <w:rStyle w:val="TextoNormalCaracter"/>
        </w:rPr>
        <w:t xml:space="preserve">, Sentencia </w:t>
      </w:r>
      <w:hyperlink w:anchor="SENTENCIA_2008_27" w:history="1">
        <w:r w:rsidRPr="0050129A">
          <w:rPr>
            <w:rStyle w:val="TextoNormalCaracter"/>
          </w:rPr>
          <w:t>27/2008</w:t>
        </w:r>
      </w:hyperlink>
      <w:r w:rsidRPr="0050129A">
        <w:rPr>
          <w:rStyle w:val="TextoNormalCaracter"/>
        </w:rPr>
        <w:t>, f. 7.</w:t>
      </w:r>
    </w:p>
    <w:p w:rsidR="0050129A" w:rsidRPr="0050129A" w:rsidRDefault="0050129A" w:rsidP="0050129A">
      <w:pPr>
        <w:pStyle w:val="TextoNormalSangraFrancesa"/>
        <w:rPr>
          <w:rStyle w:val="TextoNormalCaracter"/>
        </w:rPr>
      </w:pPr>
      <w:bookmarkStart w:id="1174" w:name="DESCRIPTORALFABETICO180"/>
      <w:r w:rsidRPr="0050129A">
        <w:rPr>
          <w:rStyle w:val="TextoNormalNegritaCaracter"/>
          <w:i/>
        </w:rPr>
        <w:t>Numerus clausus</w:t>
      </w:r>
      <w:r w:rsidRPr="0050129A">
        <w:rPr>
          <w:rStyle w:val="TextoNormalNegritaCaracter"/>
        </w:rPr>
        <w:t xml:space="preserve"> de causas de abstención y recusación</w:t>
      </w:r>
      <w:bookmarkEnd w:id="1174"/>
      <w:r w:rsidRPr="0050129A">
        <w:rPr>
          <w:rStyle w:val="TextoNormalCaracter"/>
        </w:rPr>
        <w:t xml:space="preserve">, Auto </w:t>
      </w:r>
      <w:hyperlink w:anchor="AUTO_2008_81" w:history="1">
        <w:r w:rsidRPr="0050129A">
          <w:rPr>
            <w:rStyle w:val="TextoNormalCaracter"/>
          </w:rPr>
          <w:t>81/2008</w:t>
        </w:r>
      </w:hyperlink>
      <w:r w:rsidRPr="0050129A">
        <w:rPr>
          <w:rStyle w:val="TextoNormalCaracter"/>
        </w:rPr>
        <w:t>.</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lastRenderedPageBreak/>
        <w:t>O</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175" w:name="DESCRIPTORALFABETICO7"/>
      <w:r w:rsidRPr="0050129A">
        <w:rPr>
          <w:rStyle w:val="TextoNormalNegritaCaracter"/>
        </w:rPr>
        <w:t>Obligados tributarios</w:t>
      </w:r>
      <w:bookmarkEnd w:id="1175"/>
      <w:r w:rsidRPr="0050129A">
        <w:rPr>
          <w:rStyle w:val="TextoNormalCaracter"/>
        </w:rPr>
        <w:t xml:space="preserve">, Sentencia </w:t>
      </w:r>
      <w:hyperlink w:anchor="SENTENCIA_2008_46" w:history="1">
        <w:r w:rsidRPr="0050129A">
          <w:rPr>
            <w:rStyle w:val="TextoNormalCaracter"/>
          </w:rPr>
          <w:t>46/2008</w:t>
        </w:r>
      </w:hyperlink>
      <w:r w:rsidRPr="0050129A">
        <w:rPr>
          <w:rStyle w:val="TextoNormalCaracter"/>
        </w:rPr>
        <w:t>, f. 3.</w:t>
      </w:r>
    </w:p>
    <w:p w:rsidR="0050129A" w:rsidRPr="0050129A" w:rsidRDefault="0050129A" w:rsidP="0050129A">
      <w:pPr>
        <w:pStyle w:val="TextoNormalSangraFrancesa"/>
        <w:rPr>
          <w:rStyle w:val="TextoNormalCaracter"/>
        </w:rPr>
      </w:pPr>
      <w:bookmarkStart w:id="1176" w:name="DESCRIPTORALFABETICO33"/>
      <w:r w:rsidRPr="0050129A">
        <w:rPr>
          <w:rStyle w:val="TextoNormalNegritaCaracter"/>
        </w:rPr>
        <w:t>Obras literarias</w:t>
      </w:r>
      <w:bookmarkEnd w:id="1176"/>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ff. 4  a 7.</w:t>
      </w:r>
    </w:p>
    <w:p w:rsidR="0050129A" w:rsidRPr="0050129A" w:rsidRDefault="0050129A" w:rsidP="0050129A">
      <w:pPr>
        <w:pStyle w:val="TextoNormalSangraFrancesa"/>
        <w:rPr>
          <w:rStyle w:val="TextoNormalCaracter"/>
        </w:rPr>
      </w:pPr>
      <w:bookmarkStart w:id="1177" w:name="DESCRIPTORALFABETICO541"/>
      <w:r w:rsidRPr="0050129A">
        <w:rPr>
          <w:rStyle w:val="TextoNormalNegritaCaracter"/>
        </w:rPr>
        <w:t>Omisión de pronunciamiento</w:t>
      </w:r>
      <w:bookmarkEnd w:id="1177"/>
      <w:r w:rsidRPr="0050129A">
        <w:rPr>
          <w:rStyle w:val="TextoNormalCaracter"/>
        </w:rPr>
        <w:t xml:space="preserve">, Sentencia </w:t>
      </w:r>
      <w:hyperlink w:anchor="SENTENCIA_2008_45" w:history="1">
        <w:r w:rsidRPr="0050129A">
          <w:rPr>
            <w:rStyle w:val="TextoNormalCaracter"/>
          </w:rPr>
          <w:t>45/2008</w:t>
        </w:r>
      </w:hyperlink>
      <w:r w:rsidRPr="0050129A">
        <w:rPr>
          <w:rStyle w:val="TextoNormalCaracter"/>
        </w:rPr>
        <w:t>, f. 3.</w:t>
      </w:r>
    </w:p>
    <w:p w:rsidR="0050129A" w:rsidRPr="0050129A" w:rsidRDefault="0050129A" w:rsidP="0050129A">
      <w:pPr>
        <w:pStyle w:val="TextoNormalSangraFrancesa"/>
        <w:rPr>
          <w:rStyle w:val="TextoNormalCaracter"/>
        </w:rPr>
      </w:pPr>
      <w:bookmarkStart w:id="1178" w:name="DESCRIPTORALFABETICO486"/>
      <w:r w:rsidRPr="0050129A">
        <w:rPr>
          <w:rStyle w:val="TextoNormalNegritaCaracter"/>
        </w:rPr>
        <w:t>Omisión de trámite de audiencia</w:t>
      </w:r>
      <w:bookmarkEnd w:id="1178"/>
      <w:r w:rsidRPr="0050129A">
        <w:rPr>
          <w:rStyle w:val="TextoNormalCaracter"/>
        </w:rPr>
        <w:t xml:space="preserve">, Sentencia </w:t>
      </w:r>
      <w:hyperlink w:anchor="SENTENCIA_2008_22" w:history="1">
        <w:r w:rsidRPr="0050129A">
          <w:rPr>
            <w:rStyle w:val="TextoNormalCaracter"/>
          </w:rPr>
          <w:t>22/2008</w:t>
        </w:r>
      </w:hyperlink>
      <w:r w:rsidRPr="0050129A">
        <w:rPr>
          <w:rStyle w:val="TextoNormalCaracter"/>
        </w:rPr>
        <w:t>, f. 7.</w:t>
      </w:r>
    </w:p>
    <w:p w:rsidR="0050129A" w:rsidRPr="0050129A" w:rsidRDefault="0050129A" w:rsidP="0050129A">
      <w:pPr>
        <w:pStyle w:val="TextoNormalSangraFrancesa"/>
        <w:rPr>
          <w:rStyle w:val="TextoNormalNegritaCaracter"/>
        </w:rPr>
      </w:pPr>
      <w:r w:rsidRPr="0050129A">
        <w:rPr>
          <w:rStyle w:val="TextoNormalCursivaCaracter"/>
        </w:rPr>
        <w:t>Onus probandi</w:t>
      </w:r>
      <w:r>
        <w:t xml:space="preserve"> véase </w:t>
      </w:r>
      <w:hyperlink w:anchor="DESCRIPTORALFABETICO488" w:history="1">
        <w:r w:rsidRPr="0050129A">
          <w:rPr>
            <w:rStyle w:val="TextoNormalNegritaCaracter"/>
          </w:rPr>
          <w:t>Carga de la prueba</w:t>
        </w:r>
      </w:hyperlink>
    </w:p>
    <w:p w:rsidR="0050129A" w:rsidRPr="0050129A" w:rsidRDefault="0050129A" w:rsidP="0050129A">
      <w:pPr>
        <w:pStyle w:val="TextoNormalSangraFrancesa"/>
        <w:rPr>
          <w:rStyle w:val="TextoNormalCaracter"/>
        </w:rPr>
      </w:pPr>
      <w:bookmarkStart w:id="1179" w:name="DESCRIPTORALFABETICO329"/>
      <w:r w:rsidRPr="0050129A">
        <w:rPr>
          <w:rStyle w:val="TextoNormalNegritaCaracter"/>
        </w:rPr>
        <w:t>Opciones políticas</w:t>
      </w:r>
      <w:bookmarkEnd w:id="1179"/>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5, 12.</w:t>
      </w:r>
    </w:p>
    <w:p w:rsidR="0050129A" w:rsidRPr="0050129A" w:rsidRDefault="0050129A" w:rsidP="0050129A">
      <w:pPr>
        <w:pStyle w:val="TextoNormalSangraFrancesa"/>
        <w:rPr>
          <w:rStyle w:val="TextoNormalCaracter"/>
        </w:rPr>
      </w:pPr>
      <w:bookmarkStart w:id="1180" w:name="DESCRIPTORALFABETICO223"/>
      <w:r w:rsidRPr="0050129A">
        <w:rPr>
          <w:rStyle w:val="TextoNormalNegritaCaracter"/>
        </w:rPr>
        <w:t>Orden de análisis del recurso de amparo</w:t>
      </w:r>
      <w:bookmarkEnd w:id="1180"/>
      <w:r w:rsidRPr="0050129A">
        <w:rPr>
          <w:rStyle w:val="TextoNormalCaracter"/>
        </w:rPr>
        <w:t xml:space="preserve">, Sentencia </w:t>
      </w:r>
      <w:hyperlink w:anchor="SENTENCIA_2008_16" w:history="1">
        <w:r w:rsidRPr="0050129A">
          <w:rPr>
            <w:rStyle w:val="TextoNormalCaracter"/>
          </w:rPr>
          <w:t>16/2008</w:t>
        </w:r>
      </w:hyperlink>
      <w:r w:rsidRPr="0050129A">
        <w:rPr>
          <w:rStyle w:val="TextoNormalCaracter"/>
        </w:rPr>
        <w:t>, f. 2.</w:t>
      </w:r>
    </w:p>
    <w:p w:rsidR="0050129A" w:rsidRPr="0050129A" w:rsidRDefault="0050129A" w:rsidP="0050129A">
      <w:pPr>
        <w:pStyle w:val="TextoNormalSangraFrancesa"/>
        <w:rPr>
          <w:rStyle w:val="TextoNormalCaracter"/>
        </w:rPr>
      </w:pPr>
      <w:bookmarkStart w:id="1181" w:name="DESCRIPTORALFABETICO209"/>
      <w:r w:rsidRPr="0050129A">
        <w:rPr>
          <w:rStyle w:val="TextoNormalNegritaCaracter"/>
        </w:rPr>
        <w:t>Orden de análisis del recurso de inconstitucionalidad</w:t>
      </w:r>
      <w:bookmarkEnd w:id="1181"/>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1.</w:t>
      </w:r>
    </w:p>
    <w:p w:rsidR="0050129A" w:rsidRPr="0050129A" w:rsidRDefault="0050129A" w:rsidP="0050129A">
      <w:pPr>
        <w:pStyle w:val="TextoNormalSangraFrancesa"/>
        <w:rPr>
          <w:rStyle w:val="TextoNormalCaracter"/>
        </w:rPr>
      </w:pPr>
      <w:bookmarkStart w:id="1182" w:name="DESCRIPTORALFABETICO275"/>
      <w:r w:rsidRPr="0050129A">
        <w:rPr>
          <w:rStyle w:val="TextoNormalNegritaCaracter"/>
        </w:rPr>
        <w:t>Órganos judiciales</w:t>
      </w:r>
      <w:bookmarkEnd w:id="1182"/>
      <w:r w:rsidRPr="0050129A">
        <w:rPr>
          <w:rStyle w:val="TextoNormalCaracter"/>
        </w:rPr>
        <w:t xml:space="preserve">, Sentencia </w:t>
      </w:r>
      <w:hyperlink w:anchor="SENTENCIA_2008_16" w:history="1">
        <w:r w:rsidRPr="0050129A">
          <w:rPr>
            <w:rStyle w:val="TextoNormalCaracter"/>
          </w:rPr>
          <w:t>16/2008</w:t>
        </w:r>
      </w:hyperlink>
      <w:r w:rsidRPr="0050129A">
        <w:rPr>
          <w:rStyle w:val="TextoNormalCaracter"/>
        </w:rPr>
        <w:t>, ff. 1, 2, 3, 4.</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P</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183" w:name="DESCRIPTORALFABETICO432"/>
      <w:r w:rsidRPr="0050129A">
        <w:rPr>
          <w:rStyle w:val="TextoNormalNegritaCaracter"/>
        </w:rPr>
        <w:t>Pago de salarios adeudados</w:t>
      </w:r>
      <w:bookmarkEnd w:id="1183"/>
      <w:r w:rsidRPr="0050129A">
        <w:rPr>
          <w:rStyle w:val="TextoNormalCaracter"/>
        </w:rPr>
        <w:t xml:space="preserve">, Auto </w:t>
      </w:r>
      <w:hyperlink w:anchor="AUTO_2008_18" w:history="1">
        <w:r w:rsidRPr="0050129A">
          <w:rPr>
            <w:rStyle w:val="TextoNormalCaracter"/>
          </w:rPr>
          <w:t>18/2008</w:t>
        </w:r>
      </w:hyperlink>
      <w:r w:rsidRPr="0050129A">
        <w:rPr>
          <w:rStyle w:val="TextoNormalCaracter"/>
        </w:rPr>
        <w:t>.</w:t>
      </w:r>
    </w:p>
    <w:p w:rsidR="0050129A" w:rsidRPr="0050129A" w:rsidRDefault="0050129A" w:rsidP="0050129A">
      <w:pPr>
        <w:pStyle w:val="TextoNormalSangraFrancesa"/>
        <w:rPr>
          <w:rStyle w:val="TextoNormalCaracter"/>
        </w:rPr>
      </w:pPr>
      <w:bookmarkStart w:id="1184" w:name="DESCRIPTORALFABETICO594"/>
      <w:r w:rsidRPr="0050129A">
        <w:rPr>
          <w:rStyle w:val="TextoNormalNegritaCaracter"/>
        </w:rPr>
        <w:t>País Vasco</w:t>
      </w:r>
      <w:bookmarkEnd w:id="1184"/>
      <w:r w:rsidRPr="0050129A">
        <w:rPr>
          <w:rStyle w:val="TextoNormalCaracter"/>
        </w:rPr>
        <w:t xml:space="preserve">, Sentencia </w:t>
      </w:r>
      <w:hyperlink w:anchor="SENTENCIA_2008_26" w:history="1">
        <w:r w:rsidRPr="0050129A">
          <w:rPr>
            <w:rStyle w:val="TextoNormalCaracter"/>
          </w:rPr>
          <w:t>26/2008</w:t>
        </w:r>
      </w:hyperlink>
      <w:r w:rsidRPr="0050129A">
        <w:rPr>
          <w:rStyle w:val="TextoNormalCaracter"/>
        </w:rPr>
        <w:t>, ff. 1, 2, 3, 4, 5, 6, 7, 8, 9, 10, 11.</w:t>
      </w:r>
    </w:p>
    <w:p w:rsidR="0050129A" w:rsidRPr="0050129A" w:rsidRDefault="0050129A" w:rsidP="0050129A">
      <w:pPr>
        <w:pStyle w:val="TextoNormalSangraFrancesa"/>
        <w:rPr>
          <w:rStyle w:val="TextoNormalCaracter"/>
        </w:rPr>
      </w:pPr>
      <w:bookmarkStart w:id="1185" w:name="DESCRIPTORALFABETICO339"/>
      <w:r w:rsidRPr="0050129A">
        <w:rPr>
          <w:rStyle w:val="TextoNormalNegritaCaracter"/>
        </w:rPr>
        <w:t>Paralización de obras de construcción</w:t>
      </w:r>
      <w:bookmarkEnd w:id="1185"/>
      <w:r w:rsidRPr="0050129A">
        <w:rPr>
          <w:rStyle w:val="TextoNormalCaracter"/>
        </w:rPr>
        <w:t xml:space="preserve">, Auto </w:t>
      </w:r>
      <w:hyperlink w:anchor="AUTO_2008_39" w:history="1">
        <w:r w:rsidRPr="0050129A">
          <w:rPr>
            <w:rStyle w:val="TextoNormalCaracter"/>
          </w:rPr>
          <w:t>39/2008</w:t>
        </w:r>
      </w:hyperlink>
      <w:r w:rsidRPr="0050129A">
        <w:rPr>
          <w:rStyle w:val="TextoNormalCaracter"/>
        </w:rPr>
        <w:t>.</w:t>
      </w:r>
    </w:p>
    <w:p w:rsidR="0050129A" w:rsidRPr="0050129A" w:rsidRDefault="0050129A" w:rsidP="0050129A">
      <w:pPr>
        <w:pStyle w:val="TextoNormalSangraFrancesa"/>
        <w:rPr>
          <w:rStyle w:val="TextoNormalCaracter"/>
        </w:rPr>
      </w:pPr>
      <w:bookmarkStart w:id="1186" w:name="DESCRIPTORALFABETICO107"/>
      <w:r w:rsidRPr="0050129A">
        <w:rPr>
          <w:rStyle w:val="TextoNormalNegritaCaracter"/>
        </w:rPr>
        <w:t>Paridad de sexos</w:t>
      </w:r>
      <w:bookmarkEnd w:id="1186"/>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2 a 10.</w:t>
      </w:r>
    </w:p>
    <w:p w:rsidR="0050129A" w:rsidRPr="0050129A" w:rsidRDefault="0050129A" w:rsidP="0050129A">
      <w:pPr>
        <w:pStyle w:val="TextoNormalSangraFrancesa"/>
        <w:rPr>
          <w:rStyle w:val="TextoNormalNegritaCaracter"/>
        </w:rPr>
      </w:pPr>
      <w:r w:rsidRPr="0050129A">
        <w:rPr>
          <w:rStyle w:val="TextoNormalCursivaCaracter"/>
        </w:rPr>
        <w:t>Parlamentarios autonómicos</w:t>
      </w:r>
      <w:r>
        <w:t xml:space="preserve"> véase </w:t>
      </w:r>
      <w:hyperlink w:anchor="DESCRIPTORALFABETICO292" w:history="1">
        <w:r w:rsidRPr="0050129A">
          <w:rPr>
            <w:rStyle w:val="TextoNormalNegritaCaracter"/>
          </w:rPr>
          <w:t>Diputados autonómicos</w:t>
        </w:r>
      </w:hyperlink>
    </w:p>
    <w:p w:rsidR="0050129A" w:rsidRPr="0050129A" w:rsidRDefault="0050129A" w:rsidP="0050129A">
      <w:pPr>
        <w:pStyle w:val="TextoNormalSangraFrancesa"/>
        <w:rPr>
          <w:rStyle w:val="TextoNormalCaracter"/>
        </w:rPr>
      </w:pPr>
      <w:bookmarkStart w:id="1187" w:name="DESCRIPTORALFABETICO296"/>
      <w:r w:rsidRPr="0050129A">
        <w:rPr>
          <w:rStyle w:val="TextoNormalNegritaCaracter"/>
        </w:rPr>
        <w:t>Parlamento Vasco</w:t>
      </w:r>
      <w:bookmarkEnd w:id="1187"/>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bookmarkStart w:id="1188" w:name="DESCRIPTORALFABETICO299"/>
      <w:r w:rsidRPr="0050129A">
        <w:rPr>
          <w:rStyle w:val="TextoNormalNegritaCaracter"/>
        </w:rPr>
        <w:t>Participación de las asambleas legislativas de las Comunidades Autónomas</w:t>
      </w:r>
      <w:bookmarkEnd w:id="1188"/>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15, VP I, VP II, VP III.</w:t>
      </w:r>
    </w:p>
    <w:p w:rsidR="0050129A" w:rsidRPr="0050129A" w:rsidRDefault="0050129A" w:rsidP="0050129A">
      <w:pPr>
        <w:pStyle w:val="TextoNormalSangraFrancesa"/>
        <w:rPr>
          <w:rStyle w:val="TextoNormalCaracter"/>
        </w:rPr>
      </w:pPr>
      <w:bookmarkStart w:id="1189" w:name="DESCRIPTORALFABETICO287"/>
      <w:r w:rsidRPr="0050129A">
        <w:rPr>
          <w:rStyle w:val="TextoNormalNegritaCaracter"/>
        </w:rPr>
        <w:t>Participación de los grupos parlamentarios</w:t>
      </w:r>
      <w:bookmarkEnd w:id="1189"/>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ff. 2 a 7.</w:t>
      </w:r>
    </w:p>
    <w:p w:rsidR="0050129A" w:rsidRPr="0050129A" w:rsidRDefault="0050129A" w:rsidP="0050129A">
      <w:pPr>
        <w:pStyle w:val="TextoNormalSangraFrancesa"/>
        <w:rPr>
          <w:rStyle w:val="TextoNormalCaracter"/>
        </w:rPr>
      </w:pPr>
      <w:bookmarkStart w:id="1190" w:name="DESCRIPTORALFABETICO449"/>
      <w:r w:rsidRPr="0050129A">
        <w:rPr>
          <w:rStyle w:val="TextoNormalNegritaCaracter"/>
        </w:rPr>
        <w:t>Participación en el asunto objeto del proceso</w:t>
      </w:r>
      <w:bookmarkEnd w:id="1190"/>
      <w:r w:rsidRPr="0050129A">
        <w:rPr>
          <w:rStyle w:val="TextoNormalCaracter"/>
        </w:rPr>
        <w:t xml:space="preserve">, Auto </w:t>
      </w:r>
      <w:hyperlink w:anchor="AUTO_2008_81" w:history="1">
        <w:r w:rsidRPr="0050129A">
          <w:rPr>
            <w:rStyle w:val="TextoNormalCaracter"/>
          </w:rPr>
          <w:t>81/2008</w:t>
        </w:r>
      </w:hyperlink>
      <w:r w:rsidRPr="0050129A">
        <w:rPr>
          <w:rStyle w:val="TextoNormalCaracter"/>
        </w:rPr>
        <w:t>.</w:t>
      </w:r>
    </w:p>
    <w:p w:rsidR="0050129A" w:rsidRPr="0050129A" w:rsidRDefault="0050129A" w:rsidP="0050129A">
      <w:pPr>
        <w:pStyle w:val="TextoNormalSangraFrancesa"/>
        <w:rPr>
          <w:rStyle w:val="TextoNormalCaracter"/>
        </w:rPr>
      </w:pPr>
      <w:bookmarkStart w:id="1191" w:name="DESCRIPTORALFABETICO61"/>
      <w:r w:rsidRPr="0050129A">
        <w:rPr>
          <w:rStyle w:val="TextoNormalNegritaCaracter"/>
        </w:rPr>
        <w:t>Participación política</w:t>
      </w:r>
      <w:bookmarkEnd w:id="1191"/>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2 a 10.</w:t>
      </w:r>
    </w:p>
    <w:p w:rsidR="0050129A" w:rsidRPr="0050129A" w:rsidRDefault="0050129A" w:rsidP="0050129A">
      <w:pPr>
        <w:pStyle w:val="TextoNormalSangraFrancesa"/>
        <w:rPr>
          <w:rStyle w:val="TextoNormalCaracter"/>
        </w:rPr>
      </w:pPr>
      <w:bookmarkStart w:id="1192" w:name="DESCRIPTORALFABETICO268"/>
      <w:r w:rsidRPr="0050129A">
        <w:rPr>
          <w:rStyle w:val="TextoNormalNegritaCaracter"/>
        </w:rPr>
        <w:t>Partidos políticos</w:t>
      </w:r>
      <w:bookmarkEnd w:id="1192"/>
      <w:r w:rsidRPr="0050129A">
        <w:rPr>
          <w:rStyle w:val="TextoNormalCaracter"/>
        </w:rPr>
        <w:t xml:space="preserve">, Sentencias </w:t>
      </w:r>
      <w:hyperlink w:anchor="SENTENCIA_2008_12" w:history="1">
        <w:r w:rsidRPr="0050129A">
          <w:rPr>
            <w:rStyle w:val="TextoNormalCaracter"/>
          </w:rPr>
          <w:t>12/2008</w:t>
        </w:r>
      </w:hyperlink>
      <w:r w:rsidRPr="0050129A">
        <w:rPr>
          <w:rStyle w:val="TextoNormalCaracter"/>
        </w:rPr>
        <w:t xml:space="preserve">, ff. 5, 6, VP;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Pena accesoria de suspensión del derecho de sufragio</w:t>
      </w:r>
      <w:r>
        <w:t xml:space="preserve"> véase </w:t>
      </w:r>
      <w:hyperlink w:anchor="DESCRIPTORALFABETICO392" w:history="1">
        <w:r w:rsidRPr="0050129A">
          <w:rPr>
            <w:rStyle w:val="TextoNormalNegritaCaracter"/>
          </w:rPr>
          <w:t>Inhabilitación especial para el derecho de sufragio</w:t>
        </w:r>
      </w:hyperlink>
    </w:p>
    <w:p w:rsidR="0050129A" w:rsidRPr="0050129A" w:rsidRDefault="0050129A" w:rsidP="0050129A">
      <w:pPr>
        <w:pStyle w:val="TextoNormalSangraFrancesa"/>
        <w:rPr>
          <w:rStyle w:val="TextoNormalCaracter"/>
        </w:rPr>
      </w:pPr>
      <w:bookmarkStart w:id="1193" w:name="DESCRIPTORALFABETICO390"/>
      <w:r w:rsidRPr="0050129A">
        <w:rPr>
          <w:rStyle w:val="TextoNormalNegritaCaracter"/>
        </w:rPr>
        <w:t>Pena de alejamiento</w:t>
      </w:r>
      <w:bookmarkEnd w:id="1193"/>
      <w:r w:rsidRPr="0050129A">
        <w:rPr>
          <w:rStyle w:val="TextoNormalCaracter"/>
        </w:rPr>
        <w:t xml:space="preserve">, Auto </w:t>
      </w:r>
      <w:hyperlink w:anchor="AUTO_2008_16" w:history="1">
        <w:r w:rsidRPr="0050129A">
          <w:rPr>
            <w:rStyle w:val="TextoNormalCaracter"/>
          </w:rPr>
          <w:t>16/2008</w:t>
        </w:r>
      </w:hyperlink>
      <w:r w:rsidRPr="0050129A">
        <w:rPr>
          <w:rStyle w:val="TextoNormalCaracter"/>
        </w:rPr>
        <w:t>.</w:t>
      </w:r>
    </w:p>
    <w:p w:rsidR="0050129A" w:rsidRPr="0050129A" w:rsidRDefault="0050129A" w:rsidP="0050129A">
      <w:pPr>
        <w:pStyle w:val="TextoNormalSangraFrancesa"/>
        <w:rPr>
          <w:rStyle w:val="TextoNormalCaracter"/>
        </w:rPr>
      </w:pPr>
      <w:bookmarkStart w:id="1194" w:name="DESCRIPTORALFABETICO236"/>
      <w:r w:rsidRPr="0050129A">
        <w:rPr>
          <w:rStyle w:val="TextoNormalNegritaCaracter"/>
        </w:rPr>
        <w:t>Pendencia de recursos judiciales</w:t>
      </w:r>
      <w:bookmarkEnd w:id="1194"/>
      <w:r w:rsidRPr="0050129A">
        <w:rPr>
          <w:rStyle w:val="TextoNormalCaracter"/>
        </w:rPr>
        <w:t xml:space="preserve">, Autos </w:t>
      </w:r>
      <w:hyperlink w:anchor="AUTO_2008_38" w:history="1">
        <w:r w:rsidRPr="0050129A">
          <w:rPr>
            <w:rStyle w:val="TextoNormalCaracter"/>
          </w:rPr>
          <w:t>38/2008</w:t>
        </w:r>
      </w:hyperlink>
      <w:r w:rsidRPr="0050129A">
        <w:rPr>
          <w:rStyle w:val="TextoNormalCaracter"/>
        </w:rPr>
        <w:t xml:space="preserve">; </w:t>
      </w:r>
      <w:hyperlink w:anchor="AUTO_2008_48" w:history="1">
        <w:r w:rsidRPr="0050129A">
          <w:rPr>
            <w:rStyle w:val="TextoNormalCaracter"/>
          </w:rPr>
          <w:t>48/2008</w:t>
        </w:r>
      </w:hyperlink>
      <w:r w:rsidRPr="0050129A">
        <w:rPr>
          <w:rStyle w:val="TextoNormalCaracter"/>
        </w:rPr>
        <w:t xml:space="preserve">; </w:t>
      </w:r>
      <w:hyperlink w:anchor="AUTO_2008_84" w:history="1">
        <w:r w:rsidRPr="0050129A">
          <w:rPr>
            <w:rStyle w:val="TextoNormalCaracter"/>
          </w:rPr>
          <w:t>84/2008</w:t>
        </w:r>
      </w:hyperlink>
      <w:r w:rsidRPr="0050129A">
        <w:rPr>
          <w:rStyle w:val="TextoNormalCaracter"/>
        </w:rPr>
        <w:t>.</w:t>
      </w:r>
    </w:p>
    <w:p w:rsidR="0050129A" w:rsidRPr="0050129A" w:rsidRDefault="0050129A" w:rsidP="0050129A">
      <w:pPr>
        <w:pStyle w:val="TextoNormalSangraFrancesa"/>
        <w:rPr>
          <w:rStyle w:val="TextoNormalCaracter"/>
        </w:rPr>
      </w:pPr>
      <w:bookmarkStart w:id="1195" w:name="DESCRIPTORALFABETICO163"/>
      <w:r w:rsidRPr="0050129A">
        <w:rPr>
          <w:rStyle w:val="TextoNormalNegritaCaracter"/>
        </w:rPr>
        <w:t>Pérdida sobrevenida de objeto del incidente de suspensión cautelar</w:t>
      </w:r>
      <w:bookmarkEnd w:id="1195"/>
      <w:r w:rsidRPr="0050129A">
        <w:rPr>
          <w:rStyle w:val="TextoNormalCaracter"/>
        </w:rPr>
        <w:t xml:space="preserve">, Auto </w:t>
      </w:r>
      <w:hyperlink w:anchor="AUTO_2008_110" w:history="1">
        <w:r w:rsidRPr="0050129A">
          <w:rPr>
            <w:rStyle w:val="TextoNormalCaracter"/>
          </w:rPr>
          <w:t>110/2008</w:t>
        </w:r>
      </w:hyperlink>
      <w:r w:rsidRPr="0050129A">
        <w:rPr>
          <w:rStyle w:val="TextoNormalCaracter"/>
        </w:rPr>
        <w:t>.</w:t>
      </w:r>
    </w:p>
    <w:p w:rsidR="0050129A" w:rsidRPr="0050129A" w:rsidRDefault="0050129A" w:rsidP="0050129A">
      <w:pPr>
        <w:pStyle w:val="TextoNormalSangraFrancesa"/>
        <w:rPr>
          <w:rStyle w:val="TextoNormalCaracter"/>
        </w:rPr>
      </w:pPr>
      <w:bookmarkStart w:id="1196" w:name="DESCRIPTORALFABETICO222"/>
      <w:r w:rsidRPr="0050129A">
        <w:rPr>
          <w:rStyle w:val="TextoNormalNegritaCaracter"/>
        </w:rPr>
        <w:t>Pérdida sobrevenida de objeto del recurso de amparo</w:t>
      </w:r>
      <w:bookmarkEnd w:id="1196"/>
      <w:r w:rsidRPr="0050129A">
        <w:rPr>
          <w:rStyle w:val="TextoNormalCaracter"/>
        </w:rPr>
        <w:t xml:space="preserve">, Sentencia </w:t>
      </w:r>
      <w:hyperlink w:anchor="SENTENCIA_2008_53" w:history="1">
        <w:r w:rsidRPr="0050129A">
          <w:rPr>
            <w:rStyle w:val="TextoNormalCaracter"/>
          </w:rPr>
          <w:t>53/2008</w:t>
        </w:r>
      </w:hyperlink>
      <w:r w:rsidRPr="0050129A">
        <w:rPr>
          <w:rStyle w:val="TextoNormalCaracter"/>
        </w:rPr>
        <w:t>, f. único.</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87" w:history="1">
        <w:r w:rsidRPr="0050129A">
          <w:rPr>
            <w:rStyle w:val="TextoNormalCaracter"/>
          </w:rPr>
          <w:t>87/2008</w:t>
        </w:r>
      </w:hyperlink>
      <w:r w:rsidRPr="0050129A">
        <w:rPr>
          <w:rStyle w:val="TextoNormalCaracter"/>
        </w:rPr>
        <w:t xml:space="preserve">;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197" w:name="DESCRIPTORALFABETICO186"/>
      <w:r w:rsidRPr="0050129A">
        <w:rPr>
          <w:rStyle w:val="TextoNormalNegritaCaracter"/>
        </w:rPr>
        <w:t>Pérdida sobrevenida de objeto por derogación de la norma</w:t>
      </w:r>
      <w:bookmarkEnd w:id="1197"/>
      <w:r w:rsidRPr="0050129A">
        <w:rPr>
          <w:rStyle w:val="TextoNormalCaracter"/>
        </w:rPr>
        <w:t xml:space="preserve">, Sentencia </w:t>
      </w:r>
      <w:hyperlink w:anchor="SENTENCIA_2008_47" w:history="1">
        <w:r w:rsidRPr="0050129A">
          <w:rPr>
            <w:rStyle w:val="TextoNormalCaracter"/>
          </w:rPr>
          <w:t>47/2008</w:t>
        </w:r>
      </w:hyperlink>
      <w:r w:rsidRPr="0050129A">
        <w:rPr>
          <w:rStyle w:val="TextoNormalCaracter"/>
        </w:rPr>
        <w:t>, f. 2, VP.</w:t>
      </w:r>
    </w:p>
    <w:p w:rsidR="0050129A" w:rsidRPr="0050129A" w:rsidRDefault="0050129A" w:rsidP="0050129A">
      <w:pPr>
        <w:pStyle w:val="TextoNormalSangraFrancesa"/>
        <w:rPr>
          <w:rStyle w:val="TextoNormalNegritaCaracter"/>
        </w:rPr>
      </w:pPr>
      <w:r w:rsidRPr="0050129A">
        <w:rPr>
          <w:rStyle w:val="TextoNormalCursivaCaracter"/>
        </w:rPr>
        <w:t>Perjuicios eventuales</w:t>
      </w:r>
      <w:r>
        <w:t xml:space="preserve"> véase </w:t>
      </w:r>
      <w:hyperlink w:anchor="DESCRIPTORALFABETICO159" w:history="1">
        <w:r w:rsidRPr="0050129A">
          <w:rPr>
            <w:rStyle w:val="TextoNormalNegritaCaracter"/>
          </w:rPr>
          <w:t>Perjuicios hipotéticos</w:t>
        </w:r>
      </w:hyperlink>
    </w:p>
    <w:p w:rsidR="0050129A" w:rsidRPr="0050129A" w:rsidRDefault="0050129A" w:rsidP="0050129A">
      <w:pPr>
        <w:pStyle w:val="TextoNormalSangraFrancesa"/>
        <w:rPr>
          <w:rStyle w:val="TextoNormalNegritaCaracter"/>
        </w:rPr>
      </w:pPr>
      <w:r w:rsidRPr="0050129A">
        <w:rPr>
          <w:rStyle w:val="TextoNormalCursivaCaracter"/>
        </w:rPr>
        <w:t>Perjuicios futuros</w:t>
      </w:r>
      <w:r>
        <w:t xml:space="preserve"> véase </w:t>
      </w:r>
      <w:hyperlink w:anchor="DESCRIPTORALFABETICO159" w:history="1">
        <w:r w:rsidRPr="0050129A">
          <w:rPr>
            <w:rStyle w:val="TextoNormalNegritaCaracter"/>
          </w:rPr>
          <w:t>Perjuicios hipotéticos</w:t>
        </w:r>
      </w:hyperlink>
    </w:p>
    <w:p w:rsidR="0050129A" w:rsidRPr="0050129A" w:rsidRDefault="0050129A" w:rsidP="0050129A">
      <w:pPr>
        <w:pStyle w:val="TextoNormalSangraFrancesa"/>
        <w:rPr>
          <w:rStyle w:val="TextoNormalCaracter"/>
        </w:rPr>
      </w:pPr>
      <w:bookmarkStart w:id="1198" w:name="DESCRIPTORALFABETICO158"/>
      <w:r w:rsidRPr="0050129A">
        <w:rPr>
          <w:rStyle w:val="TextoNormalNegritaCaracter"/>
        </w:rPr>
        <w:t>Perjuicios genéricos</w:t>
      </w:r>
      <w:bookmarkEnd w:id="1198"/>
      <w:r w:rsidRPr="0050129A">
        <w:rPr>
          <w:rStyle w:val="TextoNormalCaracter"/>
        </w:rPr>
        <w:t xml:space="preserve">, Auto </w:t>
      </w:r>
      <w:hyperlink w:anchor="AUTO_2008_80" w:history="1">
        <w:r w:rsidRPr="0050129A">
          <w:rPr>
            <w:rStyle w:val="TextoNormalCaracter"/>
          </w:rPr>
          <w:t>80/2008</w:t>
        </w:r>
      </w:hyperlink>
      <w:r w:rsidRPr="0050129A">
        <w:rPr>
          <w:rStyle w:val="TextoNormalCaracter"/>
        </w:rPr>
        <w:t>.</w:t>
      </w:r>
    </w:p>
    <w:p w:rsidR="0050129A" w:rsidRPr="0050129A" w:rsidRDefault="0050129A" w:rsidP="0050129A">
      <w:pPr>
        <w:pStyle w:val="TextoNormalSangraFrancesa"/>
        <w:rPr>
          <w:rStyle w:val="TextoNormalCaracter"/>
        </w:rPr>
      </w:pPr>
      <w:bookmarkStart w:id="1199" w:name="DESCRIPTORALFABETICO159"/>
      <w:r w:rsidRPr="0050129A">
        <w:rPr>
          <w:rStyle w:val="TextoNormalNegritaCaracter"/>
        </w:rPr>
        <w:t>Perjuicios hipotéticos</w:t>
      </w:r>
      <w:bookmarkEnd w:id="1199"/>
      <w:r w:rsidRPr="0050129A">
        <w:rPr>
          <w:rStyle w:val="TextoNormalCaracter"/>
        </w:rPr>
        <w:t xml:space="preserve">, Auto </w:t>
      </w:r>
      <w:hyperlink w:anchor="AUTO_2008_80" w:history="1">
        <w:r w:rsidRPr="0050129A">
          <w:rPr>
            <w:rStyle w:val="TextoNormalCaracter"/>
          </w:rPr>
          <w:t>80/2008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Perjuicios inexistentes</w:t>
      </w:r>
      <w:r>
        <w:t xml:space="preserve"> véase </w:t>
      </w:r>
      <w:hyperlink w:anchor="DESCRIPTORALFABETICO159" w:history="1">
        <w:r w:rsidRPr="0050129A">
          <w:rPr>
            <w:rStyle w:val="TextoNormalNegritaCaracter"/>
          </w:rPr>
          <w:t>Perjuicios hipotéticos</w:t>
        </w:r>
      </w:hyperlink>
    </w:p>
    <w:p w:rsidR="0050129A" w:rsidRPr="0050129A" w:rsidRDefault="0050129A" w:rsidP="0050129A">
      <w:pPr>
        <w:pStyle w:val="TextoNormalSangraFrancesa"/>
        <w:rPr>
          <w:rStyle w:val="TextoNormalNegritaCaracter"/>
        </w:rPr>
      </w:pPr>
      <w:r w:rsidRPr="0050129A">
        <w:rPr>
          <w:rStyle w:val="TextoNormalCursivaCaracter"/>
        </w:rPr>
        <w:t>Personajes públicos</w:t>
      </w:r>
      <w:r>
        <w:t xml:space="preserve"> véase </w:t>
      </w:r>
      <w:hyperlink w:anchor="DESCRIPTORALFABETICO407" w:history="1">
        <w:r w:rsidRPr="0050129A">
          <w:rPr>
            <w:rStyle w:val="TextoNormalNegritaCaracter"/>
          </w:rPr>
          <w:t>Personas con relevancia pública</w:t>
        </w:r>
      </w:hyperlink>
    </w:p>
    <w:p w:rsidR="0050129A" w:rsidRPr="0050129A" w:rsidRDefault="0050129A" w:rsidP="0050129A">
      <w:pPr>
        <w:pStyle w:val="TextoNormalSangraFrancesa"/>
        <w:rPr>
          <w:rStyle w:val="TextoNormalNegritaCaracter"/>
        </w:rPr>
      </w:pPr>
      <w:r w:rsidRPr="0050129A">
        <w:rPr>
          <w:rStyle w:val="TextoNormalCursivaCaracter"/>
        </w:rPr>
        <w:t>Personas con notoriedad pública</w:t>
      </w:r>
      <w:r>
        <w:t xml:space="preserve"> véase </w:t>
      </w:r>
      <w:hyperlink w:anchor="DESCRIPTORALFABETICO407" w:history="1">
        <w:r w:rsidRPr="0050129A">
          <w:rPr>
            <w:rStyle w:val="TextoNormalNegritaCaracter"/>
          </w:rPr>
          <w:t>Personas con relevancia pública</w:t>
        </w:r>
      </w:hyperlink>
    </w:p>
    <w:p w:rsidR="0050129A" w:rsidRPr="0050129A" w:rsidRDefault="0050129A" w:rsidP="0050129A">
      <w:pPr>
        <w:pStyle w:val="TextoNormalSangraFrancesa"/>
        <w:rPr>
          <w:rStyle w:val="TextoNormalCaracter"/>
        </w:rPr>
      </w:pPr>
      <w:bookmarkStart w:id="1200" w:name="DESCRIPTORALFABETICO407"/>
      <w:r w:rsidRPr="0050129A">
        <w:rPr>
          <w:rStyle w:val="TextoNormalNegritaCaracter"/>
        </w:rPr>
        <w:t>Personas con relevancia pública</w:t>
      </w:r>
      <w:bookmarkEnd w:id="1200"/>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ff. 6, 7.</w:t>
      </w:r>
    </w:p>
    <w:p w:rsidR="0050129A" w:rsidRPr="0050129A" w:rsidRDefault="0050129A" w:rsidP="0050129A">
      <w:pPr>
        <w:pStyle w:val="TextoNormalSangraFrancesa"/>
        <w:rPr>
          <w:rStyle w:val="TextoNormalNegritaCaracter"/>
        </w:rPr>
      </w:pPr>
      <w:r w:rsidRPr="0050129A">
        <w:rPr>
          <w:rStyle w:val="TextoNormalCursivaCaracter"/>
        </w:rPr>
        <w:t>Personas fallecidas</w:t>
      </w:r>
      <w:r>
        <w:t xml:space="preserve"> véase </w:t>
      </w:r>
      <w:hyperlink w:anchor="DESCRIPTORALFABETICO402" w:history="1">
        <w:r w:rsidRPr="0050129A">
          <w:rPr>
            <w:rStyle w:val="TextoNormalNegritaCaracter"/>
          </w:rPr>
          <w:t>Fallecimiento</w:t>
        </w:r>
      </w:hyperlink>
    </w:p>
    <w:p w:rsidR="0050129A" w:rsidRPr="0050129A" w:rsidRDefault="0050129A" w:rsidP="0050129A">
      <w:pPr>
        <w:pStyle w:val="TextoNormalSangraFrancesa"/>
        <w:rPr>
          <w:rStyle w:val="TextoNormalNegritaCaracter"/>
        </w:rPr>
      </w:pPr>
      <w:r w:rsidRPr="0050129A">
        <w:rPr>
          <w:rStyle w:val="TextoNormalCursivaCaracter"/>
        </w:rPr>
        <w:lastRenderedPageBreak/>
        <w:t>Personas jurídicas de Derecho público</w:t>
      </w:r>
      <w:r>
        <w:t xml:space="preserve"> véase </w:t>
      </w:r>
      <w:hyperlink w:anchor="DESCRIPTORALFABETICO272" w:history="1">
        <w:r w:rsidRPr="0050129A">
          <w:rPr>
            <w:rStyle w:val="TextoNormalNegritaCaracter"/>
          </w:rPr>
          <w:t>Personas jurídicas públicas</w:t>
        </w:r>
      </w:hyperlink>
    </w:p>
    <w:p w:rsidR="0050129A" w:rsidRPr="0050129A" w:rsidRDefault="0050129A" w:rsidP="0050129A">
      <w:pPr>
        <w:pStyle w:val="TextoNormalSangraFrancesa"/>
        <w:rPr>
          <w:rStyle w:val="TextoNormalCaracter"/>
        </w:rPr>
      </w:pPr>
      <w:bookmarkStart w:id="1201" w:name="DESCRIPTORALFABETICO272"/>
      <w:r w:rsidRPr="0050129A">
        <w:rPr>
          <w:rStyle w:val="TextoNormalNegritaCaracter"/>
        </w:rPr>
        <w:t>Personas jurídicas públicas</w:t>
      </w:r>
      <w:bookmarkEnd w:id="1201"/>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f. 3, VP; </w:t>
      </w:r>
      <w:hyperlink w:anchor="SENTENCIA_2008_11" w:history="1">
        <w:r w:rsidRPr="0050129A">
          <w:rPr>
            <w:rStyle w:val="TextoNormalCaracter"/>
          </w:rPr>
          <w:t>11/2008</w:t>
        </w:r>
      </w:hyperlink>
      <w:r w:rsidRPr="0050129A">
        <w:rPr>
          <w:rStyle w:val="TextoNormalCaracter"/>
        </w:rPr>
        <w:t xml:space="preserve">, f. 3; </w:t>
      </w:r>
      <w:hyperlink w:anchor="SENTENCIA_2008_18" w:history="1">
        <w:r w:rsidRPr="0050129A">
          <w:rPr>
            <w:rStyle w:val="TextoNormalCaracter"/>
          </w:rPr>
          <w:t>18/2008</w:t>
        </w:r>
      </w:hyperlink>
      <w:r w:rsidRPr="0050129A">
        <w:rPr>
          <w:rStyle w:val="TextoNormalCaracter"/>
        </w:rPr>
        <w:t xml:space="preserve">, f. único; </w:t>
      </w:r>
      <w:hyperlink w:anchor="SENTENCIA_2008_19" w:history="1">
        <w:r w:rsidRPr="0050129A">
          <w:rPr>
            <w:rStyle w:val="TextoNormalCaracter"/>
          </w:rPr>
          <w:t>19/2008</w:t>
        </w:r>
      </w:hyperlink>
      <w:r w:rsidRPr="0050129A">
        <w:rPr>
          <w:rStyle w:val="TextoNormalCaracter"/>
        </w:rPr>
        <w:t xml:space="preserve">, f. 4; </w:t>
      </w:r>
      <w:hyperlink w:anchor="SENTENCIA_2008_26" w:history="1">
        <w:r w:rsidRPr="0050129A">
          <w:rPr>
            <w:rStyle w:val="TextoNormalCaracter"/>
          </w:rPr>
          <w:t>26/2008</w:t>
        </w:r>
      </w:hyperlink>
      <w:r w:rsidRPr="0050129A">
        <w:rPr>
          <w:rStyle w:val="TextoNormalCaracter"/>
        </w:rPr>
        <w:t xml:space="preserve">, ff. 3, 4, 5, 8, 10, 11; </w:t>
      </w:r>
      <w:hyperlink w:anchor="SENTENCIA_2008_33" w:history="1">
        <w:r w:rsidRPr="0050129A">
          <w:rPr>
            <w:rStyle w:val="TextoNormalCaracter"/>
          </w:rPr>
          <w:t>33/2008</w:t>
        </w:r>
      </w:hyperlink>
      <w:r w:rsidRPr="0050129A">
        <w:rPr>
          <w:rStyle w:val="TextoNormalCaracter"/>
        </w:rPr>
        <w:t>, f. 3.</w:t>
      </w:r>
    </w:p>
    <w:p w:rsidR="0050129A" w:rsidRPr="0050129A" w:rsidRDefault="0050129A" w:rsidP="0050129A">
      <w:pPr>
        <w:pStyle w:val="TextoNormalSangraFrancesa"/>
        <w:rPr>
          <w:rStyle w:val="TextoNormalCaracter"/>
        </w:rPr>
      </w:pPr>
      <w:bookmarkStart w:id="1202" w:name="DESCRIPTORALFABETICO204"/>
      <w:r w:rsidRPr="0050129A">
        <w:rPr>
          <w:rStyle w:val="TextoNormalNegritaCaracter"/>
        </w:rPr>
        <w:t>Planteamiento prematuro</w:t>
      </w:r>
      <w:bookmarkEnd w:id="1202"/>
      <w:r w:rsidRPr="0050129A">
        <w:rPr>
          <w:rStyle w:val="TextoNormalCaracter"/>
        </w:rPr>
        <w:t xml:space="preserve">, Auto </w:t>
      </w:r>
      <w:hyperlink w:anchor="AUTO_2008_13" w:history="1">
        <w:r w:rsidRPr="0050129A">
          <w:rPr>
            <w:rStyle w:val="TextoNormalCaracter"/>
          </w:rPr>
          <w:t>13/2008</w:t>
        </w:r>
      </w:hyperlink>
      <w:r w:rsidRPr="0050129A">
        <w:rPr>
          <w:rStyle w:val="TextoNormalCaracter"/>
        </w:rPr>
        <w:t>.</w:t>
      </w:r>
    </w:p>
    <w:p w:rsidR="0050129A" w:rsidRPr="0050129A" w:rsidRDefault="0050129A" w:rsidP="0050129A">
      <w:pPr>
        <w:pStyle w:val="TextoNormalSangraFrancesa"/>
        <w:rPr>
          <w:rStyle w:val="TextoNormalCaracter"/>
        </w:rPr>
      </w:pPr>
      <w:bookmarkStart w:id="1203" w:name="DESCRIPTORALFABETICO228"/>
      <w:r w:rsidRPr="0050129A">
        <w:rPr>
          <w:rStyle w:val="TextoNormalNegritaCaracter"/>
        </w:rPr>
        <w:t>Plazo de interposición del recurso de amparo</w:t>
      </w:r>
      <w:bookmarkEnd w:id="1203"/>
      <w:r w:rsidRPr="0050129A">
        <w:rPr>
          <w:rStyle w:val="TextoNormalCaracter"/>
        </w:rPr>
        <w:t xml:space="preserve">, Auto </w:t>
      </w:r>
      <w:hyperlink w:anchor="AUTO_2008_58" w:history="1">
        <w:r w:rsidRPr="0050129A">
          <w:rPr>
            <w:rStyle w:val="TextoNormalCaracter"/>
          </w:rPr>
          <w:t>58/2008</w:t>
        </w:r>
      </w:hyperlink>
      <w:r w:rsidRPr="0050129A">
        <w:rPr>
          <w:rStyle w:val="TextoNormalCaracter"/>
        </w:rPr>
        <w:t>.</w:t>
      </w:r>
    </w:p>
    <w:p w:rsidR="0050129A" w:rsidRPr="0050129A" w:rsidRDefault="0050129A" w:rsidP="0050129A">
      <w:pPr>
        <w:pStyle w:val="TextoNormalSangraFrancesa"/>
        <w:rPr>
          <w:rStyle w:val="TextoNormalCaracter"/>
        </w:rPr>
      </w:pPr>
      <w:bookmarkStart w:id="1204" w:name="DESCRIPTORALFABETICO410"/>
      <w:r w:rsidRPr="0050129A">
        <w:rPr>
          <w:rStyle w:val="TextoNormalNegritaCaracter"/>
        </w:rPr>
        <w:t>Plazo de prescripción de derechos</w:t>
      </w:r>
      <w:bookmarkEnd w:id="1204"/>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 4, VP.</w:t>
      </w:r>
    </w:p>
    <w:p w:rsidR="0050129A" w:rsidRPr="0050129A" w:rsidRDefault="0050129A" w:rsidP="0050129A">
      <w:pPr>
        <w:pStyle w:val="TextoNormalSangraFrancesa"/>
        <w:rPr>
          <w:rStyle w:val="TextoNormalCaracter"/>
        </w:rPr>
      </w:pPr>
      <w:bookmarkStart w:id="1205" w:name="DESCRIPTORALFABETICO225"/>
      <w:r w:rsidRPr="0050129A">
        <w:rPr>
          <w:rStyle w:val="TextoNormalNegritaCaracter"/>
        </w:rPr>
        <w:t>Plazos del recurso de amparo</w:t>
      </w:r>
      <w:bookmarkEnd w:id="1205"/>
      <w:r w:rsidRPr="0050129A">
        <w:rPr>
          <w:rStyle w:val="TextoNormalCaracter"/>
        </w:rPr>
        <w:t xml:space="preserve">, Sentencias </w:t>
      </w:r>
      <w:hyperlink w:anchor="SENTENCIA_2008_4" w:history="1">
        <w:r w:rsidRPr="0050129A">
          <w:rPr>
            <w:rStyle w:val="TextoNormalCaracter"/>
          </w:rPr>
          <w:t>4/2008</w:t>
        </w:r>
      </w:hyperlink>
      <w:r w:rsidRPr="0050129A">
        <w:rPr>
          <w:rStyle w:val="TextoNormalCaracter"/>
        </w:rPr>
        <w:t xml:space="preserve">, f. 2; </w:t>
      </w:r>
      <w:hyperlink w:anchor="SENTENCIA_2008_56" w:history="1">
        <w:r w:rsidRPr="0050129A">
          <w:rPr>
            <w:rStyle w:val="TextoNormalCaracter"/>
          </w:rPr>
          <w:t>56/2008</w:t>
        </w:r>
      </w:hyperlink>
      <w:r w:rsidRPr="0050129A">
        <w:rPr>
          <w:rStyle w:val="TextoNormalCaracter"/>
        </w:rPr>
        <w:t>, f. 2, VP.</w:t>
      </w:r>
    </w:p>
    <w:p w:rsidR="0050129A" w:rsidRPr="0050129A" w:rsidRDefault="0050129A" w:rsidP="0050129A">
      <w:pPr>
        <w:pStyle w:val="TextoNormalSangraFrancesa"/>
        <w:rPr>
          <w:rStyle w:val="TextoNormalCaracter"/>
        </w:rPr>
      </w:pPr>
      <w:bookmarkStart w:id="1206" w:name="DESCRIPTORALFABETICO519"/>
      <w:r w:rsidRPr="0050129A">
        <w:rPr>
          <w:rStyle w:val="TextoNormalNegritaCaracter"/>
        </w:rPr>
        <w:t>Plazos procesales</w:t>
      </w:r>
      <w:bookmarkEnd w:id="1206"/>
      <w:r w:rsidRPr="0050129A">
        <w:rPr>
          <w:rStyle w:val="TextoNormalCaracter"/>
        </w:rPr>
        <w:t xml:space="preserve">, Sentencia </w:t>
      </w:r>
      <w:hyperlink w:anchor="SENTENCIA_2008_13" w:history="1">
        <w:r w:rsidRPr="0050129A">
          <w:rPr>
            <w:rStyle w:val="TextoNormalCaracter"/>
          </w:rPr>
          <w:t>13/2008</w:t>
        </w:r>
      </w:hyperlink>
      <w:r w:rsidRPr="0050129A">
        <w:rPr>
          <w:rStyle w:val="TextoNormalCaracter"/>
        </w:rPr>
        <w:t>, f. 4.</w:t>
      </w:r>
    </w:p>
    <w:p w:rsidR="0050129A" w:rsidRPr="0050129A" w:rsidRDefault="0050129A" w:rsidP="0050129A">
      <w:pPr>
        <w:pStyle w:val="TextoNormalSangraFrancesa"/>
        <w:rPr>
          <w:rStyle w:val="TextoNormalCaracter"/>
        </w:rPr>
      </w:pPr>
      <w:bookmarkStart w:id="1207" w:name="DESCRIPTORALFABETICO264"/>
      <w:r w:rsidRPr="0050129A">
        <w:rPr>
          <w:rStyle w:val="TextoNormalNegritaCaracter"/>
        </w:rPr>
        <w:t>Pleno del Tribunal Constitucional</w:t>
      </w:r>
      <w:bookmarkEnd w:id="1207"/>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21, VP I, VP II, VP III.</w:t>
      </w:r>
    </w:p>
    <w:p w:rsidR="0050129A" w:rsidRPr="0050129A" w:rsidRDefault="0050129A" w:rsidP="0050129A">
      <w:pPr>
        <w:pStyle w:val="TextoNormalSangraFrancesa"/>
        <w:rPr>
          <w:rStyle w:val="TextoNormalCaracter"/>
        </w:rPr>
      </w:pPr>
      <w:bookmarkStart w:id="1208" w:name="DESCRIPTORALFABETICO142"/>
      <w:r w:rsidRPr="0050129A">
        <w:rPr>
          <w:rStyle w:val="TextoNormalNegritaCaracter"/>
        </w:rPr>
        <w:t>Ponderación de derechos fundamentales</w:t>
      </w:r>
      <w:bookmarkEnd w:id="1208"/>
      <w:r w:rsidRPr="0050129A">
        <w:rPr>
          <w:rStyle w:val="TextoNormalCaracter"/>
        </w:rPr>
        <w:t xml:space="preserve">, Sentencia </w:t>
      </w:r>
      <w:hyperlink w:anchor="SENTENCIA_2008_51" w:history="1">
        <w:r w:rsidRPr="0050129A">
          <w:rPr>
            <w:rStyle w:val="TextoNormalCaracter"/>
          </w:rPr>
          <w:t>51/2008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209" w:name="DESCRIPTORALFABETICO319"/>
      <w:r w:rsidRPr="0050129A">
        <w:rPr>
          <w:rStyle w:val="TextoNormalNegritaCaracter"/>
        </w:rPr>
        <w:t>Ponderación de intereses</w:t>
      </w:r>
      <w:bookmarkEnd w:id="1209"/>
      <w:r w:rsidRPr="0050129A">
        <w:rPr>
          <w:rStyle w:val="TextoNormalCaracter"/>
        </w:rPr>
        <w:t xml:space="preserve">, Autos </w:t>
      </w:r>
      <w:hyperlink w:anchor="AUTO_2008_32" w:history="1">
        <w:r w:rsidRPr="0050129A">
          <w:rPr>
            <w:rStyle w:val="TextoNormalCaracter"/>
          </w:rPr>
          <w:t>32/2008</w:t>
        </w:r>
      </w:hyperlink>
      <w:r w:rsidRPr="0050129A">
        <w:rPr>
          <w:rStyle w:val="TextoNormalCaracter"/>
        </w:rPr>
        <w:t xml:space="preserve">; </w:t>
      </w:r>
      <w:hyperlink w:anchor="AUTO_2008_80" w:history="1">
        <w:r w:rsidRPr="0050129A">
          <w:rPr>
            <w:rStyle w:val="TextoNormalCaracter"/>
          </w:rPr>
          <w:t>80/2008</w:t>
        </w:r>
      </w:hyperlink>
      <w:r w:rsidRPr="0050129A">
        <w:rPr>
          <w:rStyle w:val="TextoNormalCaracter"/>
        </w:rPr>
        <w:t>.</w:t>
      </w:r>
    </w:p>
    <w:p w:rsidR="0050129A" w:rsidRPr="0050129A" w:rsidRDefault="0050129A" w:rsidP="0050129A">
      <w:pPr>
        <w:pStyle w:val="TextoNormalSangraFrancesa"/>
        <w:rPr>
          <w:rStyle w:val="TextoNormalCaracter"/>
        </w:rPr>
      </w:pPr>
      <w:bookmarkStart w:id="1210" w:name="DESCRIPTORALFABETICO450"/>
      <w:r w:rsidRPr="0050129A">
        <w:rPr>
          <w:rStyle w:val="TextoNormalNegritaCaracter"/>
        </w:rPr>
        <w:t>Posicionamiento previo sobre el fondo del asunto</w:t>
      </w:r>
      <w:bookmarkEnd w:id="1210"/>
      <w:r w:rsidRPr="0050129A">
        <w:rPr>
          <w:rStyle w:val="TextoNormalCaracter"/>
        </w:rPr>
        <w:t xml:space="preserve">, Auto </w:t>
      </w:r>
      <w:hyperlink w:anchor="AUTO_2008_81" w:history="1">
        <w:r w:rsidRPr="0050129A">
          <w:rPr>
            <w:rStyle w:val="TextoNormalCaracter"/>
          </w:rPr>
          <w:t>81/2008</w:t>
        </w:r>
      </w:hyperlink>
      <w:r w:rsidRPr="0050129A">
        <w:rPr>
          <w:rStyle w:val="TextoNormalCaracter"/>
        </w:rPr>
        <w:t>.</w:t>
      </w:r>
    </w:p>
    <w:p w:rsidR="0050129A" w:rsidRPr="0050129A" w:rsidRDefault="0050129A" w:rsidP="0050129A">
      <w:pPr>
        <w:pStyle w:val="TextoNormalSangraFrancesa"/>
        <w:rPr>
          <w:rStyle w:val="TextoNormalCaracter"/>
        </w:rPr>
      </w:pPr>
      <w:bookmarkStart w:id="1211" w:name="DESCRIPTORALFABETICO522"/>
      <w:r w:rsidRPr="0050129A">
        <w:rPr>
          <w:rStyle w:val="TextoNormalNegritaCaracter"/>
        </w:rPr>
        <w:t>Postulación</w:t>
      </w:r>
      <w:bookmarkEnd w:id="1211"/>
      <w:r w:rsidRPr="0050129A">
        <w:rPr>
          <w:rStyle w:val="TextoNormalCaracter"/>
        </w:rPr>
        <w:t xml:space="preserve">, Sentencia </w:t>
      </w:r>
      <w:hyperlink w:anchor="SENTENCIA_2008_14" w:history="1">
        <w:r w:rsidRPr="0050129A">
          <w:rPr>
            <w:rStyle w:val="TextoNormalCaracter"/>
          </w:rPr>
          <w:t>14/2008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212" w:name="DESCRIPTORALFABETICO282"/>
      <w:r w:rsidRPr="0050129A">
        <w:rPr>
          <w:rStyle w:val="TextoNormalNegritaCaracter"/>
        </w:rPr>
        <w:t>Potestad legislativa</w:t>
      </w:r>
      <w:bookmarkEnd w:id="1212"/>
      <w:r w:rsidRPr="0050129A">
        <w:rPr>
          <w:rStyle w:val="TextoNormalCaracter"/>
        </w:rPr>
        <w:t xml:space="preserve">, Sentencia </w:t>
      </w:r>
      <w:hyperlink w:anchor="SENTENCIA_2008_48" w:history="1">
        <w:r w:rsidRPr="0050129A">
          <w:rPr>
            <w:rStyle w:val="TextoNormalCaracter"/>
          </w:rPr>
          <w:t>48/2008</w:t>
        </w:r>
      </w:hyperlink>
      <w:r w:rsidRPr="0050129A">
        <w:rPr>
          <w:rStyle w:val="TextoNormalCaracter"/>
        </w:rPr>
        <w:t>, f. 2.</w:t>
      </w:r>
    </w:p>
    <w:p w:rsidR="0050129A" w:rsidRPr="0050129A" w:rsidRDefault="0050129A" w:rsidP="0050129A">
      <w:pPr>
        <w:pStyle w:val="TextoNormalSangraFrancesa"/>
        <w:rPr>
          <w:rStyle w:val="TextoNormalCaracter"/>
        </w:rPr>
      </w:pPr>
      <w:bookmarkStart w:id="1213" w:name="DESCRIPTORALFABETICO9"/>
      <w:r w:rsidRPr="0050129A">
        <w:rPr>
          <w:rStyle w:val="TextoNormalNegritaCaracter"/>
        </w:rPr>
        <w:t>Potestad tributaria</w:t>
      </w:r>
      <w:bookmarkEnd w:id="1213"/>
      <w:r w:rsidRPr="0050129A">
        <w:rPr>
          <w:rStyle w:val="TextoNormalCaracter"/>
        </w:rPr>
        <w:t xml:space="preserve">, Auto </w:t>
      </w:r>
      <w:hyperlink w:anchor="AUTO_2008_28" w:history="1">
        <w:r w:rsidRPr="0050129A">
          <w:rPr>
            <w:rStyle w:val="TextoNormalCaracter"/>
          </w:rPr>
          <w:t>28/2008</w:t>
        </w:r>
      </w:hyperlink>
      <w:r w:rsidRPr="0050129A">
        <w:rPr>
          <w:rStyle w:val="TextoNormalCaracter"/>
        </w:rPr>
        <w:t>.</w:t>
      </w:r>
    </w:p>
    <w:p w:rsidR="0050129A" w:rsidRPr="0050129A" w:rsidRDefault="0050129A" w:rsidP="0050129A">
      <w:pPr>
        <w:pStyle w:val="TextoNormalSangraFrancesa"/>
        <w:rPr>
          <w:rStyle w:val="TextoNormalCaracter"/>
        </w:rPr>
      </w:pPr>
      <w:bookmarkStart w:id="1214" w:name="DESCRIPTORALFABETICO490"/>
      <w:r w:rsidRPr="0050129A">
        <w:rPr>
          <w:rStyle w:val="TextoNormalNegritaCaracter"/>
        </w:rPr>
        <w:t>Práctica de prueba documental</w:t>
      </w:r>
      <w:bookmarkEnd w:id="1214"/>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215" w:name="DESCRIPTORALFABETICO389"/>
      <w:r w:rsidRPr="0050129A">
        <w:rPr>
          <w:rStyle w:val="TextoNormalNegritaCaracter"/>
        </w:rPr>
        <w:t>Preámbulo de textos legales</w:t>
      </w:r>
      <w:bookmarkEnd w:id="1215"/>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5.</w:t>
      </w:r>
    </w:p>
    <w:p w:rsidR="0050129A" w:rsidRPr="0050129A" w:rsidRDefault="0050129A" w:rsidP="0050129A">
      <w:pPr>
        <w:pStyle w:val="TextoNormalSangraFrancesa"/>
        <w:rPr>
          <w:rStyle w:val="TextoNormalCaracter"/>
        </w:rPr>
      </w:pPr>
      <w:bookmarkStart w:id="1216" w:name="DESCRIPTORALFABETICO453"/>
      <w:r w:rsidRPr="0050129A">
        <w:rPr>
          <w:rStyle w:val="TextoNormalNegritaCaracter"/>
        </w:rPr>
        <w:t>Prescripción de acción de responsabilidad patrimonial</w:t>
      </w:r>
      <w:bookmarkEnd w:id="1216"/>
      <w:r w:rsidRPr="0050129A">
        <w:rPr>
          <w:rStyle w:val="TextoNormalCaracter"/>
        </w:rPr>
        <w:t xml:space="preserve">, Sentencia </w:t>
      </w:r>
      <w:hyperlink w:anchor="SENTENCIA_2008_44" w:history="1">
        <w:r w:rsidRPr="0050129A">
          <w:rPr>
            <w:rStyle w:val="TextoNormalCaracter"/>
          </w:rPr>
          <w:t>44/2008</w:t>
        </w:r>
      </w:hyperlink>
      <w:r w:rsidRPr="0050129A">
        <w:rPr>
          <w:rStyle w:val="TextoNormalCaracter"/>
        </w:rPr>
        <w:t>, ff. 1 a 4.</w:t>
      </w:r>
    </w:p>
    <w:p w:rsidR="0050129A" w:rsidRPr="0050129A" w:rsidRDefault="0050129A" w:rsidP="0050129A">
      <w:pPr>
        <w:pStyle w:val="TextoNormalSangraFrancesa"/>
        <w:rPr>
          <w:rStyle w:val="TextoNormalCaracter"/>
        </w:rPr>
      </w:pPr>
      <w:bookmarkStart w:id="1217" w:name="DESCRIPTORALFABETICO364"/>
      <w:r w:rsidRPr="0050129A">
        <w:rPr>
          <w:rStyle w:val="TextoNormalNegritaCaracter"/>
        </w:rPr>
        <w:t>Prescripción de infracciones penales</w:t>
      </w:r>
      <w:bookmarkEnd w:id="1217"/>
      <w:r w:rsidRPr="0050129A">
        <w:rPr>
          <w:rStyle w:val="TextoNormalCaracter"/>
        </w:rPr>
        <w:t xml:space="preserve">, Sentencia </w:t>
      </w:r>
      <w:hyperlink w:anchor="SENTENCIA_2008_29" w:history="1">
        <w:r w:rsidRPr="0050129A">
          <w:rPr>
            <w:rStyle w:val="TextoNormalCaracter"/>
          </w:rPr>
          <w:t>29/2008</w:t>
        </w:r>
      </w:hyperlink>
      <w:r w:rsidRPr="0050129A">
        <w:rPr>
          <w:rStyle w:val="TextoNormalCaracter"/>
        </w:rPr>
        <w:t>, ff. 7 a 13, VP.</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29" w:history="1">
        <w:r w:rsidRPr="0050129A">
          <w:rPr>
            <w:rStyle w:val="TextoNormalCaracter"/>
          </w:rPr>
          <w:t>29/2008</w:t>
        </w:r>
      </w:hyperlink>
      <w:r w:rsidRPr="0050129A">
        <w:rPr>
          <w:rStyle w:val="TextoNormalCaracter"/>
        </w:rPr>
        <w:t>, ff. 7 a 13, VP.</w:t>
      </w:r>
    </w:p>
    <w:p w:rsidR="0050129A" w:rsidRPr="0050129A" w:rsidRDefault="0050129A" w:rsidP="0050129A">
      <w:pPr>
        <w:pStyle w:val="TextoNormalSangraFrancesa"/>
        <w:rPr>
          <w:rStyle w:val="TextoNormalCaracter"/>
        </w:rPr>
      </w:pPr>
      <w:bookmarkStart w:id="1218" w:name="DESCRIPTORALFABETICO521"/>
      <w:r w:rsidRPr="0050129A">
        <w:rPr>
          <w:rStyle w:val="TextoNormalNegritaCaracter"/>
        </w:rPr>
        <w:t>Presentación de demanda el día siguiente del Auto de caducidad</w:t>
      </w:r>
      <w:bookmarkEnd w:id="1218"/>
      <w:r w:rsidRPr="0050129A">
        <w:rPr>
          <w:rStyle w:val="TextoNormalCaracter"/>
        </w:rPr>
        <w:t xml:space="preserve">, Sentencia </w:t>
      </w:r>
      <w:hyperlink w:anchor="SENTENCIA_2008_24" w:history="1">
        <w:r w:rsidRPr="0050129A">
          <w:rPr>
            <w:rStyle w:val="TextoNormalCaracter"/>
          </w:rPr>
          <w:t>24/2008</w:t>
        </w:r>
      </w:hyperlink>
      <w:r w:rsidRPr="0050129A">
        <w:rPr>
          <w:rStyle w:val="TextoNormalCaracter"/>
        </w:rPr>
        <w:t>, f. 3.</w:t>
      </w:r>
    </w:p>
    <w:p w:rsidR="0050129A" w:rsidRPr="0050129A" w:rsidRDefault="0050129A" w:rsidP="0050129A">
      <w:pPr>
        <w:pStyle w:val="TextoNormalSangraFrancesa"/>
        <w:rPr>
          <w:rStyle w:val="TextoNormalCaracter"/>
        </w:rPr>
      </w:pPr>
      <w:bookmarkStart w:id="1219" w:name="DESCRIPTORALFABETICO265"/>
      <w:r w:rsidRPr="0050129A">
        <w:rPr>
          <w:rStyle w:val="TextoNormalNegritaCaracter"/>
        </w:rPr>
        <w:t>Presidente del Tribunal Constitucional</w:t>
      </w:r>
      <w:bookmarkEnd w:id="1219"/>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18 a 21, VP I, VP II, VP III.</w:t>
      </w:r>
    </w:p>
    <w:p w:rsidR="0050129A" w:rsidRPr="0050129A" w:rsidRDefault="0050129A" w:rsidP="0050129A">
      <w:pPr>
        <w:pStyle w:val="TextoNormalSangraFrancesa"/>
        <w:rPr>
          <w:rStyle w:val="TextoNormalCaracter"/>
        </w:rPr>
      </w:pPr>
      <w:bookmarkStart w:id="1220" w:name="DESCRIPTORALFABETICO375"/>
      <w:r w:rsidRPr="0050129A">
        <w:rPr>
          <w:rStyle w:val="TextoNormalNegritaCaracter"/>
        </w:rPr>
        <w:t>Presunción de constitucionalidad de la ley</w:t>
      </w:r>
      <w:bookmarkEnd w:id="1220"/>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Presunción de inocencia</w:t>
      </w:r>
      <w:r>
        <w:t xml:space="preserve"> véase </w:t>
      </w:r>
      <w:hyperlink w:anchor="DESCRIPTORALFABETICO62" w:history="1">
        <w:r w:rsidRPr="0050129A">
          <w:rPr>
            <w:rStyle w:val="TextoNormalNegritaCaracter"/>
          </w:rPr>
          <w:t>Derecho a la presunción de inocencia</w:t>
        </w:r>
      </w:hyperlink>
    </w:p>
    <w:p w:rsidR="0050129A" w:rsidRPr="0050129A" w:rsidRDefault="0050129A" w:rsidP="0050129A">
      <w:pPr>
        <w:pStyle w:val="TextoNormalSangraFrancesa"/>
        <w:rPr>
          <w:rStyle w:val="TextoNormalCaracter"/>
        </w:rPr>
      </w:pPr>
      <w:bookmarkStart w:id="1221" w:name="DESCRIPTORALFABETICO58"/>
      <w:r w:rsidRPr="0050129A">
        <w:rPr>
          <w:rStyle w:val="TextoNormalNegritaCaracter"/>
        </w:rPr>
        <w:t>Presupuesto fáctico de situación de privación de libertad</w:t>
      </w:r>
      <w:bookmarkEnd w:id="1221"/>
      <w:r w:rsidRPr="0050129A">
        <w:rPr>
          <w:rStyle w:val="TextoNormalCaracter"/>
        </w:rPr>
        <w:t xml:space="preserve">, Sentencia </w:t>
      </w:r>
      <w:hyperlink w:anchor="SENTENCIA_2008_35" w:history="1">
        <w:r w:rsidRPr="0050129A">
          <w:rPr>
            <w:rStyle w:val="TextoNormalCaracter"/>
          </w:rPr>
          <w:t>35/2008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Presupuestos procesales</w:t>
      </w:r>
      <w:r>
        <w:t xml:space="preserve"> véase </w:t>
      </w:r>
      <w:hyperlink w:anchor="DESCRIPTORALFABETICO539" w:history="1">
        <w:r w:rsidRPr="0050129A">
          <w:rPr>
            <w:rStyle w:val="TextoNormalNegritaCaracter"/>
          </w:rPr>
          <w:t>Requisitos procesales</w:t>
        </w:r>
      </w:hyperlink>
    </w:p>
    <w:p w:rsidR="0050129A" w:rsidRPr="0050129A" w:rsidRDefault="0050129A" w:rsidP="0050129A">
      <w:pPr>
        <w:pStyle w:val="TextoNormalSangraFrancesa"/>
        <w:rPr>
          <w:rStyle w:val="TextoNormalCaracter"/>
        </w:rPr>
      </w:pPr>
      <w:bookmarkStart w:id="1222" w:name="DESCRIPTORALFABETICO431"/>
      <w:r w:rsidRPr="0050129A">
        <w:rPr>
          <w:rStyle w:val="TextoNormalNegritaCaracter"/>
        </w:rPr>
        <w:t>Prevención de riesgos laborales</w:t>
      </w:r>
      <w:bookmarkEnd w:id="1222"/>
      <w:r w:rsidRPr="0050129A">
        <w:rPr>
          <w:rStyle w:val="TextoNormalCaracter"/>
        </w:rPr>
        <w:t xml:space="preserve">, Sentencia </w:t>
      </w:r>
      <w:hyperlink w:anchor="SENTENCIA_2008_16" w:history="1">
        <w:r w:rsidRPr="0050129A">
          <w:rPr>
            <w:rStyle w:val="TextoNormalCaracter"/>
          </w:rPr>
          <w:t>16/2008</w:t>
        </w:r>
      </w:hyperlink>
      <w:r w:rsidRPr="0050129A">
        <w:rPr>
          <w:rStyle w:val="TextoNormalCaracter"/>
        </w:rPr>
        <w:t>, f. 3.</w:t>
      </w:r>
    </w:p>
    <w:p w:rsidR="0050129A" w:rsidRPr="0050129A" w:rsidRDefault="0050129A" w:rsidP="0050129A">
      <w:pPr>
        <w:pStyle w:val="TextoNormalSangraFrancesa"/>
        <w:rPr>
          <w:rStyle w:val="TextoNormalCaracter"/>
        </w:rPr>
      </w:pPr>
      <w:bookmarkStart w:id="1223" w:name="DESCRIPTORALFABETICO10"/>
      <w:r w:rsidRPr="0050129A">
        <w:rPr>
          <w:rStyle w:val="TextoNormalNegritaCaracter"/>
        </w:rPr>
        <w:t>Principio de capacidad económica</w:t>
      </w:r>
      <w:bookmarkEnd w:id="1223"/>
      <w:r w:rsidRPr="0050129A">
        <w:rPr>
          <w:rStyle w:val="TextoNormalCaracter"/>
        </w:rPr>
        <w:t xml:space="preserve">, Auto </w:t>
      </w:r>
      <w:hyperlink w:anchor="AUTO_2008_71" w:history="1">
        <w:r w:rsidRPr="0050129A">
          <w:rPr>
            <w:rStyle w:val="TextoNormalCaracter"/>
          </w:rPr>
          <w:t>71/2008</w:t>
        </w:r>
      </w:hyperlink>
      <w:r w:rsidRPr="0050129A">
        <w:rPr>
          <w:rStyle w:val="TextoNormalCaracter"/>
        </w:rPr>
        <w:t>.</w:t>
      </w:r>
    </w:p>
    <w:p w:rsidR="0050129A" w:rsidRPr="0050129A" w:rsidRDefault="0050129A" w:rsidP="0050129A">
      <w:pPr>
        <w:pStyle w:val="TextoNormalSangraFrancesa"/>
        <w:rPr>
          <w:rStyle w:val="TextoNormalCaracter"/>
        </w:rPr>
      </w:pPr>
      <w:bookmarkStart w:id="1224" w:name="DESCRIPTORALFABETICO524"/>
      <w:r w:rsidRPr="0050129A">
        <w:rPr>
          <w:rStyle w:val="TextoNormalNegritaCaracter"/>
        </w:rPr>
        <w:t>Principio de contradicción</w:t>
      </w:r>
      <w:bookmarkEnd w:id="1224"/>
      <w:r w:rsidRPr="0050129A">
        <w:rPr>
          <w:rStyle w:val="TextoNormalCaracter"/>
        </w:rPr>
        <w:t xml:space="preserve">, Sentencias </w:t>
      </w:r>
      <w:hyperlink w:anchor="SENTENCIA_2008_28" w:history="1">
        <w:r w:rsidRPr="0050129A">
          <w:rPr>
            <w:rStyle w:val="TextoNormalCaracter"/>
          </w:rPr>
          <w:t>28/2008</w:t>
        </w:r>
      </w:hyperlink>
      <w:r w:rsidRPr="0050129A">
        <w:rPr>
          <w:rStyle w:val="TextoNormalCaracter"/>
        </w:rPr>
        <w:t xml:space="preserve">, f. 2; </w:t>
      </w:r>
      <w:hyperlink w:anchor="SENTENCIA_2008_48" w:history="1">
        <w:r w:rsidRPr="0050129A">
          <w:rPr>
            <w:rStyle w:val="TextoNormalCaracter"/>
          </w:rPr>
          <w:t>48/2008</w:t>
        </w:r>
      </w:hyperlink>
      <w:r w:rsidRPr="0050129A">
        <w:rPr>
          <w:rStyle w:val="TextoNormalCaracter"/>
        </w:rPr>
        <w:t>, f. 6.</w:t>
      </w:r>
    </w:p>
    <w:p w:rsidR="0050129A" w:rsidRPr="0050129A" w:rsidRDefault="0050129A" w:rsidP="0050129A">
      <w:pPr>
        <w:pStyle w:val="TextoNormalSangraFrancesa"/>
        <w:rPr>
          <w:rStyle w:val="TextoNormalCaracter"/>
        </w:rPr>
      </w:pPr>
      <w:bookmarkStart w:id="1225" w:name="DESCRIPTORALFABETICO305"/>
      <w:r w:rsidRPr="0050129A">
        <w:rPr>
          <w:rStyle w:val="TextoNormalNegritaCaracter"/>
        </w:rPr>
        <w:t>Principio de igualdad</w:t>
      </w:r>
      <w:bookmarkEnd w:id="1225"/>
      <w:r w:rsidRPr="0050129A">
        <w:rPr>
          <w:rStyle w:val="TextoNormalCaracter"/>
        </w:rPr>
        <w:t xml:space="preserve">, Sentencias </w:t>
      </w:r>
      <w:hyperlink w:anchor="SENTENCIA_2008_12" w:history="1">
        <w:r w:rsidRPr="0050129A">
          <w:rPr>
            <w:rStyle w:val="TextoNormalCaracter"/>
          </w:rPr>
          <w:t>12/2008</w:t>
        </w:r>
      </w:hyperlink>
      <w:r w:rsidRPr="0050129A">
        <w:rPr>
          <w:rStyle w:val="TextoNormalCaracter"/>
        </w:rPr>
        <w:t xml:space="preserve">, f. 4; </w:t>
      </w:r>
      <w:hyperlink w:anchor="SENTENCIA_2008_39" w:history="1">
        <w:r w:rsidRPr="0050129A">
          <w:rPr>
            <w:rStyle w:val="TextoNormalCaracter"/>
          </w:rPr>
          <w:t>39/2008</w:t>
        </w:r>
      </w:hyperlink>
      <w:r w:rsidRPr="0050129A">
        <w:rPr>
          <w:rStyle w:val="TextoNormalCaracter"/>
        </w:rPr>
        <w:t>, f. 4.</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Auto </w:t>
      </w:r>
      <w:hyperlink w:anchor="AUTO_2008_86" w:history="1">
        <w:r w:rsidRPr="0050129A">
          <w:rPr>
            <w:rStyle w:val="TextoNormalCaracter"/>
          </w:rPr>
          <w:t>86/2008</w:t>
        </w:r>
      </w:hyperlink>
      <w:r w:rsidRPr="0050129A">
        <w:rPr>
          <w:rStyle w:val="TextoNormalCaracter"/>
        </w:rPr>
        <w:t>.</w:t>
      </w:r>
    </w:p>
    <w:p w:rsidR="0050129A" w:rsidRPr="0050129A" w:rsidRDefault="0050129A" w:rsidP="0050129A">
      <w:pPr>
        <w:pStyle w:val="TextoNormalSangraFrancesa"/>
        <w:rPr>
          <w:rStyle w:val="TextoNormalCaracter"/>
        </w:rPr>
      </w:pPr>
      <w:bookmarkStart w:id="1226" w:name="DESCRIPTORALFABETICO525"/>
      <w:r w:rsidRPr="0050129A">
        <w:rPr>
          <w:rStyle w:val="TextoNormalNegritaCaracter"/>
        </w:rPr>
        <w:t>Principio de inmediación</w:t>
      </w:r>
      <w:bookmarkEnd w:id="1226"/>
      <w:r w:rsidRPr="0050129A">
        <w:rPr>
          <w:rStyle w:val="TextoNormalCaracter"/>
        </w:rPr>
        <w:t xml:space="preserve">, Sentencia </w:t>
      </w:r>
      <w:hyperlink w:anchor="SENTENCIA_2008_28" w:history="1">
        <w:r w:rsidRPr="0050129A">
          <w:rPr>
            <w:rStyle w:val="TextoNormalCaracter"/>
          </w:rPr>
          <w:t>28/2008</w:t>
        </w:r>
      </w:hyperlink>
      <w:r w:rsidRPr="0050129A">
        <w:rPr>
          <w:rStyle w:val="TextoNormalCaracter"/>
        </w:rPr>
        <w:t>, f. 2.</w:t>
      </w:r>
    </w:p>
    <w:p w:rsidR="0050129A" w:rsidRPr="0050129A" w:rsidRDefault="0050129A" w:rsidP="0050129A">
      <w:pPr>
        <w:pStyle w:val="TextoNormalSangraFrancesa"/>
        <w:rPr>
          <w:rStyle w:val="TextoNormalCaracter"/>
        </w:rPr>
      </w:pPr>
      <w:bookmarkStart w:id="1227" w:name="DESCRIPTORALFABETICO307"/>
      <w:r w:rsidRPr="0050129A">
        <w:rPr>
          <w:rStyle w:val="TextoNormalNegritaCaracter"/>
        </w:rPr>
        <w:t>Principio de interdicción de la arbitrariedad</w:t>
      </w:r>
      <w:bookmarkEnd w:id="1227"/>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5, 11, 19, 20.</w:t>
      </w:r>
    </w:p>
    <w:p w:rsidR="0050129A" w:rsidRPr="0050129A" w:rsidRDefault="0050129A" w:rsidP="0050129A">
      <w:pPr>
        <w:pStyle w:val="TextoNormalSangraFrancesa"/>
        <w:rPr>
          <w:rStyle w:val="TextoNormalCaracter"/>
        </w:rPr>
      </w:pPr>
      <w:bookmarkStart w:id="1228" w:name="DESCRIPTORALFABETICO310"/>
      <w:r w:rsidRPr="0050129A">
        <w:rPr>
          <w:rStyle w:val="TextoNormalNegritaCaracter"/>
        </w:rPr>
        <w:t>Principio de irretroactividad</w:t>
      </w:r>
      <w:bookmarkEnd w:id="1228"/>
      <w:r w:rsidRPr="0050129A">
        <w:rPr>
          <w:rStyle w:val="TextoNormalCaracter"/>
        </w:rPr>
        <w:t xml:space="preserve">, Auto </w:t>
      </w:r>
      <w:hyperlink w:anchor="AUTO_2008_28" w:history="1">
        <w:r w:rsidRPr="0050129A">
          <w:rPr>
            <w:rStyle w:val="TextoNormalCaracter"/>
          </w:rPr>
          <w:t>28/2008</w:t>
        </w:r>
      </w:hyperlink>
      <w:r w:rsidRPr="0050129A">
        <w:rPr>
          <w:rStyle w:val="TextoNormalCaracter"/>
        </w:rPr>
        <w:t>.</w:t>
      </w:r>
    </w:p>
    <w:p w:rsidR="0050129A" w:rsidRPr="0050129A" w:rsidRDefault="0050129A" w:rsidP="0050129A">
      <w:pPr>
        <w:pStyle w:val="TextoNormalSangraFrancesa"/>
        <w:rPr>
          <w:rStyle w:val="TextoNormalCaracter"/>
        </w:rPr>
      </w:pPr>
      <w:bookmarkStart w:id="1229" w:name="DESCRIPTORALFABETICO311"/>
      <w:r w:rsidRPr="0050129A">
        <w:rPr>
          <w:rStyle w:val="TextoNormalNegritaCaracter"/>
        </w:rPr>
        <w:t>Principio de lealtad constitucional</w:t>
      </w:r>
      <w:bookmarkEnd w:id="1229"/>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7 b), 9, 14, VP I.</w:t>
      </w:r>
    </w:p>
    <w:p w:rsidR="0050129A" w:rsidRPr="0050129A" w:rsidRDefault="0050129A" w:rsidP="0050129A">
      <w:pPr>
        <w:pStyle w:val="TextoNormalSangraFrancesa"/>
        <w:rPr>
          <w:rStyle w:val="TextoNormalCaracter"/>
        </w:rPr>
      </w:pPr>
      <w:bookmarkStart w:id="1230" w:name="DESCRIPTORALFABETICO312"/>
      <w:r w:rsidRPr="0050129A">
        <w:rPr>
          <w:rStyle w:val="TextoNormalNegritaCaracter"/>
        </w:rPr>
        <w:t>Principio de legalidad penal</w:t>
      </w:r>
      <w:bookmarkEnd w:id="1230"/>
      <w:r w:rsidRPr="0050129A">
        <w:rPr>
          <w:rStyle w:val="TextoNormalCaracter"/>
        </w:rPr>
        <w:t xml:space="preserve">, Sentencia </w:t>
      </w:r>
      <w:hyperlink w:anchor="SENTENCIA_2008_29" w:history="1">
        <w:r w:rsidRPr="0050129A">
          <w:rPr>
            <w:rStyle w:val="TextoNormalCaracter"/>
          </w:rPr>
          <w:t>29/2008</w:t>
        </w:r>
      </w:hyperlink>
      <w:r w:rsidRPr="0050129A">
        <w:rPr>
          <w:rStyle w:val="TextoNormalCaracter"/>
        </w:rPr>
        <w:t>, f. 6.</w:t>
      </w:r>
    </w:p>
    <w:p w:rsidR="0050129A" w:rsidRPr="0050129A" w:rsidRDefault="0050129A" w:rsidP="0050129A">
      <w:pPr>
        <w:pStyle w:val="TextoNormalSangraFrancesa"/>
        <w:rPr>
          <w:rStyle w:val="TextoNormalCaracter"/>
        </w:rPr>
      </w:pPr>
      <w:bookmarkStart w:id="1231" w:name="DESCRIPTORALFABETICO316"/>
      <w:r w:rsidRPr="0050129A">
        <w:rPr>
          <w:rStyle w:val="TextoNormalNegritaCaracter"/>
        </w:rPr>
        <w:t>Principio de legalidad sancionadora</w:t>
      </w:r>
      <w:bookmarkEnd w:id="1231"/>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54" w:history="1">
        <w:r w:rsidRPr="0050129A">
          <w:rPr>
            <w:rStyle w:val="TextoNormalCaracter"/>
          </w:rPr>
          <w:t>54/2008</w:t>
        </w:r>
      </w:hyperlink>
      <w:r w:rsidRPr="0050129A">
        <w:rPr>
          <w:rStyle w:val="TextoNormalCaracter"/>
        </w:rPr>
        <w:t>, f. 4.</w:t>
      </w:r>
    </w:p>
    <w:p w:rsidR="0050129A" w:rsidRPr="0050129A" w:rsidRDefault="0050129A" w:rsidP="0050129A">
      <w:pPr>
        <w:pStyle w:val="TextoNormalSangraFrancesa"/>
        <w:rPr>
          <w:rStyle w:val="TextoNormalCaracter"/>
        </w:rPr>
      </w:pPr>
      <w:bookmarkStart w:id="1232" w:name="DESCRIPTORALFABETICO317"/>
      <w:r w:rsidRPr="0050129A">
        <w:rPr>
          <w:rStyle w:val="TextoNormalNegritaCaracter"/>
        </w:rPr>
        <w:t>Principio de proporcionalidad</w:t>
      </w:r>
      <w:bookmarkEnd w:id="1232"/>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ff. 6, 7.</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233" w:name="DESCRIPTORALFABETICO320"/>
      <w:r w:rsidRPr="0050129A">
        <w:rPr>
          <w:rStyle w:val="TextoNormalNegritaCaracter"/>
        </w:rPr>
        <w:t>Principio de seguridad jurídica</w:t>
      </w:r>
      <w:bookmarkEnd w:id="1233"/>
      <w:r w:rsidRPr="0050129A">
        <w:rPr>
          <w:rStyle w:val="TextoNormalCaracter"/>
        </w:rPr>
        <w:t xml:space="preserve">, Sentencias </w:t>
      </w:r>
      <w:hyperlink w:anchor="SENTENCIA_2008_16" w:history="1">
        <w:r w:rsidRPr="0050129A">
          <w:rPr>
            <w:rStyle w:val="TextoNormalCaracter"/>
          </w:rPr>
          <w:t>16/2008</w:t>
        </w:r>
      </w:hyperlink>
      <w:r w:rsidRPr="0050129A">
        <w:rPr>
          <w:rStyle w:val="TextoNormalCaracter"/>
        </w:rPr>
        <w:t xml:space="preserve">, ff. 2, 3; </w:t>
      </w:r>
      <w:hyperlink w:anchor="SENTENCIA_2008_49" w:history="1">
        <w:r w:rsidRPr="0050129A">
          <w:rPr>
            <w:rStyle w:val="TextoNormalCaracter"/>
          </w:rPr>
          <w:t>49/2008</w:t>
        </w:r>
      </w:hyperlink>
      <w:r w:rsidRPr="0050129A">
        <w:rPr>
          <w:rStyle w:val="TextoNormalCaracter"/>
        </w:rPr>
        <w:t>, VP I.</w:t>
      </w:r>
    </w:p>
    <w:p w:rsidR="0050129A" w:rsidRPr="0050129A" w:rsidRDefault="0050129A" w:rsidP="0050129A">
      <w:pPr>
        <w:pStyle w:val="TextoNormalSangraFrancesa"/>
        <w:rPr>
          <w:rStyle w:val="TextoNormalNegritaCaracter"/>
        </w:rPr>
      </w:pPr>
      <w:r w:rsidRPr="0050129A">
        <w:rPr>
          <w:rStyle w:val="TextoNormalCursivaCaracter"/>
        </w:rPr>
        <w:t>Principio favor actionis</w:t>
      </w:r>
      <w:r>
        <w:t xml:space="preserve"> véase </w:t>
      </w:r>
      <w:hyperlink w:anchor="DESCRIPTORALFABETICO526" w:history="1">
        <w:r w:rsidRPr="0050129A">
          <w:rPr>
            <w:rStyle w:val="TextoNormalNegritaCaracter"/>
          </w:rPr>
          <w:t xml:space="preserve">Principio </w:t>
        </w:r>
        <w:r w:rsidRPr="0050129A">
          <w:rPr>
            <w:rStyle w:val="TextoNormalNegritaCaracter"/>
            <w:i/>
          </w:rPr>
          <w:t>pro actione</w:t>
        </w:r>
      </w:hyperlink>
    </w:p>
    <w:p w:rsidR="0050129A" w:rsidRPr="0050129A" w:rsidRDefault="0050129A" w:rsidP="0050129A">
      <w:pPr>
        <w:pStyle w:val="TextoNormalSangraFrancesa"/>
        <w:rPr>
          <w:rStyle w:val="TextoNormalCaracter"/>
        </w:rPr>
      </w:pPr>
      <w:bookmarkStart w:id="1234" w:name="DESCRIPTORALFABETICO313"/>
      <w:r w:rsidRPr="0050129A">
        <w:rPr>
          <w:rStyle w:val="TextoNormalNegritaCaracter"/>
        </w:rPr>
        <w:t xml:space="preserve">Principio </w:t>
      </w:r>
      <w:r w:rsidRPr="0050129A">
        <w:rPr>
          <w:rStyle w:val="TextoNormalNegritaCaracter"/>
          <w:i/>
        </w:rPr>
        <w:t>non bis in idem</w:t>
      </w:r>
      <w:bookmarkEnd w:id="1234"/>
      <w:r w:rsidRPr="0050129A">
        <w:rPr>
          <w:rStyle w:val="TextoNormalCaracter"/>
        </w:rPr>
        <w:t xml:space="preserve">, Sentencia </w:t>
      </w:r>
      <w:hyperlink w:anchor="SENTENCIA_2008_23" w:history="1">
        <w:r w:rsidRPr="0050129A">
          <w:rPr>
            <w:rStyle w:val="TextoNormalCaracter"/>
          </w:rPr>
          <w:t>23/2008</w:t>
        </w:r>
      </w:hyperlink>
      <w:r w:rsidRPr="0050129A">
        <w:rPr>
          <w:rStyle w:val="TextoNormalCaracter"/>
        </w:rPr>
        <w:t>, ff. 3, 5.</w:t>
      </w:r>
    </w:p>
    <w:p w:rsidR="0050129A" w:rsidRPr="0050129A" w:rsidRDefault="0050129A" w:rsidP="0050129A">
      <w:pPr>
        <w:pStyle w:val="TextoNormalSangraFrancesa"/>
        <w:rPr>
          <w:rStyle w:val="TextoNormalCaracter"/>
        </w:rPr>
      </w:pPr>
      <w:bookmarkStart w:id="1235" w:name="DESCRIPTORALFABETICO526"/>
      <w:r w:rsidRPr="0050129A">
        <w:rPr>
          <w:rStyle w:val="TextoNormalNegritaCaracter"/>
        </w:rPr>
        <w:t xml:space="preserve">Principio </w:t>
      </w:r>
      <w:r w:rsidRPr="0050129A">
        <w:rPr>
          <w:rStyle w:val="TextoNormalNegritaCaracter"/>
          <w:i/>
        </w:rPr>
        <w:t>pro actione</w:t>
      </w:r>
      <w:bookmarkEnd w:id="1235"/>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f. 3; </w:t>
      </w:r>
      <w:hyperlink w:anchor="SENTENCIA_2008_10" w:history="1">
        <w:r w:rsidRPr="0050129A">
          <w:rPr>
            <w:rStyle w:val="TextoNormalCaracter"/>
          </w:rPr>
          <w:t>10/2008</w:t>
        </w:r>
      </w:hyperlink>
      <w:r w:rsidRPr="0050129A">
        <w:rPr>
          <w:rStyle w:val="TextoNormalCaracter"/>
        </w:rPr>
        <w:t xml:space="preserve">, ff. 2, 3; </w:t>
      </w:r>
      <w:hyperlink w:anchor="SENTENCIA_2008_25" w:history="1">
        <w:r w:rsidRPr="0050129A">
          <w:rPr>
            <w:rStyle w:val="TextoNormalCaracter"/>
          </w:rPr>
          <w:t>25/2008</w:t>
        </w:r>
      </w:hyperlink>
      <w:r w:rsidRPr="0050129A">
        <w:rPr>
          <w:rStyle w:val="TextoNormalCaracter"/>
        </w:rPr>
        <w:t xml:space="preserve">, f. 6; </w:t>
      </w:r>
      <w:hyperlink w:anchor="SENTENCIA_2008_26" w:history="1">
        <w:r w:rsidRPr="0050129A">
          <w:rPr>
            <w:rStyle w:val="TextoNormalCaracter"/>
          </w:rPr>
          <w:t>26/2008</w:t>
        </w:r>
      </w:hyperlink>
      <w:r w:rsidRPr="0050129A">
        <w:rPr>
          <w:rStyle w:val="TextoNormalCaracter"/>
        </w:rPr>
        <w:t>, f. 5.</w:t>
      </w:r>
    </w:p>
    <w:p w:rsidR="0050129A" w:rsidRPr="0050129A" w:rsidRDefault="0050129A" w:rsidP="0050129A">
      <w:pPr>
        <w:pStyle w:val="TextoNormalSangraFrancesa"/>
        <w:rPr>
          <w:rStyle w:val="TextoNormalCaracter"/>
        </w:rPr>
      </w:pPr>
      <w:bookmarkStart w:id="1236" w:name="DESCRIPTORALFABETICO304"/>
      <w:r w:rsidRPr="0050129A">
        <w:rPr>
          <w:rStyle w:val="TextoNormalNegritaCaracter"/>
        </w:rPr>
        <w:t>Principios constitucionales</w:t>
      </w:r>
      <w:bookmarkEnd w:id="1236"/>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lastRenderedPageBreak/>
        <w:t xml:space="preserve">    Naturaleza, </w:t>
      </w:r>
      <w:r w:rsidRPr="0050129A">
        <w:rPr>
          <w:rStyle w:val="TextoNormalCaracter"/>
        </w:rPr>
        <w:t xml:space="preserve">Sentencia </w:t>
      </w:r>
      <w:hyperlink w:anchor="SENTENCIA_2008_12" w:history="1">
        <w:r w:rsidRPr="0050129A">
          <w:rPr>
            <w:rStyle w:val="TextoNormalCaracter"/>
          </w:rPr>
          <w:t>12/2008</w:t>
        </w:r>
      </w:hyperlink>
      <w:r w:rsidRPr="0050129A">
        <w:rPr>
          <w:rStyle w:val="TextoNormalCaracter"/>
        </w:rPr>
        <w:t>, VP.</w:t>
      </w:r>
    </w:p>
    <w:p w:rsidR="0050129A" w:rsidRPr="0050129A" w:rsidRDefault="0050129A" w:rsidP="0050129A">
      <w:pPr>
        <w:pStyle w:val="TextoNormalSangraFrancesa"/>
        <w:rPr>
          <w:rStyle w:val="TextoNormalCaracter"/>
        </w:rPr>
      </w:pPr>
      <w:bookmarkStart w:id="1237" w:name="DESCRIPTORALFABETICO397"/>
      <w:r w:rsidRPr="0050129A">
        <w:rPr>
          <w:rStyle w:val="TextoNormalNegritaCaracter"/>
        </w:rPr>
        <w:t>Prisión de seis meses</w:t>
      </w:r>
      <w:bookmarkEnd w:id="1237"/>
      <w:r w:rsidRPr="0050129A">
        <w:rPr>
          <w:rStyle w:val="TextoNormalCaracter"/>
        </w:rPr>
        <w:t xml:space="preserve">, Autos </w:t>
      </w:r>
      <w:hyperlink w:anchor="AUTO_2008_37" w:history="1">
        <w:r w:rsidRPr="0050129A">
          <w:rPr>
            <w:rStyle w:val="TextoNormalCaracter"/>
          </w:rPr>
          <w:t>37/2008</w:t>
        </w:r>
      </w:hyperlink>
      <w:r w:rsidRPr="0050129A">
        <w:rPr>
          <w:rStyle w:val="TextoNormalCaracter"/>
        </w:rPr>
        <w:t xml:space="preserve">; </w:t>
      </w:r>
      <w:hyperlink w:anchor="AUTO_2008_45" w:history="1">
        <w:r w:rsidRPr="0050129A">
          <w:rPr>
            <w:rStyle w:val="TextoNormalCaracter"/>
          </w:rPr>
          <w:t>45/2008</w:t>
        </w:r>
      </w:hyperlink>
      <w:r w:rsidRPr="0050129A">
        <w:rPr>
          <w:rStyle w:val="TextoNormalCaracter"/>
        </w:rPr>
        <w:t xml:space="preserve">; </w:t>
      </w:r>
      <w:hyperlink w:anchor="AUTO_2008_109" w:history="1">
        <w:r w:rsidRPr="0050129A">
          <w:rPr>
            <w:rStyle w:val="TextoNormalCaracter"/>
          </w:rPr>
          <w:t>109/2008</w:t>
        </w:r>
      </w:hyperlink>
      <w:r w:rsidRPr="0050129A">
        <w:rPr>
          <w:rStyle w:val="TextoNormalCaracter"/>
        </w:rPr>
        <w:t>.</w:t>
      </w:r>
    </w:p>
    <w:p w:rsidR="0050129A" w:rsidRPr="0050129A" w:rsidRDefault="0050129A" w:rsidP="0050129A">
      <w:pPr>
        <w:pStyle w:val="TextoNormalSangraFrancesa"/>
        <w:rPr>
          <w:rStyle w:val="TextoNormalCaracter"/>
        </w:rPr>
      </w:pPr>
      <w:bookmarkStart w:id="1238" w:name="DESCRIPTORALFABETICO398"/>
      <w:r w:rsidRPr="0050129A">
        <w:rPr>
          <w:rStyle w:val="TextoNormalNegritaCaracter"/>
        </w:rPr>
        <w:t>Prisión de dos años</w:t>
      </w:r>
      <w:bookmarkEnd w:id="1238"/>
      <w:r w:rsidRPr="0050129A">
        <w:rPr>
          <w:rStyle w:val="TextoNormalCaracter"/>
        </w:rPr>
        <w:t xml:space="preserve">, Autos </w:t>
      </w:r>
      <w:hyperlink w:anchor="AUTO_2008_7" w:history="1">
        <w:r w:rsidRPr="0050129A">
          <w:rPr>
            <w:rStyle w:val="TextoNormalCaracter"/>
          </w:rPr>
          <w:t>7/2008</w:t>
        </w:r>
      </w:hyperlink>
      <w:r w:rsidRPr="0050129A">
        <w:rPr>
          <w:rStyle w:val="TextoNormalCaracter"/>
        </w:rPr>
        <w:t xml:space="preserve">; </w:t>
      </w:r>
      <w:hyperlink w:anchor="AUTO_2008_111" w:history="1">
        <w:r w:rsidRPr="0050129A">
          <w:rPr>
            <w:rStyle w:val="TextoNormalCaracter"/>
          </w:rPr>
          <w:t>111/2008</w:t>
        </w:r>
      </w:hyperlink>
      <w:r w:rsidRPr="0050129A">
        <w:rPr>
          <w:rStyle w:val="TextoNormalCaracter"/>
        </w:rPr>
        <w:t>.</w:t>
      </w:r>
    </w:p>
    <w:p w:rsidR="0050129A" w:rsidRPr="0050129A" w:rsidRDefault="0050129A" w:rsidP="0050129A">
      <w:pPr>
        <w:pStyle w:val="TextoNormalSangraFrancesa"/>
        <w:rPr>
          <w:rStyle w:val="TextoNormalCaracter"/>
        </w:rPr>
      </w:pPr>
      <w:bookmarkStart w:id="1239" w:name="DESCRIPTORALFABETICO399"/>
      <w:r w:rsidRPr="0050129A">
        <w:rPr>
          <w:rStyle w:val="TextoNormalNegritaCaracter"/>
        </w:rPr>
        <w:t>Prisión de tres años</w:t>
      </w:r>
      <w:bookmarkEnd w:id="1239"/>
      <w:r w:rsidRPr="0050129A">
        <w:rPr>
          <w:rStyle w:val="TextoNormalCaracter"/>
        </w:rPr>
        <w:t xml:space="preserve">, Auto </w:t>
      </w:r>
      <w:hyperlink w:anchor="AUTO_2008_59" w:history="1">
        <w:r w:rsidRPr="0050129A">
          <w:rPr>
            <w:rStyle w:val="TextoNormalCaracter"/>
          </w:rPr>
          <w:t>59/2008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Prisión preventiva</w:t>
      </w:r>
      <w:r>
        <w:t xml:space="preserve"> véase </w:t>
      </w:r>
      <w:hyperlink w:anchor="DESCRIPTORALFABETICO574" w:history="1">
        <w:r w:rsidRPr="0050129A">
          <w:rPr>
            <w:rStyle w:val="TextoNormalNegritaCaracter"/>
          </w:rPr>
          <w:t>Prisión provisional</w:t>
        </w:r>
      </w:hyperlink>
    </w:p>
    <w:p w:rsidR="0050129A" w:rsidRPr="0050129A" w:rsidRDefault="0050129A" w:rsidP="0050129A">
      <w:pPr>
        <w:pStyle w:val="TextoNormalSangraFrancesa"/>
        <w:rPr>
          <w:rStyle w:val="TextoNormalCaracter"/>
        </w:rPr>
      </w:pPr>
      <w:bookmarkStart w:id="1240" w:name="DESCRIPTORALFABETICO574"/>
      <w:r w:rsidRPr="0050129A">
        <w:rPr>
          <w:rStyle w:val="TextoNormalNegritaCaracter"/>
        </w:rPr>
        <w:t>Prisión provisional</w:t>
      </w:r>
      <w:bookmarkEnd w:id="1240"/>
      <w:r w:rsidRPr="0050129A">
        <w:rPr>
          <w:rStyle w:val="TextoNormalCaracter"/>
        </w:rPr>
        <w:t xml:space="preserve">, Sentencias </w:t>
      </w:r>
      <w:hyperlink w:anchor="SENTENCIA_2008_27" w:history="1">
        <w:r w:rsidRPr="0050129A">
          <w:rPr>
            <w:rStyle w:val="TextoNormalCaracter"/>
          </w:rPr>
          <w:t>27/2008</w:t>
        </w:r>
      </w:hyperlink>
      <w:r w:rsidRPr="0050129A">
        <w:rPr>
          <w:rStyle w:val="TextoNormalCaracter"/>
        </w:rPr>
        <w:t xml:space="preserve">, ff. 4 a 6; </w:t>
      </w:r>
      <w:hyperlink w:anchor="SENTENCIA_2008_57" w:history="1">
        <w:r w:rsidRPr="0050129A">
          <w:rPr>
            <w:rStyle w:val="TextoNormalCaracter"/>
          </w:rPr>
          <w:t>57/2008</w:t>
        </w:r>
      </w:hyperlink>
      <w:r w:rsidRPr="0050129A">
        <w:rPr>
          <w:rStyle w:val="TextoNormalCaracter"/>
        </w:rPr>
        <w:t>, ff. 2, 6 a 8.</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Sentencias </w:t>
      </w:r>
      <w:hyperlink w:anchor="SENTENCIA_2008_27" w:history="1">
        <w:r w:rsidRPr="0050129A">
          <w:rPr>
            <w:rStyle w:val="TextoNormalCaracter"/>
          </w:rPr>
          <w:t>27/2008</w:t>
        </w:r>
      </w:hyperlink>
      <w:r w:rsidRPr="0050129A">
        <w:rPr>
          <w:rStyle w:val="TextoNormalCaracter"/>
        </w:rPr>
        <w:t xml:space="preserve">, f. 4; </w:t>
      </w:r>
      <w:hyperlink w:anchor="SENTENCIA_2008_57" w:history="1">
        <w:r w:rsidRPr="0050129A">
          <w:rPr>
            <w:rStyle w:val="TextoNormalCaracter"/>
          </w:rPr>
          <w:t>57/2008</w:t>
        </w:r>
      </w:hyperlink>
      <w:r w:rsidRPr="0050129A">
        <w:rPr>
          <w:rStyle w:val="TextoNormalCaracter"/>
        </w:rPr>
        <w:t>, f. 5.</w:t>
      </w:r>
    </w:p>
    <w:p w:rsidR="0050129A" w:rsidRPr="0050129A" w:rsidRDefault="0050129A" w:rsidP="0050129A">
      <w:pPr>
        <w:pStyle w:val="TextoNormalSangraFrancesa"/>
        <w:rPr>
          <w:rStyle w:val="TextoNormalCaracter"/>
        </w:rPr>
      </w:pPr>
      <w:bookmarkStart w:id="1241" w:name="DESCRIPTORALFABETICO59"/>
      <w:r w:rsidRPr="0050129A">
        <w:rPr>
          <w:rStyle w:val="TextoNormalNegritaCaracter"/>
        </w:rPr>
        <w:t>Privación de libertad efectiva</w:t>
      </w:r>
      <w:bookmarkEnd w:id="1241"/>
      <w:r w:rsidRPr="0050129A">
        <w:rPr>
          <w:rStyle w:val="TextoNormalCaracter"/>
        </w:rPr>
        <w:t xml:space="preserve">, Auto </w:t>
      </w:r>
      <w:hyperlink w:anchor="AUTO_2008_44" w:history="1">
        <w:r w:rsidRPr="0050129A">
          <w:rPr>
            <w:rStyle w:val="TextoNormalCaracter"/>
          </w:rPr>
          <w:t>44/2008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Privación del permiso de conducir</w:t>
      </w:r>
      <w:r>
        <w:t xml:space="preserve"> véase </w:t>
      </w:r>
      <w:hyperlink w:anchor="DESCRIPTORALFABETICO344" w:history="1">
        <w:r w:rsidRPr="0050129A">
          <w:rPr>
            <w:rStyle w:val="TextoNormalNegritaCaracter"/>
          </w:rPr>
          <w:t>Suspensión de permiso de conducir</w:t>
        </w:r>
      </w:hyperlink>
    </w:p>
    <w:p w:rsidR="0050129A" w:rsidRPr="0050129A" w:rsidRDefault="0050129A" w:rsidP="0050129A">
      <w:pPr>
        <w:pStyle w:val="TextoNormalSangraFrancesa"/>
        <w:rPr>
          <w:rStyle w:val="TextoNormalCaracter"/>
        </w:rPr>
      </w:pPr>
      <w:bookmarkStart w:id="1242" w:name="DESCRIPTORALFABETICO340"/>
      <w:r w:rsidRPr="0050129A">
        <w:rPr>
          <w:rStyle w:val="TextoNormalNegritaCaracter"/>
        </w:rPr>
        <w:t>Procedimiento administrativo sancionador</w:t>
      </w:r>
      <w:bookmarkEnd w:id="1242"/>
      <w:r w:rsidRPr="0050129A">
        <w:rPr>
          <w:rStyle w:val="TextoNormalCaracter"/>
        </w:rPr>
        <w:t xml:space="preserve">, Sentencias </w:t>
      </w:r>
      <w:hyperlink w:anchor="SENTENCIA_2008_32" w:history="1">
        <w:r w:rsidRPr="0050129A">
          <w:rPr>
            <w:rStyle w:val="TextoNormalCaracter"/>
          </w:rPr>
          <w:t>32/2008</w:t>
        </w:r>
      </w:hyperlink>
      <w:r w:rsidRPr="0050129A">
        <w:rPr>
          <w:rStyle w:val="TextoNormalCaracter"/>
        </w:rPr>
        <w:t xml:space="preserve">, ff. 2, 3; </w:t>
      </w:r>
      <w:hyperlink w:anchor="SENTENCIA_2008_54" w:history="1">
        <w:r w:rsidRPr="0050129A">
          <w:rPr>
            <w:rStyle w:val="TextoNormalCaracter"/>
          </w:rPr>
          <w:t>54/2008</w:t>
        </w:r>
      </w:hyperlink>
      <w:r w:rsidRPr="0050129A">
        <w:rPr>
          <w:rStyle w:val="TextoNormalCaracter"/>
        </w:rPr>
        <w:t>, f. 6.</w:t>
      </w:r>
    </w:p>
    <w:p w:rsidR="0050129A" w:rsidRPr="0050129A" w:rsidRDefault="0050129A" w:rsidP="0050129A">
      <w:pPr>
        <w:pStyle w:val="TextoNormalSangraFrancesa"/>
        <w:rPr>
          <w:rStyle w:val="TextoNormalCaracter"/>
        </w:rPr>
      </w:pPr>
      <w:bookmarkStart w:id="1243" w:name="DESCRIPTORALFABETICO177"/>
      <w:r w:rsidRPr="0050129A">
        <w:rPr>
          <w:rStyle w:val="TextoNormalNegritaCaracter"/>
        </w:rPr>
        <w:t>Procedimiento constitucional</w:t>
      </w:r>
      <w:bookmarkEnd w:id="1243"/>
      <w:r w:rsidRPr="0050129A">
        <w:rPr>
          <w:rStyle w:val="TextoNormalCaracter"/>
        </w:rPr>
        <w:t xml:space="preserve">, Auto </w:t>
      </w:r>
      <w:hyperlink w:anchor="AUTO_2008_88" w:history="1">
        <w:r w:rsidRPr="0050129A">
          <w:rPr>
            <w:rStyle w:val="TextoNormalCaracter"/>
          </w:rPr>
          <w:t>88/2008</w:t>
        </w:r>
      </w:hyperlink>
      <w:r w:rsidRPr="0050129A">
        <w:rPr>
          <w:rStyle w:val="TextoNormalCaracter"/>
        </w:rPr>
        <w:t>.</w:t>
      </w:r>
    </w:p>
    <w:p w:rsidR="0050129A" w:rsidRPr="0050129A" w:rsidRDefault="0050129A" w:rsidP="0050129A">
      <w:pPr>
        <w:pStyle w:val="TextoNormalSangraFrancesa"/>
        <w:rPr>
          <w:rStyle w:val="TextoNormalCaracter"/>
        </w:rPr>
      </w:pPr>
      <w:bookmarkStart w:id="1244" w:name="DESCRIPTORALFABETICO546"/>
      <w:r w:rsidRPr="0050129A">
        <w:rPr>
          <w:rStyle w:val="TextoNormalNegritaCaracter"/>
        </w:rPr>
        <w:t>Procedimiento de adopción</w:t>
      </w:r>
      <w:bookmarkEnd w:id="1244"/>
      <w:r w:rsidRPr="0050129A">
        <w:rPr>
          <w:rStyle w:val="TextoNormalCaracter"/>
        </w:rPr>
        <w:t xml:space="preserve">, Sentencia </w:t>
      </w:r>
      <w:hyperlink w:anchor="SENTENCIA_2008_58" w:history="1">
        <w:r w:rsidRPr="0050129A">
          <w:rPr>
            <w:rStyle w:val="TextoNormalCaracter"/>
          </w:rPr>
          <w:t>58/2008</w:t>
        </w:r>
      </w:hyperlink>
      <w:r w:rsidRPr="0050129A">
        <w:rPr>
          <w:rStyle w:val="TextoNormalCaracter"/>
        </w:rPr>
        <w:t>, ff. 1 a 5.</w:t>
      </w:r>
    </w:p>
    <w:p w:rsidR="0050129A" w:rsidRPr="0050129A" w:rsidRDefault="0050129A" w:rsidP="0050129A">
      <w:pPr>
        <w:pStyle w:val="TextoNormalSangraFrancesa"/>
        <w:rPr>
          <w:rStyle w:val="TextoNormalCaracter"/>
        </w:rPr>
      </w:pPr>
      <w:bookmarkStart w:id="1245" w:name="DESCRIPTORALFABETICO419"/>
      <w:r w:rsidRPr="0050129A">
        <w:rPr>
          <w:rStyle w:val="TextoNormalNegritaCaracter"/>
        </w:rPr>
        <w:t>Procedimiento disciplinario penitenciario</w:t>
      </w:r>
      <w:bookmarkEnd w:id="1245"/>
      <w:r w:rsidRPr="0050129A">
        <w:rPr>
          <w:rStyle w:val="TextoNormalCaracter"/>
        </w:rPr>
        <w:t xml:space="preserve">, Sentencias </w:t>
      </w:r>
      <w:hyperlink w:anchor="SENTENCIA_2008_5" w:history="1">
        <w:r w:rsidRPr="0050129A">
          <w:rPr>
            <w:rStyle w:val="TextoNormalCaracter"/>
          </w:rPr>
          <w:t>5/2008</w:t>
        </w:r>
      </w:hyperlink>
      <w:r w:rsidRPr="0050129A">
        <w:rPr>
          <w:rStyle w:val="TextoNormalCaracter"/>
        </w:rPr>
        <w:t xml:space="preserve">, f. 4; </w:t>
      </w:r>
      <w:hyperlink w:anchor="SENTENCIA_2008_42" w:history="1">
        <w:r w:rsidRPr="0050129A">
          <w:rPr>
            <w:rStyle w:val="TextoNormalCaracter"/>
          </w:rPr>
          <w:t>42/2008</w:t>
        </w:r>
      </w:hyperlink>
      <w:r w:rsidRPr="0050129A">
        <w:rPr>
          <w:rStyle w:val="TextoNormalCaracter"/>
        </w:rPr>
        <w:t>, ff. 1, 3, 4, 5, 6.</w:t>
      </w:r>
    </w:p>
    <w:p w:rsidR="0050129A" w:rsidRPr="0050129A" w:rsidRDefault="0050129A" w:rsidP="0050129A">
      <w:pPr>
        <w:pStyle w:val="TextoNormalSangraFrancesa"/>
        <w:rPr>
          <w:rStyle w:val="TextoNormalNegritaCaracter"/>
        </w:rPr>
      </w:pPr>
      <w:r w:rsidRPr="0050129A">
        <w:rPr>
          <w:rStyle w:val="TextoNormalCursivaCaracter"/>
        </w:rPr>
        <w:t>Procedimiento penitenciario sancionador</w:t>
      </w:r>
      <w:r>
        <w:t xml:space="preserve"> véase </w:t>
      </w:r>
      <w:hyperlink w:anchor="DESCRIPTORALFABETICO419" w:history="1">
        <w:r w:rsidRPr="0050129A">
          <w:rPr>
            <w:rStyle w:val="TextoNormalNegritaCaracter"/>
          </w:rPr>
          <w:t>Procedimiento disciplinario penitenciario</w:t>
        </w:r>
      </w:hyperlink>
    </w:p>
    <w:p w:rsidR="0050129A" w:rsidRPr="0050129A" w:rsidRDefault="0050129A" w:rsidP="0050129A">
      <w:pPr>
        <w:pStyle w:val="TextoNormalSangraFrancesa"/>
        <w:rPr>
          <w:rStyle w:val="TextoNormalCaracter"/>
        </w:rPr>
      </w:pPr>
      <w:bookmarkStart w:id="1246" w:name="DESCRIPTORALFABETICO544"/>
      <w:r w:rsidRPr="0050129A">
        <w:rPr>
          <w:rStyle w:val="TextoNormalNegritaCaracter"/>
        </w:rPr>
        <w:t>Proceso civil</w:t>
      </w:r>
      <w:bookmarkEnd w:id="1246"/>
      <w:r w:rsidRPr="0050129A">
        <w:rPr>
          <w:rStyle w:val="TextoNormalCaracter"/>
        </w:rPr>
        <w:t xml:space="preserve">, Sentencia </w:t>
      </w:r>
      <w:hyperlink w:anchor="SENTENCIA_2008_17" w:history="1">
        <w:r w:rsidRPr="0050129A">
          <w:rPr>
            <w:rStyle w:val="TextoNormalCaracter"/>
          </w:rPr>
          <w:t>17/2008</w:t>
        </w:r>
      </w:hyperlink>
      <w:r w:rsidRPr="0050129A">
        <w:rPr>
          <w:rStyle w:val="TextoNormalCaracter"/>
        </w:rPr>
        <w:t>, f. 4.</w:t>
      </w:r>
    </w:p>
    <w:p w:rsidR="0050129A" w:rsidRPr="0050129A" w:rsidRDefault="0050129A" w:rsidP="0050129A">
      <w:pPr>
        <w:pStyle w:val="TextoNormalSangraFrancesa"/>
        <w:rPr>
          <w:rStyle w:val="TextoNormalCaracter"/>
        </w:rPr>
      </w:pPr>
      <w:bookmarkStart w:id="1247" w:name="DESCRIPTORALFABETICO553"/>
      <w:r w:rsidRPr="0050129A">
        <w:rPr>
          <w:rStyle w:val="TextoNormalNegritaCaracter"/>
        </w:rPr>
        <w:t>Proceso contencioso-administrativo</w:t>
      </w:r>
      <w:bookmarkEnd w:id="1247"/>
      <w:r w:rsidRPr="0050129A">
        <w:rPr>
          <w:rStyle w:val="TextoNormalCaracter"/>
        </w:rPr>
        <w:t xml:space="preserve">, Sentencia </w:t>
      </w:r>
      <w:hyperlink w:anchor="SENTENCIA_2008_24" w:history="1">
        <w:r w:rsidRPr="0050129A">
          <w:rPr>
            <w:rStyle w:val="TextoNormalCaracter"/>
          </w:rPr>
          <w:t>24/2008</w:t>
        </w:r>
      </w:hyperlink>
      <w:r w:rsidRPr="0050129A">
        <w:rPr>
          <w:rStyle w:val="TextoNormalCaracter"/>
        </w:rPr>
        <w:t>, f. 3.</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82" w:history="1">
        <w:r w:rsidRPr="0050129A">
          <w:rPr>
            <w:rStyle w:val="TextoNormalCaracter"/>
          </w:rPr>
          <w:t>82/2008</w:t>
        </w:r>
      </w:hyperlink>
      <w:r w:rsidRPr="0050129A">
        <w:rPr>
          <w:rStyle w:val="TextoNormalCaracter"/>
        </w:rPr>
        <w:t>.</w:t>
      </w:r>
    </w:p>
    <w:p w:rsidR="0050129A" w:rsidRPr="0050129A" w:rsidRDefault="0050129A" w:rsidP="0050129A">
      <w:pPr>
        <w:pStyle w:val="TextoNormalSangraFrancesa"/>
        <w:rPr>
          <w:rStyle w:val="TextoNormalCaracter"/>
        </w:rPr>
      </w:pPr>
      <w:bookmarkStart w:id="1248" w:name="DESCRIPTORALFABETICO235"/>
      <w:r w:rsidRPr="0050129A">
        <w:rPr>
          <w:rStyle w:val="TextoNormalNegritaCaracter"/>
        </w:rPr>
        <w:t>Proceso contencioso-administrativo pendiente</w:t>
      </w:r>
      <w:bookmarkEnd w:id="1248"/>
      <w:r w:rsidRPr="0050129A">
        <w:rPr>
          <w:rStyle w:val="TextoNormalCaracter"/>
        </w:rPr>
        <w:t xml:space="preserve">, Sentencia </w:t>
      </w:r>
      <w:hyperlink w:anchor="SENTENCIA_2008_1" w:history="1">
        <w:r w:rsidRPr="0050129A">
          <w:rPr>
            <w:rStyle w:val="TextoNormalCaracter"/>
          </w:rPr>
          <w:t>1/2008</w:t>
        </w:r>
      </w:hyperlink>
      <w:r w:rsidRPr="0050129A">
        <w:rPr>
          <w:rStyle w:val="TextoNormalCaracter"/>
        </w:rPr>
        <w:t>, f. 2.</w:t>
      </w:r>
    </w:p>
    <w:p w:rsidR="0050129A" w:rsidRPr="0050129A" w:rsidRDefault="0050129A" w:rsidP="0050129A">
      <w:pPr>
        <w:pStyle w:val="TextoNormalSangraFrancesa"/>
        <w:rPr>
          <w:rStyle w:val="TextoNormalCaracter"/>
        </w:rPr>
      </w:pPr>
      <w:bookmarkStart w:id="1249" w:name="DESCRIPTORALFABETICO565"/>
      <w:r w:rsidRPr="0050129A">
        <w:rPr>
          <w:rStyle w:val="TextoNormalNegritaCaracter"/>
        </w:rPr>
        <w:t>Proceso penal</w:t>
      </w:r>
      <w:bookmarkEnd w:id="1249"/>
      <w:r w:rsidRPr="0050129A">
        <w:rPr>
          <w:rStyle w:val="TextoNormalCaracter"/>
        </w:rPr>
        <w:t xml:space="preserve">, Sentencias </w:t>
      </w:r>
      <w:hyperlink w:anchor="SENTENCIA_2008_28" w:history="1">
        <w:r w:rsidRPr="0050129A">
          <w:rPr>
            <w:rStyle w:val="TextoNormalCaracter"/>
          </w:rPr>
          <w:t>28/2008</w:t>
        </w:r>
      </w:hyperlink>
      <w:r w:rsidRPr="0050129A">
        <w:rPr>
          <w:rStyle w:val="TextoNormalCaracter"/>
        </w:rPr>
        <w:t xml:space="preserve">, f. 2; </w:t>
      </w:r>
      <w:hyperlink w:anchor="SENTENCIA_2008_38" w:history="1">
        <w:r w:rsidRPr="0050129A">
          <w:rPr>
            <w:rStyle w:val="TextoNormalCaracter"/>
          </w:rPr>
          <w:t>38/2008</w:t>
        </w:r>
      </w:hyperlink>
      <w:r w:rsidRPr="0050129A">
        <w:rPr>
          <w:rStyle w:val="TextoNormalCaracter"/>
        </w:rPr>
        <w:t>, f. 3.</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32" w:history="1">
        <w:r w:rsidRPr="0050129A">
          <w:rPr>
            <w:rStyle w:val="TextoNormalCaracter"/>
          </w:rPr>
          <w:t>32/2008</w:t>
        </w:r>
      </w:hyperlink>
      <w:r w:rsidRPr="0050129A">
        <w:rPr>
          <w:rStyle w:val="TextoNormalCaracter"/>
        </w:rPr>
        <w:t>.</w:t>
      </w:r>
    </w:p>
    <w:p w:rsidR="0050129A" w:rsidRPr="0050129A" w:rsidRDefault="0050129A" w:rsidP="0050129A">
      <w:pPr>
        <w:pStyle w:val="TextoNormalSangraFrancesa"/>
        <w:rPr>
          <w:rStyle w:val="TextoNormalCaracter"/>
        </w:rPr>
      </w:pPr>
      <w:bookmarkStart w:id="1250" w:name="DESCRIPTORALFABETICO549"/>
      <w:r w:rsidRPr="0050129A">
        <w:rPr>
          <w:rStyle w:val="TextoNormalNegritaCaracter"/>
        </w:rPr>
        <w:t>Procesos sobre guarda y custodia</w:t>
      </w:r>
      <w:bookmarkEnd w:id="1250"/>
      <w:r w:rsidRPr="0050129A">
        <w:rPr>
          <w:rStyle w:val="TextoNormalCaracter"/>
        </w:rPr>
        <w:t xml:space="preserve">, Sentencias </w:t>
      </w:r>
      <w:hyperlink w:anchor="SENTENCIA_2008_11" w:history="1">
        <w:r w:rsidRPr="0050129A">
          <w:rPr>
            <w:rStyle w:val="TextoNormalCaracter"/>
          </w:rPr>
          <w:t>11/2008</w:t>
        </w:r>
      </w:hyperlink>
      <w:r w:rsidRPr="0050129A">
        <w:rPr>
          <w:rStyle w:val="TextoNormalCaracter"/>
        </w:rPr>
        <w:t xml:space="preserve">, ff. 1, 5 a 9; </w:t>
      </w:r>
      <w:hyperlink w:anchor="SENTENCIA_2008_22" w:history="1">
        <w:r w:rsidRPr="0050129A">
          <w:rPr>
            <w:rStyle w:val="TextoNormalCaracter"/>
          </w:rPr>
          <w:t>22/2008</w:t>
        </w:r>
      </w:hyperlink>
      <w:r w:rsidRPr="0050129A">
        <w:rPr>
          <w:rStyle w:val="TextoNormalCaracter"/>
        </w:rPr>
        <w:t>, ff. 2 a 8.</w:t>
      </w:r>
    </w:p>
    <w:p w:rsidR="0050129A" w:rsidRPr="0050129A" w:rsidRDefault="0050129A" w:rsidP="0050129A">
      <w:pPr>
        <w:pStyle w:val="TextoNormalSangraFrancesa"/>
        <w:rPr>
          <w:rStyle w:val="TextoNormalCaracter"/>
        </w:rPr>
      </w:pPr>
      <w:bookmarkStart w:id="1251" w:name="DESCRIPTORALFABETICO391"/>
      <w:r w:rsidRPr="0050129A">
        <w:rPr>
          <w:rStyle w:val="TextoNormalNegritaCaracter"/>
        </w:rPr>
        <w:t>Prohibición de aproximación a la víctima</w:t>
      </w:r>
      <w:bookmarkEnd w:id="1251"/>
      <w:r w:rsidRPr="0050129A">
        <w:rPr>
          <w:rStyle w:val="TextoNormalCaracter"/>
        </w:rPr>
        <w:t xml:space="preserve">, Auto </w:t>
      </w:r>
      <w:hyperlink w:anchor="AUTO_2008_111" w:history="1">
        <w:r w:rsidRPr="0050129A">
          <w:rPr>
            <w:rStyle w:val="TextoNormalCaracter"/>
          </w:rPr>
          <w:t>111/2008</w:t>
        </w:r>
      </w:hyperlink>
      <w:r w:rsidRPr="0050129A">
        <w:rPr>
          <w:rStyle w:val="TextoNormalCaracter"/>
        </w:rPr>
        <w:t>.</w:t>
      </w:r>
    </w:p>
    <w:p w:rsidR="0050129A" w:rsidRPr="0050129A" w:rsidRDefault="0050129A" w:rsidP="0050129A">
      <w:pPr>
        <w:pStyle w:val="TextoNormalSangraFrancesa"/>
        <w:rPr>
          <w:rStyle w:val="TextoNormalCaracter"/>
        </w:rPr>
      </w:pPr>
      <w:bookmarkStart w:id="1252" w:name="DESCRIPTORALFABETICO294"/>
      <w:r w:rsidRPr="0050129A">
        <w:rPr>
          <w:rStyle w:val="TextoNormalNegritaCaracter"/>
        </w:rPr>
        <w:t>Prohibición de mandato imperativo</w:t>
      </w:r>
      <w:bookmarkEnd w:id="1252"/>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17.</w:t>
      </w:r>
    </w:p>
    <w:p w:rsidR="0050129A" w:rsidRPr="0050129A" w:rsidRDefault="0050129A" w:rsidP="0050129A">
      <w:pPr>
        <w:pStyle w:val="TextoNormalSangraFrancesa"/>
        <w:rPr>
          <w:rStyle w:val="TextoNormalCaracter"/>
        </w:rPr>
      </w:pPr>
      <w:bookmarkStart w:id="1253" w:name="DESCRIPTORALFABETICO246"/>
      <w:r w:rsidRPr="0050129A">
        <w:rPr>
          <w:rStyle w:val="TextoNormalNegritaCaracter"/>
        </w:rPr>
        <w:t>Pronunciamiento preventivo</w:t>
      </w:r>
      <w:bookmarkEnd w:id="1253"/>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9.</w:t>
      </w:r>
    </w:p>
    <w:p w:rsidR="0050129A" w:rsidRPr="0050129A" w:rsidRDefault="0050129A" w:rsidP="0050129A">
      <w:pPr>
        <w:pStyle w:val="TextoNormalSangraFrancesa"/>
        <w:rPr>
          <w:rStyle w:val="TextoNormalCaracter"/>
        </w:rPr>
      </w:pPr>
      <w:bookmarkStart w:id="1254" w:name="DESCRIPTORALFABETICO575"/>
      <w:r w:rsidRPr="0050129A">
        <w:rPr>
          <w:rStyle w:val="TextoNormalNegritaCaracter"/>
        </w:rPr>
        <w:t>Prórroga de prisión provisional al margen de las previsiones legales</w:t>
      </w:r>
      <w:bookmarkEnd w:id="1254"/>
      <w:r w:rsidRPr="0050129A">
        <w:rPr>
          <w:rStyle w:val="TextoNormalCaracter"/>
        </w:rPr>
        <w:t xml:space="preserve">, Sentencia </w:t>
      </w:r>
      <w:hyperlink w:anchor="SENTENCIA_2008_27" w:history="1">
        <w:r w:rsidRPr="0050129A">
          <w:rPr>
            <w:rStyle w:val="TextoNormalCaracter"/>
          </w:rPr>
          <w:t>27/2008</w:t>
        </w:r>
      </w:hyperlink>
      <w:r w:rsidRPr="0050129A">
        <w:rPr>
          <w:rStyle w:val="TextoNormalCaracter"/>
        </w:rPr>
        <w:t>, f. 6.</w:t>
      </w:r>
    </w:p>
    <w:p w:rsidR="0050129A" w:rsidRPr="0050129A" w:rsidRDefault="0050129A" w:rsidP="0050129A">
      <w:pPr>
        <w:pStyle w:val="TextoNormalSangraFrancesa"/>
        <w:rPr>
          <w:rStyle w:val="TextoNormalCaracter"/>
        </w:rPr>
      </w:pPr>
      <w:bookmarkStart w:id="1255" w:name="DESCRIPTORALFABETICO266"/>
      <w:r w:rsidRPr="0050129A">
        <w:rPr>
          <w:rStyle w:val="TextoNormalNegritaCaracter"/>
        </w:rPr>
        <w:t>Prórroga del mandato del Presidente del Tribunal Constitucional</w:t>
      </w:r>
      <w:bookmarkEnd w:id="1255"/>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19 a 21, VP I.</w:t>
      </w:r>
    </w:p>
    <w:p w:rsidR="0050129A" w:rsidRPr="0050129A" w:rsidRDefault="0050129A" w:rsidP="0050129A">
      <w:pPr>
        <w:pStyle w:val="TextoNormalSangraFrancesa"/>
        <w:rPr>
          <w:rStyle w:val="TextoNormalNegritaCaracter"/>
        </w:rPr>
      </w:pPr>
      <w:r w:rsidRPr="0050129A">
        <w:rPr>
          <w:rStyle w:val="TextoNormalCursivaCaracter"/>
        </w:rPr>
        <w:t>Protección de datos de carácter personal</w:t>
      </w:r>
      <w:r>
        <w:t xml:space="preserve"> véase </w:t>
      </w:r>
      <w:hyperlink w:anchor="DESCRIPTORALFABETICO63" w:history="1">
        <w:r w:rsidRPr="0050129A">
          <w:rPr>
            <w:rStyle w:val="TextoNormalNegritaCaracter"/>
          </w:rPr>
          <w:t>Derecho a la protección de datos personales</w:t>
        </w:r>
      </w:hyperlink>
    </w:p>
    <w:p w:rsidR="0050129A" w:rsidRPr="0050129A" w:rsidRDefault="0050129A" w:rsidP="0050129A">
      <w:pPr>
        <w:pStyle w:val="TextoNormalSangraFrancesa"/>
        <w:rPr>
          <w:rStyle w:val="TextoNormalNegritaCaracter"/>
        </w:rPr>
      </w:pPr>
      <w:r w:rsidRPr="0050129A">
        <w:rPr>
          <w:rStyle w:val="TextoNormalCursivaCaracter"/>
        </w:rPr>
        <w:t>Protección de datos personales</w:t>
      </w:r>
      <w:r>
        <w:t xml:space="preserve"> véase </w:t>
      </w:r>
      <w:hyperlink w:anchor="DESCRIPTORALFABETICO63" w:history="1">
        <w:r w:rsidRPr="0050129A">
          <w:rPr>
            <w:rStyle w:val="TextoNormalNegritaCaracter"/>
          </w:rPr>
          <w:t>Derecho a la protección de datos personales</w:t>
        </w:r>
      </w:hyperlink>
    </w:p>
    <w:p w:rsidR="0050129A" w:rsidRPr="0050129A" w:rsidRDefault="0050129A" w:rsidP="0050129A">
      <w:pPr>
        <w:pStyle w:val="TextoNormalSangraFrancesa"/>
        <w:rPr>
          <w:rStyle w:val="TextoNormalCaracter"/>
        </w:rPr>
      </w:pPr>
      <w:bookmarkStart w:id="1256" w:name="DESCRIPTORALFABETICO124"/>
      <w:r w:rsidRPr="0050129A">
        <w:rPr>
          <w:rStyle w:val="TextoNormalNegritaCaracter"/>
        </w:rPr>
        <w:t>Protección del honor</w:t>
      </w:r>
      <w:bookmarkEnd w:id="1256"/>
      <w:r w:rsidRPr="0050129A">
        <w:rPr>
          <w:rStyle w:val="TextoNormalCaracter"/>
        </w:rPr>
        <w:t xml:space="preserve">, Sentencia </w:t>
      </w:r>
      <w:hyperlink w:anchor="SENTENCIA_2008_45" w:history="1">
        <w:r w:rsidRPr="0050129A">
          <w:rPr>
            <w:rStyle w:val="TextoNormalCaracter"/>
          </w:rPr>
          <w:t>45/2008</w:t>
        </w:r>
      </w:hyperlink>
      <w:r w:rsidRPr="0050129A">
        <w:rPr>
          <w:rStyle w:val="TextoNormalCaracter"/>
        </w:rPr>
        <w:t>, f. 3, VP.</w:t>
      </w:r>
    </w:p>
    <w:p w:rsidR="0050129A" w:rsidRPr="0050129A" w:rsidRDefault="0050129A" w:rsidP="0050129A">
      <w:pPr>
        <w:pStyle w:val="TextoNormalSangraFrancesa"/>
        <w:rPr>
          <w:rStyle w:val="TextoNormalCaracter"/>
        </w:rPr>
      </w:pPr>
      <w:bookmarkStart w:id="1257" w:name="DESCRIPTORALFABETICO365"/>
      <w:r w:rsidRPr="0050129A">
        <w:rPr>
          <w:rStyle w:val="TextoNormalNegritaCaracter"/>
        </w:rPr>
        <w:t>Protección del medio ambiente</w:t>
      </w:r>
      <w:bookmarkEnd w:id="1257"/>
      <w:r w:rsidRPr="0050129A">
        <w:rPr>
          <w:rStyle w:val="TextoNormalCaracter"/>
        </w:rPr>
        <w:t xml:space="preserve">, Auto </w:t>
      </w:r>
      <w:hyperlink w:anchor="AUTO_2008_88" w:history="1">
        <w:r w:rsidRPr="0050129A">
          <w:rPr>
            <w:rStyle w:val="TextoNormalCaracter"/>
          </w:rPr>
          <w:t>88/2008</w:t>
        </w:r>
      </w:hyperlink>
      <w:r w:rsidRPr="0050129A">
        <w:rPr>
          <w:rStyle w:val="TextoNormalCaracter"/>
        </w:rPr>
        <w:t>.</w:t>
      </w:r>
    </w:p>
    <w:p w:rsidR="0050129A" w:rsidRPr="0050129A" w:rsidRDefault="0050129A" w:rsidP="0050129A">
      <w:pPr>
        <w:pStyle w:val="TextoNormalSangraFrancesa"/>
        <w:rPr>
          <w:rStyle w:val="TextoNormalCaracter"/>
        </w:rPr>
      </w:pPr>
      <w:bookmarkStart w:id="1258" w:name="DESCRIPTORALFABETICO143"/>
      <w:r w:rsidRPr="0050129A">
        <w:rPr>
          <w:rStyle w:val="TextoNormalNegritaCaracter"/>
        </w:rPr>
        <w:t>Protección jurisdiccional de los derechos fundamentales</w:t>
      </w:r>
      <w:bookmarkEnd w:id="1258"/>
      <w:r w:rsidRPr="0050129A">
        <w:rPr>
          <w:rStyle w:val="TextoNormalCaracter"/>
        </w:rPr>
        <w:t xml:space="preserve">, Sentencias </w:t>
      </w:r>
      <w:hyperlink w:anchor="SENTENCIA_2008_5" w:history="1">
        <w:r w:rsidRPr="0050129A">
          <w:rPr>
            <w:rStyle w:val="TextoNormalCaracter"/>
          </w:rPr>
          <w:t>5/2008</w:t>
        </w:r>
      </w:hyperlink>
      <w:r w:rsidRPr="0050129A">
        <w:rPr>
          <w:rStyle w:val="TextoNormalCaracter"/>
        </w:rPr>
        <w:t xml:space="preserve">, f. 3; </w:t>
      </w:r>
      <w:hyperlink w:anchor="SENTENCIA_2008_34" w:history="1">
        <w:r w:rsidRPr="0050129A">
          <w:rPr>
            <w:rStyle w:val="TextoNormalCaracter"/>
          </w:rPr>
          <w:t>34/2008</w:t>
        </w:r>
      </w:hyperlink>
      <w:r w:rsidRPr="0050129A">
        <w:rPr>
          <w:rStyle w:val="TextoNormalCaracter"/>
        </w:rPr>
        <w:t xml:space="preserve">, ff. 2, 3, 6; </w:t>
      </w:r>
      <w:hyperlink w:anchor="SENTENCIA_2008_52" w:history="1">
        <w:r w:rsidRPr="0050129A">
          <w:rPr>
            <w:rStyle w:val="TextoNormalCaracter"/>
          </w:rPr>
          <w:t>52/2008</w:t>
        </w:r>
      </w:hyperlink>
      <w:r w:rsidRPr="0050129A">
        <w:rPr>
          <w:rStyle w:val="TextoNormalCaracter"/>
        </w:rPr>
        <w:t>, f. 2.</w:t>
      </w:r>
    </w:p>
    <w:p w:rsidR="0050129A" w:rsidRPr="0050129A" w:rsidRDefault="0050129A" w:rsidP="0050129A">
      <w:pPr>
        <w:pStyle w:val="TextoNormalSangraFrancesa"/>
        <w:rPr>
          <w:rStyle w:val="TextoNormalNegritaCaracter"/>
        </w:rPr>
      </w:pPr>
      <w:r w:rsidRPr="0050129A">
        <w:rPr>
          <w:rStyle w:val="TextoNormalCursivaCaracter"/>
        </w:rPr>
        <w:t>Provisión de plazas de funcionarios</w:t>
      </w:r>
      <w:r>
        <w:t xml:space="preserve"> véase </w:t>
      </w:r>
      <w:hyperlink w:anchor="DESCRIPTORALFABETICO352" w:history="1">
        <w:r w:rsidRPr="0050129A">
          <w:rPr>
            <w:rStyle w:val="TextoNormalNegritaCaracter"/>
          </w:rPr>
          <w:t>Provisión de puestos de trabajo</w:t>
        </w:r>
      </w:hyperlink>
    </w:p>
    <w:p w:rsidR="0050129A" w:rsidRPr="0050129A" w:rsidRDefault="0050129A" w:rsidP="0050129A">
      <w:pPr>
        <w:pStyle w:val="TextoNormalSangraFrancesa"/>
        <w:rPr>
          <w:rStyle w:val="TextoNormalCaracter"/>
        </w:rPr>
      </w:pPr>
      <w:bookmarkStart w:id="1259" w:name="DESCRIPTORALFABETICO352"/>
      <w:r w:rsidRPr="0050129A">
        <w:rPr>
          <w:rStyle w:val="TextoNormalNegritaCaracter"/>
        </w:rPr>
        <w:t>Provisión de puestos de trabajo</w:t>
      </w:r>
      <w:bookmarkEnd w:id="1259"/>
      <w:r w:rsidRPr="0050129A">
        <w:rPr>
          <w:rStyle w:val="TextoNormalCaracter"/>
        </w:rPr>
        <w:t xml:space="preserve">, Sentencia </w:t>
      </w:r>
      <w:hyperlink w:anchor="SENTENCIA_2008_30" w:history="1">
        <w:r w:rsidRPr="0050129A">
          <w:rPr>
            <w:rStyle w:val="TextoNormalCaracter"/>
          </w:rPr>
          <w:t>30/2008</w:t>
        </w:r>
      </w:hyperlink>
      <w:r w:rsidRPr="0050129A">
        <w:rPr>
          <w:rStyle w:val="TextoNormalCaracter"/>
        </w:rPr>
        <w:t>, f. 5.</w:t>
      </w:r>
    </w:p>
    <w:p w:rsidR="0050129A" w:rsidRPr="0050129A" w:rsidRDefault="0050129A" w:rsidP="0050129A">
      <w:pPr>
        <w:pStyle w:val="TextoNormalSangraFrancesa"/>
        <w:rPr>
          <w:rStyle w:val="TextoNormalCaracter"/>
        </w:rPr>
      </w:pPr>
      <w:bookmarkStart w:id="1260" w:name="DESCRIPTORALFABETICO491"/>
      <w:r w:rsidRPr="0050129A">
        <w:rPr>
          <w:rStyle w:val="TextoNormalNegritaCaracter"/>
        </w:rPr>
        <w:t>Prueba</w:t>
      </w:r>
      <w:bookmarkEnd w:id="1260"/>
      <w:r w:rsidRPr="0050129A">
        <w:rPr>
          <w:rStyle w:val="TextoNormalCaracter"/>
        </w:rPr>
        <w:t xml:space="preserve">, Sentencia </w:t>
      </w:r>
      <w:hyperlink w:anchor="SENTENCIA_2008_22" w:history="1">
        <w:r w:rsidRPr="0050129A">
          <w:rPr>
            <w:rStyle w:val="TextoNormalCaracter"/>
          </w:rPr>
          <w:t>22/2008</w:t>
        </w:r>
      </w:hyperlink>
      <w:r w:rsidRPr="0050129A">
        <w:rPr>
          <w:rStyle w:val="TextoNormalCaracter"/>
        </w:rPr>
        <w:t>, f. 5.</w:t>
      </w:r>
    </w:p>
    <w:p w:rsidR="0050129A" w:rsidRPr="0050129A" w:rsidRDefault="0050129A" w:rsidP="0050129A">
      <w:pPr>
        <w:pStyle w:val="TextoNormalSangraFrancesa"/>
        <w:rPr>
          <w:rStyle w:val="TextoNormalCaracter"/>
        </w:rPr>
      </w:pPr>
      <w:bookmarkStart w:id="1261" w:name="DESCRIPTORALFABETICO576"/>
      <w:r w:rsidRPr="0050129A">
        <w:rPr>
          <w:rStyle w:val="TextoNormalNegritaCaracter"/>
        </w:rPr>
        <w:t>Prueba de cargo</w:t>
      </w:r>
      <w:bookmarkEnd w:id="1261"/>
      <w:r w:rsidRPr="0050129A">
        <w:rPr>
          <w:rStyle w:val="TextoNormalCaracter"/>
        </w:rPr>
        <w:t xml:space="preserve">, Sentencias </w:t>
      </w:r>
      <w:hyperlink w:anchor="SENTENCIA_2008_29" w:history="1">
        <w:r w:rsidRPr="0050129A">
          <w:rPr>
            <w:rStyle w:val="TextoNormalCaracter"/>
          </w:rPr>
          <w:t>29/2008</w:t>
        </w:r>
      </w:hyperlink>
      <w:r w:rsidRPr="0050129A">
        <w:rPr>
          <w:rStyle w:val="TextoNormalCaracter"/>
        </w:rPr>
        <w:t xml:space="preserve">, f. 5; </w:t>
      </w:r>
      <w:hyperlink w:anchor="SENTENCIA_2008_40" w:history="1">
        <w:r w:rsidRPr="0050129A">
          <w:rPr>
            <w:rStyle w:val="TextoNormalCaracter"/>
          </w:rPr>
          <w:t>40/2008</w:t>
        </w:r>
      </w:hyperlink>
      <w:r w:rsidRPr="0050129A">
        <w:rPr>
          <w:rStyle w:val="TextoNormalCaracter"/>
        </w:rPr>
        <w:t>, f. 2.</w:t>
      </w:r>
    </w:p>
    <w:p w:rsidR="0050129A" w:rsidRPr="0050129A" w:rsidRDefault="0050129A" w:rsidP="0050129A">
      <w:pPr>
        <w:pStyle w:val="TextoNormalSangraFrancesa"/>
        <w:rPr>
          <w:rStyle w:val="TextoNormalCaracter"/>
        </w:rPr>
      </w:pPr>
      <w:bookmarkStart w:id="1262" w:name="DESCRIPTORALFABETICO577"/>
      <w:r w:rsidRPr="0050129A">
        <w:rPr>
          <w:rStyle w:val="TextoNormalNegritaCaracter"/>
        </w:rPr>
        <w:t>Prueba de cargo suficiente</w:t>
      </w:r>
      <w:bookmarkEnd w:id="1262"/>
      <w:r w:rsidRPr="0050129A">
        <w:rPr>
          <w:rStyle w:val="TextoNormalCaracter"/>
        </w:rPr>
        <w:t xml:space="preserve">, Sentencia </w:t>
      </w:r>
      <w:hyperlink w:anchor="SENTENCIA_2008_29" w:history="1">
        <w:r w:rsidRPr="0050129A">
          <w:rPr>
            <w:rStyle w:val="TextoNormalCaracter"/>
          </w:rPr>
          <w:t>29/2008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Prueba de indicios</w:t>
      </w:r>
      <w:r>
        <w:t xml:space="preserve"> véase </w:t>
      </w:r>
      <w:hyperlink w:anchor="DESCRIPTORALFABETICO496" w:history="1">
        <w:r w:rsidRPr="0050129A">
          <w:rPr>
            <w:rStyle w:val="TextoNormalNegritaCaracter"/>
          </w:rPr>
          <w:t>Prueba indiciaria</w:t>
        </w:r>
      </w:hyperlink>
    </w:p>
    <w:p w:rsidR="0050129A" w:rsidRPr="0050129A" w:rsidRDefault="0050129A" w:rsidP="0050129A">
      <w:pPr>
        <w:pStyle w:val="TextoNormalSangraFrancesa"/>
        <w:rPr>
          <w:rStyle w:val="TextoNormalNegritaCaracter"/>
        </w:rPr>
      </w:pPr>
      <w:r w:rsidRPr="0050129A">
        <w:rPr>
          <w:rStyle w:val="TextoNormalCursivaCaracter"/>
        </w:rPr>
        <w:t>Prueba de irreparabilidad de los perjuicios</w:t>
      </w:r>
      <w:r>
        <w:t xml:space="preserve"> véase </w:t>
      </w:r>
      <w:hyperlink w:anchor="DESCRIPTORALFABETICO160" w:history="1">
        <w:r w:rsidRPr="0050129A">
          <w:rPr>
            <w:rStyle w:val="TextoNormalNegritaCaracter"/>
          </w:rPr>
          <w:t>Prueba del perjuicio</w:t>
        </w:r>
      </w:hyperlink>
    </w:p>
    <w:p w:rsidR="0050129A" w:rsidRPr="0050129A" w:rsidRDefault="0050129A" w:rsidP="0050129A">
      <w:pPr>
        <w:pStyle w:val="TextoNormalSangraFrancesa"/>
        <w:rPr>
          <w:rStyle w:val="TextoNormalCaracter"/>
        </w:rPr>
      </w:pPr>
      <w:bookmarkStart w:id="1263" w:name="DESCRIPTORALFABETICO149"/>
      <w:r w:rsidRPr="0050129A">
        <w:rPr>
          <w:rStyle w:val="TextoNormalNegritaCaracter"/>
        </w:rPr>
        <w:t>Prueba de la vulneración de derechos fundamentales</w:t>
      </w:r>
      <w:bookmarkEnd w:id="1263"/>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264" w:name="DESCRIPTORALFABETICO160"/>
      <w:r w:rsidRPr="0050129A">
        <w:rPr>
          <w:rStyle w:val="TextoNormalNegritaCaracter"/>
        </w:rPr>
        <w:t>Prueba del perjuicio</w:t>
      </w:r>
      <w:bookmarkEnd w:id="1264"/>
      <w:r w:rsidRPr="0050129A">
        <w:rPr>
          <w:rStyle w:val="TextoNormalCaracter"/>
        </w:rPr>
        <w:t xml:space="preserve">, Autos </w:t>
      </w:r>
      <w:hyperlink w:anchor="AUTO_2008_116" w:history="1">
        <w:r w:rsidRPr="0050129A">
          <w:rPr>
            <w:rStyle w:val="TextoNormalCaracter"/>
          </w:rPr>
          <w:t>116/2008</w:t>
        </w:r>
      </w:hyperlink>
      <w:r w:rsidRPr="0050129A">
        <w:rPr>
          <w:rStyle w:val="TextoNormalCaracter"/>
        </w:rPr>
        <w:t xml:space="preserve">; </w:t>
      </w:r>
      <w:hyperlink w:anchor="AUTO_2008_118" w:history="1">
        <w:r w:rsidRPr="0050129A">
          <w:rPr>
            <w:rStyle w:val="TextoNormalCaracter"/>
          </w:rPr>
          <w:t>118/2008</w:t>
        </w:r>
      </w:hyperlink>
      <w:r w:rsidRPr="0050129A">
        <w:rPr>
          <w:rStyle w:val="TextoNormalCaracter"/>
        </w:rPr>
        <w:t>.</w:t>
      </w:r>
    </w:p>
    <w:p w:rsidR="0050129A" w:rsidRPr="0050129A" w:rsidRDefault="0050129A" w:rsidP="0050129A">
      <w:pPr>
        <w:pStyle w:val="TextoNormalSangraFrancesa"/>
        <w:rPr>
          <w:rStyle w:val="TextoNormalCaracter"/>
        </w:rPr>
      </w:pPr>
      <w:bookmarkStart w:id="1265" w:name="DESCRIPTORALFABETICO184"/>
      <w:r w:rsidRPr="0050129A">
        <w:rPr>
          <w:rStyle w:val="TextoNormalNegritaCaracter"/>
        </w:rPr>
        <w:t>Prueba en incidente de recusación de magistrados del Tribunal Constitucional</w:t>
      </w:r>
      <w:bookmarkEnd w:id="1265"/>
      <w:r w:rsidRPr="0050129A">
        <w:rPr>
          <w:rStyle w:val="TextoNormalCaracter"/>
        </w:rPr>
        <w:t xml:space="preserve">, Auto </w:t>
      </w:r>
      <w:hyperlink w:anchor="AUTO_2008_81" w:history="1">
        <w:r w:rsidRPr="0050129A">
          <w:rPr>
            <w:rStyle w:val="TextoNormalCaracter"/>
          </w:rPr>
          <w:t>81/2008</w:t>
        </w:r>
      </w:hyperlink>
      <w:r w:rsidRPr="0050129A">
        <w:rPr>
          <w:rStyle w:val="TextoNormalCaracter"/>
        </w:rPr>
        <w:t>.</w:t>
      </w:r>
    </w:p>
    <w:p w:rsidR="0050129A" w:rsidRPr="0050129A" w:rsidRDefault="0050129A" w:rsidP="0050129A">
      <w:pPr>
        <w:pStyle w:val="TextoNormalSangraFrancesa"/>
        <w:rPr>
          <w:rStyle w:val="TextoNormalCaracter"/>
        </w:rPr>
      </w:pPr>
      <w:bookmarkStart w:id="1266" w:name="DESCRIPTORALFABETICO487"/>
      <w:r w:rsidRPr="0050129A">
        <w:rPr>
          <w:rStyle w:val="TextoNormalNegritaCaracter"/>
        </w:rPr>
        <w:lastRenderedPageBreak/>
        <w:t>Prueba impertinente</w:t>
      </w:r>
      <w:bookmarkEnd w:id="1266"/>
      <w:r w:rsidRPr="0050129A">
        <w:rPr>
          <w:rStyle w:val="TextoNormalCaracter"/>
        </w:rPr>
        <w:t xml:space="preserve">, Auto </w:t>
      </w:r>
      <w:hyperlink w:anchor="AUTO_2008_30" w:history="1">
        <w:r w:rsidRPr="0050129A">
          <w:rPr>
            <w:rStyle w:val="TextoNormalCaracter"/>
          </w:rPr>
          <w:t>30/2008</w:t>
        </w:r>
      </w:hyperlink>
      <w:r w:rsidRPr="0050129A">
        <w:rPr>
          <w:rStyle w:val="TextoNormalCaracter"/>
        </w:rPr>
        <w:t>.</w:t>
      </w:r>
    </w:p>
    <w:p w:rsidR="0050129A" w:rsidRPr="0050129A" w:rsidRDefault="0050129A" w:rsidP="0050129A">
      <w:pPr>
        <w:pStyle w:val="TextoNormalSangraFrancesa"/>
        <w:rPr>
          <w:rStyle w:val="TextoNormalCaracter"/>
        </w:rPr>
      </w:pPr>
      <w:bookmarkStart w:id="1267" w:name="DESCRIPTORALFABETICO496"/>
      <w:r w:rsidRPr="0050129A">
        <w:rPr>
          <w:rStyle w:val="TextoNormalNegritaCaracter"/>
        </w:rPr>
        <w:t>Prueba indiciaria</w:t>
      </w:r>
      <w:bookmarkEnd w:id="1267"/>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 8; </w:t>
      </w:r>
      <w:hyperlink w:anchor="SENTENCIA_2008_52" w:history="1">
        <w:r w:rsidRPr="0050129A">
          <w:rPr>
            <w:rStyle w:val="TextoNormalCaracter"/>
          </w:rPr>
          <w:t>52/2008</w:t>
        </w:r>
      </w:hyperlink>
      <w:r w:rsidRPr="0050129A">
        <w:rPr>
          <w:rStyle w:val="TextoNormalCaracter"/>
        </w:rPr>
        <w:t>, f. 4.</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Prueba indirecta</w:t>
      </w:r>
      <w:r>
        <w:t xml:space="preserve"> véase </w:t>
      </w:r>
      <w:hyperlink w:anchor="DESCRIPTORALFABETICO496" w:history="1">
        <w:r w:rsidRPr="0050129A">
          <w:rPr>
            <w:rStyle w:val="TextoNormalNegritaCaracter"/>
          </w:rPr>
          <w:t>Prueba indiciaria</w:t>
        </w:r>
      </w:hyperlink>
    </w:p>
    <w:p w:rsidR="0050129A" w:rsidRPr="0050129A" w:rsidRDefault="0050129A" w:rsidP="0050129A">
      <w:pPr>
        <w:pStyle w:val="TextoNormalSangraFrancesa"/>
        <w:rPr>
          <w:rStyle w:val="TextoNormalCaracter"/>
        </w:rPr>
      </w:pPr>
      <w:bookmarkStart w:id="1268" w:name="DESCRIPTORALFABETICO366"/>
      <w:r w:rsidRPr="0050129A">
        <w:rPr>
          <w:rStyle w:val="TextoNormalNegritaCaracter"/>
        </w:rPr>
        <w:t>Puertos</w:t>
      </w:r>
      <w:bookmarkEnd w:id="1268"/>
      <w:r w:rsidRPr="0050129A">
        <w:rPr>
          <w:rStyle w:val="TextoNormalCaracter"/>
        </w:rPr>
        <w:t xml:space="preserve">, Sentencia </w:t>
      </w:r>
      <w:hyperlink w:anchor="SENTENCIA_2008_31" w:history="1">
        <w:r w:rsidRPr="0050129A">
          <w:rPr>
            <w:rStyle w:val="TextoNormalCaracter"/>
          </w:rPr>
          <w:t>31/2008</w:t>
        </w:r>
      </w:hyperlink>
      <w:r w:rsidRPr="0050129A">
        <w:rPr>
          <w:rStyle w:val="TextoNormalCaracter"/>
        </w:rPr>
        <w:t>, f. 3.</w:t>
      </w:r>
    </w:p>
    <w:p w:rsidR="0050129A" w:rsidRPr="0050129A" w:rsidRDefault="0050129A" w:rsidP="0050129A">
      <w:pPr>
        <w:pStyle w:val="TextoNormalSangraFrancesa"/>
        <w:rPr>
          <w:rStyle w:val="TextoNormalCaracter"/>
        </w:rPr>
      </w:pPr>
      <w:bookmarkStart w:id="1269" w:name="DESCRIPTORALFABETICO351"/>
      <w:r w:rsidRPr="0050129A">
        <w:rPr>
          <w:rStyle w:val="TextoNormalNegritaCaracter"/>
        </w:rPr>
        <w:t>Puntuación en procedimiento de selección</w:t>
      </w:r>
      <w:bookmarkEnd w:id="1269"/>
      <w:r w:rsidRPr="0050129A">
        <w:rPr>
          <w:rStyle w:val="TextoNormalCaracter"/>
        </w:rPr>
        <w:t xml:space="preserve">, Sentencia </w:t>
      </w:r>
      <w:hyperlink w:anchor="SENTENCIA_2008_30" w:history="1">
        <w:r w:rsidRPr="0050129A">
          <w:rPr>
            <w:rStyle w:val="TextoNormalCaracter"/>
          </w:rPr>
          <w:t>30/2008</w:t>
        </w:r>
      </w:hyperlink>
      <w:r w:rsidRPr="0050129A">
        <w:rPr>
          <w:rStyle w:val="TextoNormalCaracter"/>
        </w:rPr>
        <w:t>, f. 7.</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Q</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270" w:name="DESCRIPTORALFABETICO166"/>
      <w:r w:rsidRPr="0050129A">
        <w:rPr>
          <w:rStyle w:val="TextoNormalNegritaCaracter"/>
        </w:rPr>
        <w:t>Quebranto económico personal no acreditado</w:t>
      </w:r>
      <w:bookmarkEnd w:id="1270"/>
      <w:r w:rsidRPr="0050129A">
        <w:rPr>
          <w:rStyle w:val="TextoNormalCaracter"/>
        </w:rPr>
        <w:t xml:space="preserve">, Auto </w:t>
      </w:r>
      <w:hyperlink w:anchor="AUTO_2008_39" w:history="1">
        <w:r w:rsidRPr="0050129A">
          <w:rPr>
            <w:rStyle w:val="TextoNormalCaracter"/>
          </w:rPr>
          <w:t>39/2008</w:t>
        </w:r>
      </w:hyperlink>
      <w:r w:rsidRPr="0050129A">
        <w:rPr>
          <w:rStyle w:val="TextoNormalCaracter"/>
        </w:rPr>
        <w:t>.</w:t>
      </w:r>
    </w:p>
    <w:p w:rsidR="0050129A" w:rsidRPr="0050129A" w:rsidRDefault="0050129A" w:rsidP="0050129A">
      <w:pPr>
        <w:pStyle w:val="TextoNormalSangraFrancesa"/>
        <w:rPr>
          <w:rStyle w:val="TextoNormalCaracter"/>
        </w:rPr>
      </w:pPr>
      <w:bookmarkStart w:id="1271" w:name="DESCRIPTORALFABETICO359"/>
      <w:r w:rsidRPr="0050129A">
        <w:rPr>
          <w:rStyle w:val="TextoNormalNegritaCaracter"/>
        </w:rPr>
        <w:t>Quiebra fraudulenta</w:t>
      </w:r>
      <w:bookmarkEnd w:id="1271"/>
      <w:r w:rsidRPr="0050129A">
        <w:rPr>
          <w:rStyle w:val="TextoNormalCaracter"/>
        </w:rPr>
        <w:t xml:space="preserve">, Auto </w:t>
      </w:r>
      <w:hyperlink w:anchor="AUTO_2008_41" w:history="1">
        <w:r w:rsidRPr="0050129A">
          <w:rPr>
            <w:rStyle w:val="TextoNormalCaracter"/>
          </w:rPr>
          <w:t>41/2008</w:t>
        </w:r>
      </w:hyperlink>
      <w:r w:rsidRPr="0050129A">
        <w:rPr>
          <w:rStyle w:val="TextoNormalCaracter"/>
        </w:rPr>
        <w:t>.</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R</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272" w:name="DESCRIPTORALFABETICO417"/>
      <w:r w:rsidRPr="0050129A">
        <w:rPr>
          <w:rStyle w:val="TextoNormalNegritaCaracter"/>
        </w:rPr>
        <w:t>Reclusos</w:t>
      </w:r>
      <w:bookmarkEnd w:id="1272"/>
      <w:r w:rsidRPr="0050129A">
        <w:rPr>
          <w:rStyle w:val="TextoNormalCaracter"/>
        </w:rPr>
        <w:t xml:space="preserve">, Sentencia </w:t>
      </w:r>
      <w:hyperlink w:anchor="SENTENCIA_2008_42" w:history="1">
        <w:r w:rsidRPr="0050129A">
          <w:rPr>
            <w:rStyle w:val="TextoNormalCaracter"/>
          </w:rPr>
          <w:t>42/2008</w:t>
        </w:r>
      </w:hyperlink>
      <w:r w:rsidRPr="0050129A">
        <w:rPr>
          <w:rStyle w:val="TextoNormalCaracter"/>
        </w:rPr>
        <w:t>, ff. 1, 3 a 6.</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83" w:history="1">
        <w:r w:rsidRPr="0050129A">
          <w:rPr>
            <w:rStyle w:val="TextoNormalCaracter"/>
          </w:rPr>
          <w:t>83/2008</w:t>
        </w:r>
      </w:hyperlink>
      <w:r w:rsidRPr="0050129A">
        <w:rPr>
          <w:rStyle w:val="TextoNormalCaracter"/>
        </w:rPr>
        <w:t>.</w:t>
      </w:r>
    </w:p>
    <w:p w:rsidR="0050129A" w:rsidRPr="0050129A" w:rsidRDefault="0050129A" w:rsidP="0050129A">
      <w:pPr>
        <w:pStyle w:val="TextoNormalSangraFrancesa"/>
        <w:rPr>
          <w:rStyle w:val="TextoNormalCaracter"/>
        </w:rPr>
      </w:pPr>
      <w:bookmarkStart w:id="1273" w:name="DESCRIPTORALFABETICO245"/>
      <w:r w:rsidRPr="0050129A">
        <w:rPr>
          <w:rStyle w:val="TextoNormalNegritaCaracter"/>
        </w:rPr>
        <w:t>Rectificación de Autos del Tribunal Constitucional</w:t>
      </w:r>
      <w:bookmarkEnd w:id="1273"/>
      <w:r w:rsidRPr="0050129A">
        <w:rPr>
          <w:rStyle w:val="TextoNormalCaracter"/>
        </w:rPr>
        <w:t xml:space="preserve">, Auto </w:t>
      </w:r>
      <w:hyperlink w:anchor="AUTO_2008_50" w:history="1">
        <w:r w:rsidRPr="0050129A">
          <w:rPr>
            <w:rStyle w:val="TextoNormalCaracter"/>
          </w:rPr>
          <w:t>50/2008</w:t>
        </w:r>
      </w:hyperlink>
      <w:r w:rsidRPr="0050129A">
        <w:rPr>
          <w:rStyle w:val="TextoNormalCaracter"/>
        </w:rPr>
        <w:t>.</w:t>
      </w:r>
    </w:p>
    <w:p w:rsidR="0050129A" w:rsidRPr="0050129A" w:rsidRDefault="0050129A" w:rsidP="0050129A">
      <w:pPr>
        <w:pStyle w:val="TextoNormalSangraFrancesa"/>
        <w:rPr>
          <w:rStyle w:val="TextoNormalCaracter"/>
        </w:rPr>
      </w:pPr>
      <w:bookmarkStart w:id="1274" w:name="DESCRIPTORALFABETICO409"/>
      <w:r w:rsidRPr="0050129A">
        <w:rPr>
          <w:rStyle w:val="TextoNormalNegritaCaracter"/>
        </w:rPr>
        <w:t>Recurribilidad de actos del Colegio de abogados</w:t>
      </w:r>
      <w:bookmarkEnd w:id="1274"/>
      <w:r w:rsidRPr="0050129A">
        <w:rPr>
          <w:rStyle w:val="TextoNormalCaracter"/>
        </w:rPr>
        <w:t xml:space="preserve">, Sentencia </w:t>
      </w:r>
      <w:hyperlink w:anchor="SENTENCIA_2008_10" w:history="1">
        <w:r w:rsidRPr="0050129A">
          <w:rPr>
            <w:rStyle w:val="TextoNormalCaracter"/>
          </w:rPr>
          <w:t>10/2008</w:t>
        </w:r>
      </w:hyperlink>
      <w:r w:rsidRPr="0050129A">
        <w:rPr>
          <w:rStyle w:val="TextoNormalCaracter"/>
        </w:rPr>
        <w:t>, f. 3.</w:t>
      </w:r>
    </w:p>
    <w:p w:rsidR="0050129A" w:rsidRPr="0050129A" w:rsidRDefault="0050129A" w:rsidP="0050129A">
      <w:pPr>
        <w:pStyle w:val="TextoNormalSangraFrancesa"/>
        <w:rPr>
          <w:rStyle w:val="TextoNormalCaracter"/>
        </w:rPr>
      </w:pPr>
      <w:bookmarkStart w:id="1275" w:name="DESCRIPTORALFABETICO528"/>
      <w:r w:rsidRPr="0050129A">
        <w:rPr>
          <w:rStyle w:val="TextoNormalNegritaCaracter"/>
        </w:rPr>
        <w:t>Recurso de aclaración manifiestamente improcedente</w:t>
      </w:r>
      <w:bookmarkEnd w:id="1275"/>
      <w:r w:rsidRPr="0050129A">
        <w:rPr>
          <w:rStyle w:val="TextoNormalCaracter"/>
        </w:rPr>
        <w:t xml:space="preserve">, Auto </w:t>
      </w:r>
      <w:hyperlink w:anchor="AUTO_2008_70" w:history="1">
        <w:r w:rsidRPr="0050129A">
          <w:rPr>
            <w:rStyle w:val="TextoNormalCaracter"/>
          </w:rPr>
          <w:t>70/2008</w:t>
        </w:r>
      </w:hyperlink>
      <w:r w:rsidRPr="0050129A">
        <w:rPr>
          <w:rStyle w:val="TextoNormalCaracter"/>
        </w:rPr>
        <w:t>.</w:t>
      </w:r>
    </w:p>
    <w:p w:rsidR="0050129A" w:rsidRPr="0050129A" w:rsidRDefault="0050129A" w:rsidP="0050129A">
      <w:pPr>
        <w:pStyle w:val="TextoNormalSangraFrancesa"/>
        <w:rPr>
          <w:rStyle w:val="TextoNormalCaracter"/>
        </w:rPr>
      </w:pPr>
      <w:bookmarkStart w:id="1276" w:name="DESCRIPTORALFABETICO210"/>
      <w:r w:rsidRPr="0050129A">
        <w:rPr>
          <w:rStyle w:val="TextoNormalNegritaCaracter"/>
        </w:rPr>
        <w:t>Recurso de amparo</w:t>
      </w:r>
      <w:bookmarkEnd w:id="1276"/>
      <w:r w:rsidRPr="0050129A">
        <w:rPr>
          <w:rStyle w:val="TextoNormalCaracter"/>
        </w:rPr>
        <w:t xml:space="preserve">, Sentencias </w:t>
      </w:r>
      <w:hyperlink w:anchor="SENTENCIA_2008_46" w:history="1">
        <w:r w:rsidRPr="0050129A">
          <w:rPr>
            <w:rStyle w:val="TextoNormalCaracter"/>
          </w:rPr>
          <w:t>46/2008</w:t>
        </w:r>
      </w:hyperlink>
      <w:r w:rsidRPr="0050129A">
        <w:rPr>
          <w:rStyle w:val="TextoNormalCaracter"/>
        </w:rPr>
        <w:t xml:space="preserve">, f. 2; </w:t>
      </w:r>
      <w:hyperlink w:anchor="SENTENCIA_2008_53" w:history="1">
        <w:r w:rsidRPr="0050129A">
          <w:rPr>
            <w:rStyle w:val="TextoNormalCaracter"/>
          </w:rPr>
          <w:t>53/2008</w:t>
        </w:r>
      </w:hyperlink>
      <w:r w:rsidRPr="0050129A">
        <w:rPr>
          <w:rStyle w:val="TextoNormalCaracter"/>
        </w:rPr>
        <w:t>, f. único.</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51" w:history="1">
        <w:r w:rsidRPr="0050129A">
          <w:rPr>
            <w:rStyle w:val="TextoNormalCaracter"/>
          </w:rPr>
          <w:t>51/2008</w:t>
        </w:r>
      </w:hyperlink>
      <w:r w:rsidRPr="0050129A">
        <w:rPr>
          <w:rStyle w:val="TextoNormalCaracter"/>
        </w:rPr>
        <w:t>, f. 4.</w:t>
      </w:r>
    </w:p>
    <w:p w:rsidR="0050129A" w:rsidRPr="0050129A" w:rsidRDefault="0050129A" w:rsidP="0050129A">
      <w:pPr>
        <w:pStyle w:val="TextoNormalSangraFrancesa"/>
        <w:rPr>
          <w:rStyle w:val="TextoNormalCaracter"/>
        </w:rPr>
      </w:pPr>
      <w:bookmarkStart w:id="1277" w:name="DESCRIPTORALFABETICO230"/>
      <w:r w:rsidRPr="0050129A">
        <w:rPr>
          <w:rStyle w:val="TextoNormalNegritaCaracter"/>
        </w:rPr>
        <w:t>Recurso de amparo contra actos administrativos</w:t>
      </w:r>
      <w:bookmarkEnd w:id="1277"/>
      <w:r w:rsidRPr="0050129A">
        <w:rPr>
          <w:rStyle w:val="TextoNormalCaracter"/>
        </w:rPr>
        <w:t xml:space="preserve">, Auto </w:t>
      </w:r>
      <w:hyperlink w:anchor="AUTO_2008_61" w:history="1">
        <w:r w:rsidRPr="0050129A">
          <w:rPr>
            <w:rStyle w:val="TextoNormalCaracter"/>
          </w:rPr>
          <w:t>61/2008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Recurso de amparo contra actos del Congreso de los Diputados</w:t>
      </w:r>
      <w:r>
        <w:t xml:space="preserve"> véase </w:t>
      </w:r>
      <w:hyperlink w:anchor="DESCRIPTORALFABETICO231" w:history="1">
        <w:r w:rsidRPr="0050129A">
          <w:rPr>
            <w:rStyle w:val="TextoNormalNegritaCaracter"/>
          </w:rPr>
          <w:t>Recurso de amparo contra actos parlamentarios</w:t>
        </w:r>
      </w:hyperlink>
    </w:p>
    <w:p w:rsidR="0050129A" w:rsidRPr="0050129A" w:rsidRDefault="0050129A" w:rsidP="0050129A">
      <w:pPr>
        <w:pStyle w:val="TextoNormalSangraFrancesa"/>
        <w:rPr>
          <w:rStyle w:val="TextoNormalNegritaCaracter"/>
        </w:rPr>
      </w:pPr>
      <w:r w:rsidRPr="0050129A">
        <w:rPr>
          <w:rStyle w:val="TextoNormalCursivaCaracter"/>
        </w:rPr>
        <w:t>Recurso de amparo contra actos del Senado</w:t>
      </w:r>
      <w:r>
        <w:t xml:space="preserve"> véase </w:t>
      </w:r>
      <w:hyperlink w:anchor="DESCRIPTORALFABETICO231" w:history="1">
        <w:r w:rsidRPr="0050129A">
          <w:rPr>
            <w:rStyle w:val="TextoNormalNegritaCaracter"/>
          </w:rPr>
          <w:t>Recurso de amparo contra actos parlamentarios</w:t>
        </w:r>
      </w:hyperlink>
    </w:p>
    <w:p w:rsidR="0050129A" w:rsidRPr="0050129A" w:rsidRDefault="0050129A" w:rsidP="0050129A">
      <w:pPr>
        <w:pStyle w:val="TextoNormalSangraFrancesa"/>
        <w:rPr>
          <w:rStyle w:val="TextoNormalCaracter"/>
        </w:rPr>
      </w:pPr>
      <w:bookmarkStart w:id="1278" w:name="DESCRIPTORALFABETICO231"/>
      <w:r w:rsidRPr="0050129A">
        <w:rPr>
          <w:rStyle w:val="TextoNormalNegritaCaracter"/>
        </w:rPr>
        <w:t>Recurso de amparo contra actos parlamentarios</w:t>
      </w:r>
      <w:bookmarkEnd w:id="1278"/>
      <w:r w:rsidRPr="0050129A">
        <w:rPr>
          <w:rStyle w:val="TextoNormalCaracter"/>
        </w:rPr>
        <w:t xml:space="preserve">, Sentencias </w:t>
      </w:r>
      <w:hyperlink w:anchor="SENTENCIA_2008_20" w:history="1">
        <w:r w:rsidRPr="0050129A">
          <w:rPr>
            <w:rStyle w:val="TextoNormalCaracter"/>
          </w:rPr>
          <w:t>20/2008</w:t>
        </w:r>
      </w:hyperlink>
      <w:r w:rsidRPr="0050129A">
        <w:rPr>
          <w:rStyle w:val="TextoNormalCaracter"/>
        </w:rPr>
        <w:t xml:space="preserve">, ff. 2, 4; </w:t>
      </w:r>
      <w:hyperlink w:anchor="SENTENCIA_2008_39" w:history="1">
        <w:r w:rsidRPr="0050129A">
          <w:rPr>
            <w:rStyle w:val="TextoNormalCaracter"/>
          </w:rPr>
          <w:t>39/2008</w:t>
        </w:r>
      </w:hyperlink>
      <w:r w:rsidRPr="0050129A">
        <w:rPr>
          <w:rStyle w:val="TextoNormalCaracter"/>
        </w:rPr>
        <w:t xml:space="preserve">, ff. 1 a 7;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NegritaCaracter"/>
        </w:rPr>
      </w:pPr>
      <w:r w:rsidRPr="0050129A">
        <w:rPr>
          <w:rStyle w:val="TextoNormalCursivaCaracter"/>
        </w:rPr>
        <w:t>Recurso de amparo contra actos sin fuerza de ley de los órganos legislativos</w:t>
      </w:r>
      <w:r>
        <w:t xml:space="preserve"> véase </w:t>
      </w:r>
      <w:hyperlink w:anchor="DESCRIPTORALFABETICO231" w:history="1">
        <w:r w:rsidRPr="0050129A">
          <w:rPr>
            <w:rStyle w:val="TextoNormalNegritaCaracter"/>
          </w:rPr>
          <w:t>Recurso de amparo contra actos parlamentarios</w:t>
        </w:r>
      </w:hyperlink>
    </w:p>
    <w:p w:rsidR="0050129A" w:rsidRPr="0050129A" w:rsidRDefault="0050129A" w:rsidP="0050129A">
      <w:pPr>
        <w:pStyle w:val="TextoNormalSangraFrancesa"/>
        <w:rPr>
          <w:rStyle w:val="TextoNormalCaracter"/>
        </w:rPr>
      </w:pPr>
      <w:bookmarkStart w:id="1279" w:name="DESCRIPTORALFABETICO219"/>
      <w:r w:rsidRPr="0050129A">
        <w:rPr>
          <w:rStyle w:val="TextoNormalNegritaCaracter"/>
        </w:rPr>
        <w:t>Recurso de amparo mixto</w:t>
      </w:r>
      <w:bookmarkEnd w:id="1279"/>
      <w:r w:rsidRPr="0050129A">
        <w:rPr>
          <w:rStyle w:val="TextoNormalCaracter"/>
        </w:rPr>
        <w:t xml:space="preserve">, Sentencias </w:t>
      </w:r>
      <w:hyperlink w:anchor="SENTENCIA_2008_5" w:history="1">
        <w:r w:rsidRPr="0050129A">
          <w:rPr>
            <w:rStyle w:val="TextoNormalCaracter"/>
          </w:rPr>
          <w:t>5/2008</w:t>
        </w:r>
      </w:hyperlink>
      <w:r w:rsidRPr="0050129A">
        <w:rPr>
          <w:rStyle w:val="TextoNormalCaracter"/>
        </w:rPr>
        <w:t xml:space="preserve">, ff. 3, 6; </w:t>
      </w:r>
      <w:hyperlink w:anchor="SENTENCIA_2008_30" w:history="1">
        <w:r w:rsidRPr="0050129A">
          <w:rPr>
            <w:rStyle w:val="TextoNormalCaracter"/>
          </w:rPr>
          <w:t>30/2008</w:t>
        </w:r>
      </w:hyperlink>
      <w:r w:rsidRPr="0050129A">
        <w:rPr>
          <w:rStyle w:val="TextoNormalCaracter"/>
        </w:rPr>
        <w:t xml:space="preserve">, f. 3; </w:t>
      </w:r>
      <w:hyperlink w:anchor="SENTENCIA_2008_40" w:history="1">
        <w:r w:rsidRPr="0050129A">
          <w:rPr>
            <w:rStyle w:val="TextoNormalCaracter"/>
          </w:rPr>
          <w:t>40/2008</w:t>
        </w:r>
      </w:hyperlink>
      <w:r w:rsidRPr="0050129A">
        <w:rPr>
          <w:rStyle w:val="TextoNormalCaracter"/>
        </w:rPr>
        <w:t>, ff. 1 a 3, 6.</w:t>
      </w:r>
    </w:p>
    <w:p w:rsidR="0050129A" w:rsidRPr="0050129A" w:rsidRDefault="0050129A" w:rsidP="0050129A">
      <w:pPr>
        <w:pStyle w:val="TextoNormalSangraFrancesa"/>
        <w:rPr>
          <w:rStyle w:val="TextoNormalCaracter"/>
        </w:rPr>
      </w:pPr>
      <w:bookmarkStart w:id="1280" w:name="DESCRIPTORALFABETICO220"/>
      <w:r w:rsidRPr="0050129A">
        <w:rPr>
          <w:rStyle w:val="TextoNormalNegritaCaracter"/>
        </w:rPr>
        <w:t>Recurso de amparo prematuro</w:t>
      </w:r>
      <w:bookmarkEnd w:id="1280"/>
      <w:r w:rsidRPr="0050129A">
        <w:rPr>
          <w:rStyle w:val="TextoNormalCaracter"/>
        </w:rPr>
        <w:t xml:space="preserve">, Sentencia </w:t>
      </w:r>
      <w:hyperlink w:anchor="SENTENCIA_2008_1" w:history="1">
        <w:r w:rsidRPr="0050129A">
          <w:rPr>
            <w:rStyle w:val="TextoNormalCaracter"/>
          </w:rPr>
          <w:t>1/2008</w:t>
        </w:r>
      </w:hyperlink>
      <w:r w:rsidRPr="0050129A">
        <w:rPr>
          <w:rStyle w:val="TextoNormalCaracter"/>
        </w:rPr>
        <w:t>, f. 2.</w:t>
      </w:r>
    </w:p>
    <w:p w:rsidR="0050129A" w:rsidRPr="0050129A" w:rsidRDefault="0050129A" w:rsidP="0050129A">
      <w:pPr>
        <w:pStyle w:val="TextoNormalSangraFrancesa"/>
        <w:rPr>
          <w:rStyle w:val="TextoNormalCaracter"/>
        </w:rPr>
      </w:pPr>
      <w:bookmarkStart w:id="1281" w:name="DESCRIPTORALFABETICO529"/>
      <w:r w:rsidRPr="0050129A">
        <w:rPr>
          <w:rStyle w:val="TextoNormalNegritaCaracter"/>
        </w:rPr>
        <w:t>Recurso de apelación</w:t>
      </w:r>
      <w:bookmarkEnd w:id="1281"/>
      <w:r w:rsidRPr="0050129A">
        <w:rPr>
          <w:rStyle w:val="TextoNormalCaracter"/>
        </w:rPr>
        <w:t xml:space="preserve">, Auto </w:t>
      </w:r>
      <w:hyperlink w:anchor="AUTO_2008_41" w:history="1">
        <w:r w:rsidRPr="0050129A">
          <w:rPr>
            <w:rStyle w:val="TextoNormalCaracter"/>
          </w:rPr>
          <w:t>41/2008</w:t>
        </w:r>
      </w:hyperlink>
      <w:r w:rsidRPr="0050129A">
        <w:rPr>
          <w:rStyle w:val="TextoNormalCaracter"/>
        </w:rPr>
        <w:t>.</w:t>
      </w:r>
    </w:p>
    <w:p w:rsidR="0050129A" w:rsidRPr="0050129A" w:rsidRDefault="0050129A" w:rsidP="0050129A">
      <w:pPr>
        <w:pStyle w:val="TextoNormalSangraFrancesa"/>
        <w:rPr>
          <w:rStyle w:val="TextoNormalCaracter"/>
        </w:rPr>
      </w:pPr>
      <w:bookmarkStart w:id="1282" w:name="DESCRIPTORALFABETICO550"/>
      <w:r w:rsidRPr="0050129A">
        <w:rPr>
          <w:rStyle w:val="TextoNormalNegritaCaracter"/>
        </w:rPr>
        <w:t>Recurso de apelación civil</w:t>
      </w:r>
      <w:bookmarkEnd w:id="1282"/>
      <w:r w:rsidRPr="0050129A">
        <w:rPr>
          <w:rStyle w:val="TextoNormalCaracter"/>
        </w:rPr>
        <w:t xml:space="preserve">, Sentencia </w:t>
      </w:r>
      <w:hyperlink w:anchor="SENTENCIA_2008_55" w:history="1">
        <w:r w:rsidRPr="0050129A">
          <w:rPr>
            <w:rStyle w:val="TextoNormalCaracter"/>
          </w:rPr>
          <w:t>55/2008</w:t>
        </w:r>
      </w:hyperlink>
      <w:r w:rsidRPr="0050129A">
        <w:rPr>
          <w:rStyle w:val="TextoNormalCaracter"/>
        </w:rPr>
        <w:t>, f. 4.</w:t>
      </w:r>
    </w:p>
    <w:p w:rsidR="0050129A" w:rsidRPr="0050129A" w:rsidRDefault="0050129A" w:rsidP="0050129A">
      <w:pPr>
        <w:pStyle w:val="TextoNormalSangraFrancesa"/>
        <w:rPr>
          <w:rStyle w:val="TextoNormalCaracter"/>
        </w:rPr>
      </w:pPr>
      <w:bookmarkStart w:id="1283" w:name="DESCRIPTORALFABETICO578"/>
      <w:r w:rsidRPr="0050129A">
        <w:rPr>
          <w:rStyle w:val="TextoNormalNegritaCaracter"/>
        </w:rPr>
        <w:t>Recurso de apelación penal</w:t>
      </w:r>
      <w:bookmarkEnd w:id="1283"/>
      <w:r w:rsidRPr="0050129A">
        <w:rPr>
          <w:rStyle w:val="TextoNormalCaracter"/>
        </w:rPr>
        <w:t xml:space="preserve">, Sentencias </w:t>
      </w:r>
      <w:hyperlink w:anchor="SENTENCIA_2008_28" w:history="1">
        <w:r w:rsidRPr="0050129A">
          <w:rPr>
            <w:rStyle w:val="TextoNormalCaracter"/>
          </w:rPr>
          <w:t>28/2008</w:t>
        </w:r>
      </w:hyperlink>
      <w:r w:rsidRPr="0050129A">
        <w:rPr>
          <w:rStyle w:val="TextoNormalCaracter"/>
        </w:rPr>
        <w:t xml:space="preserve">, ff. 2, 3, 4; </w:t>
      </w:r>
      <w:hyperlink w:anchor="SENTENCIA_2008_36" w:history="1">
        <w:r w:rsidRPr="0050129A">
          <w:rPr>
            <w:rStyle w:val="TextoNormalCaracter"/>
          </w:rPr>
          <w:t>36/2008</w:t>
        </w:r>
      </w:hyperlink>
      <w:r w:rsidRPr="0050129A">
        <w:rPr>
          <w:rStyle w:val="TextoNormalCaracter"/>
        </w:rPr>
        <w:t xml:space="preserve">, f. 5; </w:t>
      </w:r>
      <w:hyperlink w:anchor="SENTENCIA_2008_48" w:history="1">
        <w:r w:rsidRPr="0050129A">
          <w:rPr>
            <w:rStyle w:val="TextoNormalCaracter"/>
          </w:rPr>
          <w:t>48/2008</w:t>
        </w:r>
      </w:hyperlink>
      <w:r w:rsidRPr="0050129A">
        <w:rPr>
          <w:rStyle w:val="TextoNormalCaracter"/>
        </w:rPr>
        <w:t>, f. 2.</w:t>
      </w:r>
    </w:p>
    <w:p w:rsidR="0050129A" w:rsidRPr="0050129A" w:rsidRDefault="0050129A" w:rsidP="0050129A">
      <w:pPr>
        <w:pStyle w:val="TextoNormalSangraFrancesa"/>
        <w:rPr>
          <w:rStyle w:val="TextoNormalCaracter"/>
        </w:rPr>
      </w:pPr>
      <w:bookmarkStart w:id="1284" w:name="DESCRIPTORALFABETICO533"/>
      <w:r w:rsidRPr="0050129A">
        <w:rPr>
          <w:rStyle w:val="TextoNormalNegritaCaracter"/>
        </w:rPr>
        <w:t>Recurso de casación</w:t>
      </w:r>
      <w:bookmarkEnd w:id="1284"/>
      <w:r w:rsidRPr="0050129A">
        <w:rPr>
          <w:rStyle w:val="TextoNormalCaracter"/>
        </w:rPr>
        <w:t xml:space="preserve">, Sentencia </w:t>
      </w:r>
      <w:hyperlink w:anchor="SENTENCIA_2008_1" w:history="1">
        <w:r w:rsidRPr="0050129A">
          <w:rPr>
            <w:rStyle w:val="TextoNormalCaracter"/>
          </w:rPr>
          <w:t>1/2008</w:t>
        </w:r>
      </w:hyperlink>
      <w:r w:rsidRPr="0050129A">
        <w:rPr>
          <w:rStyle w:val="TextoNormalCaracter"/>
        </w:rPr>
        <w:t>, f. 2.</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30" w:history="1">
        <w:r w:rsidRPr="0050129A">
          <w:rPr>
            <w:rStyle w:val="TextoNormalCaracter"/>
          </w:rPr>
          <w:t>30/2008</w:t>
        </w:r>
      </w:hyperlink>
      <w:r w:rsidRPr="0050129A">
        <w:rPr>
          <w:rStyle w:val="TextoNormalCaracter"/>
        </w:rPr>
        <w:t>.</w:t>
      </w:r>
    </w:p>
    <w:p w:rsidR="0050129A" w:rsidRPr="0050129A" w:rsidRDefault="0050129A" w:rsidP="0050129A">
      <w:pPr>
        <w:pStyle w:val="TextoNormalSangraFrancesa"/>
        <w:rPr>
          <w:rStyle w:val="TextoNormalCaracter"/>
        </w:rPr>
      </w:pPr>
      <w:bookmarkStart w:id="1285" w:name="DESCRIPTORALFABETICO559"/>
      <w:r w:rsidRPr="0050129A">
        <w:rPr>
          <w:rStyle w:val="TextoNormalNegritaCaracter"/>
        </w:rPr>
        <w:t>Recurso de casación contencioso-administrativo no exigible</w:t>
      </w:r>
      <w:bookmarkEnd w:id="1285"/>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 2.</w:t>
      </w:r>
    </w:p>
    <w:p w:rsidR="0050129A" w:rsidRPr="0050129A" w:rsidRDefault="0050129A" w:rsidP="0050129A">
      <w:pPr>
        <w:pStyle w:val="TextoNormalSangraFrancesa"/>
        <w:rPr>
          <w:rStyle w:val="TextoNormalCaracter"/>
        </w:rPr>
      </w:pPr>
      <w:bookmarkStart w:id="1286" w:name="DESCRIPTORALFABETICO563"/>
      <w:r w:rsidRPr="0050129A">
        <w:rPr>
          <w:rStyle w:val="TextoNormalNegritaCaracter"/>
        </w:rPr>
        <w:t>Recurso de casación laboral para la unificación de doctrina no manifiestamente improcedente</w:t>
      </w:r>
      <w:bookmarkEnd w:id="1286"/>
      <w:r w:rsidRPr="0050129A">
        <w:rPr>
          <w:rStyle w:val="TextoNormalCaracter"/>
        </w:rPr>
        <w:t xml:space="preserve">, Sentencia </w:t>
      </w:r>
      <w:hyperlink w:anchor="SENTENCIA_2008_56" w:history="1">
        <w:r w:rsidRPr="0050129A">
          <w:rPr>
            <w:rStyle w:val="TextoNormalCaracter"/>
          </w:rPr>
          <w:t>56/2008</w:t>
        </w:r>
      </w:hyperlink>
      <w:r w:rsidRPr="0050129A">
        <w:rPr>
          <w:rStyle w:val="TextoNormalCaracter"/>
        </w:rPr>
        <w:t>, f. 2, VP.</w:t>
      </w:r>
    </w:p>
    <w:p w:rsidR="0050129A" w:rsidRPr="0050129A" w:rsidRDefault="0050129A" w:rsidP="0050129A">
      <w:pPr>
        <w:pStyle w:val="TextoNormalSangraFrancesa"/>
        <w:rPr>
          <w:rStyle w:val="TextoNormalCaracter"/>
        </w:rPr>
      </w:pPr>
      <w:bookmarkStart w:id="1287" w:name="DESCRIPTORALFABETICO534"/>
      <w:r w:rsidRPr="0050129A">
        <w:rPr>
          <w:rStyle w:val="TextoNormalNegritaCaracter"/>
        </w:rPr>
        <w:t>Recurso de casación no manifiestamente improcedente</w:t>
      </w:r>
      <w:bookmarkEnd w:id="1287"/>
      <w:r w:rsidRPr="0050129A">
        <w:rPr>
          <w:rStyle w:val="TextoNormalCaracter"/>
        </w:rPr>
        <w:t xml:space="preserve">, Sentencia </w:t>
      </w:r>
      <w:hyperlink w:anchor="SENTENCIA_2008_25" w:history="1">
        <w:r w:rsidRPr="0050129A">
          <w:rPr>
            <w:rStyle w:val="TextoNormalCaracter"/>
          </w:rPr>
          <w:t>25/2008</w:t>
        </w:r>
      </w:hyperlink>
      <w:r w:rsidRPr="0050129A">
        <w:rPr>
          <w:rStyle w:val="TextoNormalCaracter"/>
        </w:rPr>
        <w:t>, f. 3.</w:t>
      </w:r>
    </w:p>
    <w:p w:rsidR="0050129A" w:rsidRPr="0050129A" w:rsidRDefault="0050129A" w:rsidP="0050129A">
      <w:pPr>
        <w:pStyle w:val="TextoNormalSangraFrancesa"/>
        <w:rPr>
          <w:rStyle w:val="TextoNormalCaracter"/>
        </w:rPr>
      </w:pPr>
      <w:bookmarkStart w:id="1288" w:name="DESCRIPTORALFABETICO579"/>
      <w:r w:rsidRPr="0050129A">
        <w:rPr>
          <w:rStyle w:val="TextoNormalNegritaCaracter"/>
        </w:rPr>
        <w:t>Recurso de casación penal</w:t>
      </w:r>
      <w:bookmarkEnd w:id="1288"/>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289" w:name="DESCRIPTORALFABETICO580"/>
      <w:r w:rsidRPr="0050129A">
        <w:rPr>
          <w:rStyle w:val="TextoNormalNegritaCaracter"/>
        </w:rPr>
        <w:lastRenderedPageBreak/>
        <w:t>Recurso de casación penal por quebrantamiento de forma</w:t>
      </w:r>
      <w:bookmarkEnd w:id="1289"/>
      <w:r w:rsidRPr="0050129A">
        <w:rPr>
          <w:rStyle w:val="TextoNormalCaracter"/>
        </w:rPr>
        <w:t xml:space="preserve">, Sentencia </w:t>
      </w:r>
      <w:hyperlink w:anchor="SENTENCIA_2008_23" w:history="1">
        <w:r w:rsidRPr="0050129A">
          <w:rPr>
            <w:rStyle w:val="TextoNormalCaracter"/>
          </w:rPr>
          <w:t>23/2008</w:t>
        </w:r>
      </w:hyperlink>
      <w:r w:rsidRPr="0050129A">
        <w:rPr>
          <w:rStyle w:val="TextoNormalCaracter"/>
        </w:rPr>
        <w:t>, ff. 1, 4, 5.</w:t>
      </w:r>
    </w:p>
    <w:p w:rsidR="0050129A" w:rsidRPr="0050129A" w:rsidRDefault="0050129A" w:rsidP="0050129A">
      <w:pPr>
        <w:pStyle w:val="TextoNormalSangraFrancesa"/>
        <w:rPr>
          <w:rStyle w:val="TextoNormalCaracter"/>
        </w:rPr>
      </w:pPr>
      <w:bookmarkStart w:id="1290" w:name="DESCRIPTORALFABETICO207"/>
      <w:r w:rsidRPr="0050129A">
        <w:rPr>
          <w:rStyle w:val="TextoNormalNegritaCaracter"/>
        </w:rPr>
        <w:t>Recurso de inconstitucionalidad</w:t>
      </w:r>
      <w:bookmarkEnd w:id="1290"/>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1, 2, 8, 9, 14.</w:t>
      </w:r>
    </w:p>
    <w:p w:rsidR="0050129A" w:rsidRPr="0050129A" w:rsidRDefault="0050129A" w:rsidP="0050129A">
      <w:pPr>
        <w:pStyle w:val="TextoNormalSangraFrancesa"/>
        <w:rPr>
          <w:rStyle w:val="TextoNormalNegritaCaracter"/>
        </w:rPr>
      </w:pPr>
      <w:r w:rsidRPr="0050129A">
        <w:rPr>
          <w:rStyle w:val="TextoNormalCursivaCaracter"/>
        </w:rPr>
        <w:t>Recurso de revisión</w:t>
      </w:r>
      <w:r>
        <w:t xml:space="preserve"> véase </w:t>
      </w:r>
      <w:hyperlink w:anchor="DESCRIPTORALFABETICO536" w:history="1">
        <w:r w:rsidRPr="0050129A">
          <w:rPr>
            <w:rStyle w:val="TextoNormalNegritaCaracter"/>
          </w:rPr>
          <w:t>Recurso de revisión de sentencia firme</w:t>
        </w:r>
      </w:hyperlink>
    </w:p>
    <w:p w:rsidR="0050129A" w:rsidRPr="0050129A" w:rsidRDefault="0050129A" w:rsidP="0050129A">
      <w:pPr>
        <w:pStyle w:val="TextoNormalSangraFrancesa"/>
        <w:rPr>
          <w:rStyle w:val="TextoNormalCaracter"/>
        </w:rPr>
      </w:pPr>
      <w:bookmarkStart w:id="1291" w:name="DESCRIPTORALFABETICO536"/>
      <w:r w:rsidRPr="0050129A">
        <w:rPr>
          <w:rStyle w:val="TextoNormalNegritaCaracter"/>
        </w:rPr>
        <w:t>Recurso de revisión de sentencia firme</w:t>
      </w:r>
      <w:bookmarkEnd w:id="1291"/>
      <w:r w:rsidRPr="0050129A">
        <w:rPr>
          <w:rStyle w:val="TextoNormalCaracter"/>
        </w:rPr>
        <w:t xml:space="preserve">, Sentencia </w:t>
      </w:r>
      <w:hyperlink w:anchor="SENTENCIA_2008_13" w:history="1">
        <w:r w:rsidRPr="0050129A">
          <w:rPr>
            <w:rStyle w:val="TextoNormalCaracter"/>
          </w:rPr>
          <w:t>13/2008</w:t>
        </w:r>
      </w:hyperlink>
      <w:r w:rsidRPr="0050129A">
        <w:rPr>
          <w:rStyle w:val="TextoNormalCaracter"/>
        </w:rPr>
        <w:t>, f. 4.</w:t>
      </w:r>
    </w:p>
    <w:p w:rsidR="0050129A" w:rsidRPr="0050129A" w:rsidRDefault="0050129A" w:rsidP="0050129A">
      <w:pPr>
        <w:pStyle w:val="TextoNormalSangraFrancesa"/>
        <w:rPr>
          <w:rStyle w:val="TextoNormalCaracter"/>
        </w:rPr>
      </w:pPr>
      <w:r w:rsidRPr="0050129A">
        <w:rPr>
          <w:rStyle w:val="TextoNormalCursivaCaracter"/>
        </w:rPr>
        <w:t xml:space="preserve">    Contenido, </w:t>
      </w:r>
      <w:r w:rsidRPr="0050129A">
        <w:rPr>
          <w:rStyle w:val="TextoNormalCaracter"/>
        </w:rPr>
        <w:t xml:space="preserve">Sentencia </w:t>
      </w:r>
      <w:hyperlink w:anchor="SENTENCIA_2008_13" w:history="1">
        <w:r w:rsidRPr="0050129A">
          <w:rPr>
            <w:rStyle w:val="TextoNormalCaracter"/>
          </w:rPr>
          <w:t>13/2008</w:t>
        </w:r>
      </w:hyperlink>
      <w:r w:rsidRPr="0050129A">
        <w:rPr>
          <w:rStyle w:val="TextoNormalCaracter"/>
        </w:rPr>
        <w:t>, f. 4.</w:t>
      </w:r>
    </w:p>
    <w:p w:rsidR="0050129A" w:rsidRPr="0050129A" w:rsidRDefault="0050129A" w:rsidP="0050129A">
      <w:pPr>
        <w:pStyle w:val="TextoNormalSangraFrancesa"/>
        <w:rPr>
          <w:rStyle w:val="TextoNormalCaracter"/>
        </w:rPr>
      </w:pPr>
      <w:bookmarkStart w:id="1292" w:name="DESCRIPTORALFABETICO537"/>
      <w:r w:rsidRPr="0050129A">
        <w:rPr>
          <w:rStyle w:val="TextoNormalNegritaCaracter"/>
        </w:rPr>
        <w:t>Recurso de revisión de sentencia firme improcedente</w:t>
      </w:r>
      <w:bookmarkEnd w:id="1292"/>
      <w:r w:rsidRPr="0050129A">
        <w:rPr>
          <w:rStyle w:val="TextoNormalCaracter"/>
        </w:rPr>
        <w:t xml:space="preserve">, Sentencia </w:t>
      </w:r>
      <w:hyperlink w:anchor="SENTENCIA_2008_13" w:history="1">
        <w:r w:rsidRPr="0050129A">
          <w:rPr>
            <w:rStyle w:val="TextoNormalCaracter"/>
          </w:rPr>
          <w:t>13/2008</w:t>
        </w:r>
      </w:hyperlink>
      <w:r w:rsidRPr="0050129A">
        <w:rPr>
          <w:rStyle w:val="TextoNormalCaracter"/>
        </w:rPr>
        <w:t>, f. 2.</w:t>
      </w:r>
    </w:p>
    <w:p w:rsidR="0050129A" w:rsidRPr="0050129A" w:rsidRDefault="0050129A" w:rsidP="0050129A">
      <w:pPr>
        <w:pStyle w:val="TextoNormalSangraFrancesa"/>
        <w:rPr>
          <w:rStyle w:val="TextoNormalCaracter"/>
        </w:rPr>
      </w:pPr>
      <w:bookmarkStart w:id="1293" w:name="DESCRIPTORALFABETICO564"/>
      <w:r w:rsidRPr="0050129A">
        <w:rPr>
          <w:rStyle w:val="TextoNormalNegritaCaracter"/>
        </w:rPr>
        <w:t>Recurso de suplicación</w:t>
      </w:r>
      <w:bookmarkEnd w:id="1293"/>
      <w:r w:rsidRPr="0050129A">
        <w:rPr>
          <w:rStyle w:val="TextoNormalCaracter"/>
        </w:rPr>
        <w:t xml:space="preserve">, Auto </w:t>
      </w:r>
      <w:hyperlink w:anchor="AUTO_2008_83" w:history="1">
        <w:r w:rsidRPr="0050129A">
          <w:rPr>
            <w:rStyle w:val="TextoNormalCaracter"/>
          </w:rPr>
          <w:t>83/2008</w:t>
        </w:r>
      </w:hyperlink>
      <w:r w:rsidRPr="0050129A">
        <w:rPr>
          <w:rStyle w:val="TextoNormalCaracter"/>
        </w:rPr>
        <w:t>.</w:t>
      </w:r>
    </w:p>
    <w:p w:rsidR="0050129A" w:rsidRPr="0050129A" w:rsidRDefault="0050129A" w:rsidP="0050129A">
      <w:pPr>
        <w:pStyle w:val="TextoNormalSangraFrancesa"/>
        <w:rPr>
          <w:rStyle w:val="TextoNormalCaracter"/>
        </w:rPr>
      </w:pPr>
      <w:bookmarkStart w:id="1294" w:name="DESCRIPTORALFABETICO538"/>
      <w:r w:rsidRPr="0050129A">
        <w:rPr>
          <w:rStyle w:val="TextoNormalNegritaCaracter"/>
        </w:rPr>
        <w:t>Recurso extraordinario por infracción procesal manifiestamente improcedente</w:t>
      </w:r>
      <w:bookmarkEnd w:id="1294"/>
      <w:r w:rsidRPr="0050129A">
        <w:rPr>
          <w:rStyle w:val="TextoNormalCaracter"/>
        </w:rPr>
        <w:t xml:space="preserve">, Sentencia </w:t>
      </w:r>
      <w:hyperlink w:anchor="SENTENCIA_2008_17" w:history="1">
        <w:r w:rsidRPr="0050129A">
          <w:rPr>
            <w:rStyle w:val="TextoNormalCaracter"/>
          </w:rPr>
          <w:t>17/2008</w:t>
        </w:r>
      </w:hyperlink>
      <w:r w:rsidRPr="0050129A">
        <w:rPr>
          <w:rStyle w:val="TextoNormalCaracter"/>
        </w:rPr>
        <w:t>, f. 2.</w:t>
      </w:r>
    </w:p>
    <w:p w:rsidR="0050129A" w:rsidRPr="0050129A" w:rsidRDefault="0050129A" w:rsidP="0050129A">
      <w:pPr>
        <w:pStyle w:val="TextoNormalSangraFrancesa"/>
        <w:rPr>
          <w:rStyle w:val="TextoNormalCaracter"/>
        </w:rPr>
      </w:pPr>
      <w:bookmarkStart w:id="1295" w:name="DESCRIPTORALFABETICO181"/>
      <w:r w:rsidRPr="0050129A">
        <w:rPr>
          <w:rStyle w:val="TextoNormalNegritaCaracter"/>
        </w:rPr>
        <w:t>Recusación de magistrados del Tribunal Constitucional</w:t>
      </w:r>
      <w:bookmarkEnd w:id="1295"/>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Acepta, </w:t>
      </w:r>
      <w:r w:rsidRPr="0050129A">
        <w:rPr>
          <w:rStyle w:val="TextoNormalCaracter"/>
        </w:rPr>
        <w:t xml:space="preserve">Auto </w:t>
      </w:r>
      <w:hyperlink w:anchor="AUTO_2008_81" w:history="1">
        <w:r w:rsidRPr="0050129A">
          <w:rPr>
            <w:rStyle w:val="TextoNormalCaracter"/>
          </w:rPr>
          <w:t>81/2008</w:t>
        </w:r>
      </w:hyperlink>
      <w:r w:rsidRPr="0050129A">
        <w:rPr>
          <w:rStyle w:val="TextoNormalCaracter"/>
        </w:rPr>
        <w:t>.</w:t>
      </w:r>
    </w:p>
    <w:p w:rsidR="0050129A" w:rsidRPr="0050129A" w:rsidRDefault="0050129A" w:rsidP="0050129A">
      <w:pPr>
        <w:pStyle w:val="TextoNormalSangraFrancesa"/>
        <w:rPr>
          <w:rStyle w:val="TextoNormalCaracter"/>
        </w:rPr>
      </w:pPr>
      <w:bookmarkStart w:id="1296" w:name="DESCRIPTORALFABETICO400"/>
      <w:r w:rsidRPr="0050129A">
        <w:rPr>
          <w:rStyle w:val="TextoNormalNegritaCaracter"/>
        </w:rPr>
        <w:t>Redención de penas por el trabajo</w:t>
      </w:r>
      <w:bookmarkEnd w:id="1296"/>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ff. 3 a 5.</w:t>
      </w:r>
    </w:p>
    <w:p w:rsidR="0050129A" w:rsidRPr="0050129A" w:rsidRDefault="0050129A" w:rsidP="0050129A">
      <w:pPr>
        <w:pStyle w:val="TextoNormalSangraFrancesa"/>
        <w:rPr>
          <w:rStyle w:val="TextoNormalCaracter"/>
        </w:rPr>
      </w:pPr>
      <w:r w:rsidRPr="0050129A">
        <w:rPr>
          <w:rStyle w:val="TextoNormalCursivaCaracter"/>
        </w:rPr>
        <w:t xml:space="preserve">    Régimen jurídico, </w:t>
      </w:r>
      <w:r w:rsidRPr="0050129A">
        <w:rPr>
          <w:rStyle w:val="TextoNormalCaracter"/>
        </w:rPr>
        <w:t xml:space="preserve">Sentencia </w:t>
      </w:r>
      <w:hyperlink w:anchor="SENTENCIA_2008_43" w:history="1">
        <w:r w:rsidRPr="0050129A">
          <w:rPr>
            <w:rStyle w:val="TextoNormalCaracter"/>
          </w:rPr>
          <w:t>43/2008</w:t>
        </w:r>
      </w:hyperlink>
      <w:r w:rsidRPr="0050129A">
        <w:rPr>
          <w:rStyle w:val="TextoNormalCaracter"/>
        </w:rPr>
        <w:t>, f. 4, VP.</w:t>
      </w:r>
    </w:p>
    <w:p w:rsidR="0050129A" w:rsidRPr="0050129A" w:rsidRDefault="0050129A" w:rsidP="0050129A">
      <w:pPr>
        <w:pStyle w:val="TextoNormalSangraFrancesa"/>
        <w:rPr>
          <w:rStyle w:val="TextoNormalCaracter"/>
        </w:rPr>
      </w:pPr>
      <w:bookmarkStart w:id="1297" w:name="DESCRIPTORALFABETICO98"/>
      <w:r w:rsidRPr="0050129A">
        <w:rPr>
          <w:rStyle w:val="TextoNormalNegritaCaracter"/>
          <w:i/>
        </w:rPr>
        <w:t>Reformatio in peius</w:t>
      </w:r>
      <w:bookmarkEnd w:id="1297"/>
      <w:r w:rsidRPr="0050129A">
        <w:rPr>
          <w:rStyle w:val="TextoNormalCaracter"/>
        </w:rPr>
        <w:t xml:space="preserve">, Sentencia </w:t>
      </w:r>
      <w:hyperlink w:anchor="SENTENCIA_2008_41" w:history="1">
        <w:r w:rsidRPr="0050129A">
          <w:rPr>
            <w:rStyle w:val="TextoNormalCaracter"/>
          </w:rPr>
          <w:t>41/2008</w:t>
        </w:r>
      </w:hyperlink>
      <w:r w:rsidRPr="0050129A">
        <w:rPr>
          <w:rStyle w:val="TextoNormalCaracter"/>
        </w:rPr>
        <w:t>, ff. 2, 3.</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41" w:history="1">
        <w:r w:rsidRPr="0050129A">
          <w:rPr>
            <w:rStyle w:val="TextoNormalCaracter"/>
          </w:rPr>
          <w:t>41/2008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 </w:t>
      </w:r>
      <w:hyperlink w:anchor="SENTENCIA_2008_41" w:history="1">
        <w:r w:rsidRPr="0050129A">
          <w:rPr>
            <w:rStyle w:val="TextoNormalCaracter"/>
          </w:rPr>
          <w:t>41/2008</w:t>
        </w:r>
      </w:hyperlink>
      <w:r w:rsidRPr="0050129A">
        <w:rPr>
          <w:rStyle w:val="TextoNormalCaracter"/>
        </w:rPr>
        <w:t>, f. 3.</w:t>
      </w:r>
    </w:p>
    <w:p w:rsidR="0050129A" w:rsidRPr="0050129A" w:rsidRDefault="0050129A" w:rsidP="0050129A">
      <w:pPr>
        <w:pStyle w:val="TextoNormalSangraFrancesa"/>
        <w:rPr>
          <w:rStyle w:val="TextoNormalCaracter"/>
        </w:rPr>
      </w:pPr>
      <w:bookmarkStart w:id="1298" w:name="DESCRIPTORALFABETICO22"/>
      <w:r w:rsidRPr="0050129A">
        <w:rPr>
          <w:rStyle w:val="TextoNormalNegritaCaracter"/>
        </w:rPr>
        <w:t>Régimen electoral</w:t>
      </w:r>
      <w:bookmarkEnd w:id="1298"/>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8.</w:t>
      </w:r>
    </w:p>
    <w:p w:rsidR="0050129A" w:rsidRPr="0050129A" w:rsidRDefault="0050129A" w:rsidP="0050129A">
      <w:pPr>
        <w:pStyle w:val="TextoNormalSangraFrancesa"/>
        <w:rPr>
          <w:rStyle w:val="TextoNormalCaracter"/>
        </w:rPr>
      </w:pPr>
      <w:bookmarkStart w:id="1299" w:name="DESCRIPTORALFABETICO415"/>
      <w:r w:rsidRPr="0050129A">
        <w:rPr>
          <w:rStyle w:val="TextoNormalNegritaCaracter"/>
        </w:rPr>
        <w:t>Régimen penitenciario</w:t>
      </w:r>
      <w:bookmarkEnd w:id="1299"/>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ff. 3 a 5.</w:t>
      </w:r>
    </w:p>
    <w:p w:rsidR="0050129A" w:rsidRPr="0050129A" w:rsidRDefault="0050129A" w:rsidP="0050129A">
      <w:pPr>
        <w:pStyle w:val="TextoNormalSangraFrancesa"/>
        <w:rPr>
          <w:rStyle w:val="TextoNormalCaracter"/>
        </w:rPr>
      </w:pPr>
      <w:bookmarkStart w:id="1300" w:name="DESCRIPTORALFABETICO422"/>
      <w:r w:rsidRPr="0050129A">
        <w:rPr>
          <w:rStyle w:val="TextoNormalNegritaCaracter"/>
        </w:rPr>
        <w:t>Registro de la Propiedad</w:t>
      </w:r>
      <w:bookmarkEnd w:id="1300"/>
      <w:r w:rsidRPr="0050129A">
        <w:rPr>
          <w:rStyle w:val="TextoNormalCaracter"/>
        </w:rPr>
        <w:t xml:space="preserve">, Sentencia </w:t>
      </w:r>
      <w:hyperlink w:anchor="SENTENCIA_2008_6" w:history="1">
        <w:r w:rsidRPr="0050129A">
          <w:rPr>
            <w:rStyle w:val="TextoNormalCaracter"/>
          </w:rPr>
          <w:t>6/2008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301" w:name="DESCRIPTORALFABETICO300"/>
      <w:r w:rsidRPr="0050129A">
        <w:rPr>
          <w:rStyle w:val="TextoNormalNegritaCaracter"/>
        </w:rPr>
        <w:t>Reglamentos parlamentarios</w:t>
      </w:r>
      <w:bookmarkEnd w:id="1301"/>
      <w:r w:rsidRPr="0050129A">
        <w:rPr>
          <w:rStyle w:val="TextoNormalCaracter"/>
        </w:rPr>
        <w:t xml:space="preserve">, Sentencia </w:t>
      </w:r>
      <w:hyperlink w:anchor="SENTENCIA_2008_39" w:history="1">
        <w:r w:rsidRPr="0050129A">
          <w:rPr>
            <w:rStyle w:val="TextoNormalCaracter"/>
          </w:rPr>
          <w:t>39/2008</w:t>
        </w:r>
      </w:hyperlink>
      <w:r w:rsidRPr="0050129A">
        <w:rPr>
          <w:rStyle w:val="TextoNormalCaracter"/>
        </w:rPr>
        <w:t>, f. 5.</w:t>
      </w:r>
    </w:p>
    <w:p w:rsidR="0050129A" w:rsidRPr="0050129A" w:rsidRDefault="0050129A" w:rsidP="0050129A">
      <w:pPr>
        <w:pStyle w:val="TextoNormalSangraFrancesa"/>
        <w:rPr>
          <w:rStyle w:val="TextoNormalNegritaCaracter"/>
        </w:rPr>
      </w:pPr>
      <w:r w:rsidRPr="0050129A">
        <w:rPr>
          <w:rStyle w:val="TextoNormalCursivaCaracter"/>
        </w:rPr>
        <w:t>Reglas procesales</w:t>
      </w:r>
      <w:r>
        <w:t xml:space="preserve"> véase </w:t>
      </w:r>
      <w:hyperlink w:anchor="DESCRIPTORALFABETICO539" w:history="1">
        <w:r w:rsidRPr="0050129A">
          <w:rPr>
            <w:rStyle w:val="TextoNormalNegritaCaracter"/>
          </w:rPr>
          <w:t>Requisitos procesales</w:t>
        </w:r>
      </w:hyperlink>
    </w:p>
    <w:p w:rsidR="0050129A" w:rsidRPr="0050129A" w:rsidRDefault="0050129A" w:rsidP="0050129A">
      <w:pPr>
        <w:pStyle w:val="TextoNormalSangraFrancesa"/>
        <w:rPr>
          <w:rStyle w:val="TextoNormalCaracter"/>
        </w:rPr>
      </w:pPr>
      <w:bookmarkStart w:id="1302" w:name="DESCRIPTORALFABETICO433"/>
      <w:r w:rsidRPr="0050129A">
        <w:rPr>
          <w:rStyle w:val="TextoNormalNegritaCaracter"/>
        </w:rPr>
        <w:t>Relaciones laborales</w:t>
      </w:r>
      <w:bookmarkEnd w:id="1302"/>
      <w:r w:rsidRPr="0050129A">
        <w:rPr>
          <w:rStyle w:val="TextoNormalCaracter"/>
        </w:rPr>
        <w:t xml:space="preserve">, Sentencia </w:t>
      </w:r>
      <w:hyperlink w:anchor="SENTENCIA_2008_56" w:history="1">
        <w:r w:rsidRPr="0050129A">
          <w:rPr>
            <w:rStyle w:val="TextoNormalCaracter"/>
          </w:rPr>
          <w:t>56/2008</w:t>
        </w:r>
      </w:hyperlink>
      <w:r w:rsidRPr="0050129A">
        <w:rPr>
          <w:rStyle w:val="TextoNormalCaracter"/>
        </w:rPr>
        <w:t>, ff. 6, 7, 9, 10.</w:t>
      </w:r>
    </w:p>
    <w:p w:rsidR="0050129A" w:rsidRPr="0050129A" w:rsidRDefault="0050129A" w:rsidP="0050129A">
      <w:pPr>
        <w:pStyle w:val="TextoNormalSangraFrancesa"/>
        <w:rPr>
          <w:rStyle w:val="TextoNormalCaracter"/>
        </w:rPr>
      </w:pPr>
      <w:bookmarkStart w:id="1303" w:name="DESCRIPTORALFABETICO135"/>
      <w:r w:rsidRPr="0050129A">
        <w:rPr>
          <w:rStyle w:val="TextoNormalNegritaCaracter"/>
        </w:rPr>
        <w:t>Relevancia pública de la información</w:t>
      </w:r>
      <w:bookmarkEnd w:id="1303"/>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304" w:name="DESCRIPTORALFABETICO385"/>
      <w:r w:rsidRPr="0050129A">
        <w:rPr>
          <w:rStyle w:val="TextoNormalNegritaCaracter"/>
        </w:rPr>
        <w:t>Remisión a normas reglamentarias</w:t>
      </w:r>
      <w:bookmarkEnd w:id="1304"/>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VP I.</w:t>
      </w:r>
    </w:p>
    <w:p w:rsidR="0050129A" w:rsidRPr="0050129A" w:rsidRDefault="0050129A" w:rsidP="0050129A">
      <w:pPr>
        <w:pStyle w:val="TextoNormalSangraFrancesa"/>
        <w:rPr>
          <w:rStyle w:val="TextoNormalNegritaCaracter"/>
        </w:rPr>
      </w:pPr>
      <w:r w:rsidRPr="0050129A">
        <w:rPr>
          <w:rStyle w:val="TextoNormalCursivaCaracter"/>
        </w:rPr>
        <w:t>Remisión al reglamento</w:t>
      </w:r>
      <w:r>
        <w:t xml:space="preserve"> véase </w:t>
      </w:r>
      <w:hyperlink w:anchor="DESCRIPTORALFABETICO385" w:history="1">
        <w:r w:rsidRPr="0050129A">
          <w:rPr>
            <w:rStyle w:val="TextoNormalNegritaCaracter"/>
          </w:rPr>
          <w:t>Remisión a normas reglamentarias</w:t>
        </w:r>
      </w:hyperlink>
    </w:p>
    <w:p w:rsidR="0050129A" w:rsidRPr="0050129A" w:rsidRDefault="0050129A" w:rsidP="0050129A">
      <w:pPr>
        <w:pStyle w:val="TextoNormalSangraFrancesa"/>
        <w:rPr>
          <w:rStyle w:val="TextoNormalCaracter"/>
        </w:rPr>
      </w:pPr>
      <w:bookmarkStart w:id="1305" w:name="DESCRIPTORALFABETICO144"/>
      <w:r w:rsidRPr="0050129A">
        <w:rPr>
          <w:rStyle w:val="TextoNormalNegritaCaracter"/>
        </w:rPr>
        <w:t>Reparación de derechos fundamentales en la vía judicial</w:t>
      </w:r>
      <w:bookmarkEnd w:id="1305"/>
      <w:r w:rsidRPr="0050129A">
        <w:rPr>
          <w:rStyle w:val="TextoNormalCaracter"/>
        </w:rPr>
        <w:t xml:space="preserve">, Sentencia </w:t>
      </w:r>
      <w:hyperlink w:anchor="SENTENCIA_2008_30" w:history="1">
        <w:r w:rsidRPr="0050129A">
          <w:rPr>
            <w:rStyle w:val="TextoNormalCaracter"/>
          </w:rPr>
          <w:t>30/2008</w:t>
        </w:r>
      </w:hyperlink>
      <w:r w:rsidRPr="0050129A">
        <w:rPr>
          <w:rStyle w:val="TextoNormalCaracter"/>
        </w:rPr>
        <w:t>, f. 8.</w:t>
      </w:r>
    </w:p>
    <w:p w:rsidR="0050129A" w:rsidRPr="0050129A" w:rsidRDefault="0050129A" w:rsidP="0050129A">
      <w:pPr>
        <w:pStyle w:val="TextoNormalSangraFrancesa"/>
        <w:rPr>
          <w:rStyle w:val="TextoNormalCaracter"/>
        </w:rPr>
      </w:pPr>
      <w:bookmarkStart w:id="1306" w:name="DESCRIPTORALFABETICO573"/>
      <w:r w:rsidRPr="0050129A">
        <w:rPr>
          <w:rStyle w:val="TextoNormalNegritaCaracter"/>
        </w:rPr>
        <w:t>Repetición del juicio oral</w:t>
      </w:r>
      <w:bookmarkEnd w:id="1306"/>
      <w:r w:rsidRPr="0050129A">
        <w:rPr>
          <w:rStyle w:val="TextoNormalCaracter"/>
        </w:rPr>
        <w:t xml:space="preserve">, Sentencia </w:t>
      </w:r>
      <w:hyperlink w:anchor="SENTENCIA_2008_23" w:history="1">
        <w:r w:rsidRPr="0050129A">
          <w:rPr>
            <w:rStyle w:val="TextoNormalCaracter"/>
          </w:rPr>
          <w:t>23/2008</w:t>
        </w:r>
      </w:hyperlink>
      <w:r w:rsidRPr="0050129A">
        <w:rPr>
          <w:rStyle w:val="TextoNormalCaracter"/>
        </w:rPr>
        <w:t>, f. 3.</w:t>
      </w:r>
    </w:p>
    <w:p w:rsidR="0050129A" w:rsidRPr="0050129A" w:rsidRDefault="0050129A" w:rsidP="0050129A">
      <w:pPr>
        <w:pStyle w:val="TextoNormalSangraFrancesa"/>
        <w:rPr>
          <w:rStyle w:val="TextoNormalCaracter"/>
        </w:rPr>
      </w:pPr>
      <w:bookmarkStart w:id="1307" w:name="DESCRIPTORALFABETICO302"/>
      <w:r w:rsidRPr="0050129A">
        <w:rPr>
          <w:rStyle w:val="TextoNormalNegritaCaracter"/>
        </w:rPr>
        <w:t>Representación política</w:t>
      </w:r>
      <w:bookmarkEnd w:id="1307"/>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9, VP.</w:t>
      </w:r>
    </w:p>
    <w:p w:rsidR="0050129A" w:rsidRPr="0050129A" w:rsidRDefault="0050129A" w:rsidP="0050129A">
      <w:pPr>
        <w:pStyle w:val="TextoNormalSangraFrancesa"/>
        <w:rPr>
          <w:rStyle w:val="TextoNormalCaracter"/>
        </w:rPr>
      </w:pPr>
      <w:bookmarkStart w:id="1308" w:name="DESCRIPTORALFABETICO8"/>
      <w:r w:rsidRPr="0050129A">
        <w:rPr>
          <w:rStyle w:val="TextoNormalNegritaCaracter"/>
        </w:rPr>
        <w:t>Representante del sujeto pasivo</w:t>
      </w:r>
      <w:bookmarkEnd w:id="1308"/>
      <w:r w:rsidRPr="0050129A">
        <w:rPr>
          <w:rStyle w:val="TextoNormalCaracter"/>
        </w:rPr>
        <w:t xml:space="preserve">, Sentencia </w:t>
      </w:r>
      <w:hyperlink w:anchor="SENTENCIA_2008_46" w:history="1">
        <w:r w:rsidRPr="0050129A">
          <w:rPr>
            <w:rStyle w:val="TextoNormalCaracter"/>
          </w:rPr>
          <w:t>46/2008</w:t>
        </w:r>
      </w:hyperlink>
      <w:r w:rsidRPr="0050129A">
        <w:rPr>
          <w:rStyle w:val="TextoNormalCaracter"/>
        </w:rPr>
        <w:t>, f. 3.</w:t>
      </w:r>
    </w:p>
    <w:p w:rsidR="0050129A" w:rsidRPr="0050129A" w:rsidRDefault="0050129A" w:rsidP="0050129A">
      <w:pPr>
        <w:pStyle w:val="TextoNormalSangraFrancesa"/>
        <w:rPr>
          <w:rStyle w:val="TextoNormalCaracter"/>
        </w:rPr>
      </w:pPr>
      <w:bookmarkStart w:id="1309" w:name="DESCRIPTORALFABETICO509"/>
      <w:r w:rsidRPr="0050129A">
        <w:rPr>
          <w:rStyle w:val="TextoNormalNegritaCaracter"/>
        </w:rPr>
        <w:t>Requisito de la sostenibilidad de la pretensión</w:t>
      </w:r>
      <w:bookmarkEnd w:id="1309"/>
      <w:r w:rsidRPr="0050129A">
        <w:rPr>
          <w:rStyle w:val="TextoNormalCaracter"/>
        </w:rPr>
        <w:t xml:space="preserve">, Sentencia </w:t>
      </w:r>
      <w:hyperlink w:anchor="SENTENCIA_2008_7" w:history="1">
        <w:r w:rsidRPr="0050129A">
          <w:rPr>
            <w:rStyle w:val="TextoNormalCaracter"/>
          </w:rPr>
          <w:t>7/2008</w:t>
        </w:r>
      </w:hyperlink>
      <w:r w:rsidRPr="0050129A">
        <w:rPr>
          <w:rStyle w:val="TextoNormalCaracter"/>
        </w:rPr>
        <w:t>, f. 2.</w:t>
      </w:r>
    </w:p>
    <w:p w:rsidR="0050129A" w:rsidRPr="0050129A" w:rsidRDefault="0050129A" w:rsidP="0050129A">
      <w:pPr>
        <w:pStyle w:val="TextoNormalSangraFrancesa"/>
        <w:rPr>
          <w:rStyle w:val="TextoNormalCaracter"/>
        </w:rPr>
      </w:pPr>
      <w:bookmarkStart w:id="1310" w:name="DESCRIPTORALFABETICO562"/>
      <w:r w:rsidRPr="0050129A">
        <w:rPr>
          <w:rStyle w:val="TextoNormalNegritaCaracter"/>
        </w:rPr>
        <w:t>Requisitos de la demanda por despido</w:t>
      </w:r>
      <w:bookmarkEnd w:id="1310"/>
      <w:r w:rsidRPr="0050129A">
        <w:rPr>
          <w:rStyle w:val="TextoNormalCaracter"/>
        </w:rPr>
        <w:t xml:space="preserve">, Auto </w:t>
      </w:r>
      <w:hyperlink w:anchor="AUTO_2008_77" w:history="1">
        <w:r w:rsidRPr="0050129A">
          <w:rPr>
            <w:rStyle w:val="TextoNormalCaracter"/>
          </w:rPr>
          <w:t>77/2008</w:t>
        </w:r>
      </w:hyperlink>
      <w:r w:rsidRPr="0050129A">
        <w:rPr>
          <w:rStyle w:val="TextoNormalCaracter"/>
        </w:rPr>
        <w:t>.</w:t>
      </w:r>
    </w:p>
    <w:p w:rsidR="0050129A" w:rsidRPr="0050129A" w:rsidRDefault="0050129A" w:rsidP="0050129A">
      <w:pPr>
        <w:pStyle w:val="TextoNormalSangraFrancesa"/>
        <w:rPr>
          <w:rStyle w:val="TextoNormalCaracter"/>
        </w:rPr>
      </w:pPr>
      <w:bookmarkStart w:id="1311" w:name="DESCRIPTORALFABETICO20"/>
      <w:r w:rsidRPr="0050129A">
        <w:rPr>
          <w:rStyle w:val="TextoNormalNegritaCaracter"/>
        </w:rPr>
        <w:t>Requisitos de las candidaturas electorales</w:t>
      </w:r>
      <w:bookmarkEnd w:id="1311"/>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3 a 10.</w:t>
      </w:r>
    </w:p>
    <w:p w:rsidR="0050129A" w:rsidRPr="0050129A" w:rsidRDefault="0050129A" w:rsidP="0050129A">
      <w:pPr>
        <w:pStyle w:val="TextoNormalSangraFrancesa"/>
        <w:rPr>
          <w:rStyle w:val="TextoNormalCaracter"/>
        </w:rPr>
      </w:pPr>
      <w:bookmarkStart w:id="1312" w:name="DESCRIPTORALFABETICO192"/>
      <w:r w:rsidRPr="0050129A">
        <w:rPr>
          <w:rStyle w:val="TextoNormalNegritaCaracter"/>
        </w:rPr>
        <w:t>Requisitos del desistimiento en el recurso de amparo</w:t>
      </w:r>
      <w:bookmarkEnd w:id="1312"/>
      <w:r w:rsidRPr="0050129A">
        <w:rPr>
          <w:rStyle w:val="TextoNormalCaracter"/>
        </w:rPr>
        <w:t xml:space="preserve">, Auto </w:t>
      </w:r>
      <w:hyperlink w:anchor="AUTO_2008_34" w:history="1">
        <w:r w:rsidRPr="0050129A">
          <w:rPr>
            <w:rStyle w:val="TextoNormalCaracter"/>
          </w:rPr>
          <w:t>34/2008</w:t>
        </w:r>
      </w:hyperlink>
      <w:r w:rsidRPr="0050129A">
        <w:rPr>
          <w:rStyle w:val="TextoNormalCaracter"/>
        </w:rPr>
        <w:t>.</w:t>
      </w:r>
    </w:p>
    <w:p w:rsidR="0050129A" w:rsidRPr="0050129A" w:rsidRDefault="0050129A" w:rsidP="0050129A">
      <w:pPr>
        <w:pStyle w:val="TextoNormalSangraFrancesa"/>
        <w:rPr>
          <w:rStyle w:val="TextoNormalCaracter"/>
        </w:rPr>
      </w:pPr>
      <w:bookmarkStart w:id="1313" w:name="DESCRIPTORALFABETICO539"/>
      <w:r w:rsidRPr="0050129A">
        <w:rPr>
          <w:rStyle w:val="TextoNormalNegritaCaracter"/>
        </w:rPr>
        <w:t>Requisitos procesales</w:t>
      </w:r>
      <w:bookmarkEnd w:id="1313"/>
      <w:r w:rsidRPr="0050129A">
        <w:rPr>
          <w:rStyle w:val="TextoNormalCaracter"/>
        </w:rPr>
        <w:t xml:space="preserve">, Sentencia </w:t>
      </w:r>
      <w:hyperlink w:anchor="SENTENCIA_2008_55" w:history="1">
        <w:r w:rsidRPr="0050129A">
          <w:rPr>
            <w:rStyle w:val="TextoNormalCaracter"/>
          </w:rPr>
          <w:t>55/2008</w:t>
        </w:r>
      </w:hyperlink>
      <w:r w:rsidRPr="0050129A">
        <w:rPr>
          <w:rStyle w:val="TextoNormalCaracter"/>
        </w:rPr>
        <w:t>, f. 4.</w:t>
      </w:r>
    </w:p>
    <w:p w:rsidR="0050129A" w:rsidRPr="0050129A" w:rsidRDefault="0050129A" w:rsidP="0050129A">
      <w:pPr>
        <w:pStyle w:val="TextoNormalSangraFrancesa"/>
        <w:rPr>
          <w:rStyle w:val="TextoNormalCaracter"/>
        </w:rPr>
      </w:pPr>
      <w:bookmarkStart w:id="1314" w:name="DESCRIPTORALFABETICO205"/>
      <w:r w:rsidRPr="0050129A">
        <w:rPr>
          <w:rStyle w:val="TextoNormalNegritaCaracter"/>
        </w:rPr>
        <w:t>Requisitos procesales de la cuestión de inconstitucionalidad</w:t>
      </w:r>
      <w:bookmarkEnd w:id="1314"/>
      <w:r w:rsidRPr="0050129A">
        <w:rPr>
          <w:rStyle w:val="TextoNormalCaracter"/>
        </w:rPr>
        <w:t xml:space="preserve">, Auto </w:t>
      </w:r>
      <w:hyperlink w:anchor="AUTO_2008_57" w:history="1">
        <w:r w:rsidRPr="0050129A">
          <w:rPr>
            <w:rStyle w:val="TextoNormalCaracter"/>
          </w:rPr>
          <w:t>57/2008</w:t>
        </w:r>
      </w:hyperlink>
      <w:r w:rsidRPr="0050129A">
        <w:rPr>
          <w:rStyle w:val="TextoNormalCaracter"/>
        </w:rPr>
        <w:t>.</w:t>
      </w:r>
    </w:p>
    <w:p w:rsidR="0050129A" w:rsidRPr="0050129A" w:rsidRDefault="0050129A" w:rsidP="0050129A">
      <w:pPr>
        <w:pStyle w:val="TextoNormalSangraFrancesa"/>
        <w:rPr>
          <w:rStyle w:val="TextoNormalCaracter"/>
        </w:rPr>
      </w:pPr>
      <w:bookmarkStart w:id="1315" w:name="DESCRIPTORALFABETICO386"/>
      <w:r w:rsidRPr="0050129A">
        <w:rPr>
          <w:rStyle w:val="TextoNormalNegritaCaracter"/>
        </w:rPr>
        <w:t>Reserva de ley orgánica</w:t>
      </w:r>
      <w:bookmarkEnd w:id="1315"/>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 </w:t>
      </w:r>
      <w:hyperlink w:anchor="SENTENCIA_2008_49" w:history="1">
        <w:r w:rsidRPr="0050129A">
          <w:rPr>
            <w:rStyle w:val="TextoNormalCaracter"/>
          </w:rPr>
          <w:t>49/2008</w:t>
        </w:r>
      </w:hyperlink>
      <w:r w:rsidRPr="0050129A">
        <w:rPr>
          <w:rStyle w:val="TextoNormalCaracter"/>
        </w:rPr>
        <w:t>, f. 2.</w:t>
      </w:r>
    </w:p>
    <w:p w:rsidR="0050129A" w:rsidRPr="0050129A" w:rsidRDefault="0050129A" w:rsidP="0050129A">
      <w:pPr>
        <w:pStyle w:val="TextoNormalSangraFrancesa"/>
        <w:rPr>
          <w:rStyle w:val="TextoNormalCaracter"/>
        </w:rPr>
      </w:pPr>
      <w:bookmarkStart w:id="1316" w:name="DESCRIPTORALFABETICO99"/>
      <w:r w:rsidRPr="0050129A">
        <w:rPr>
          <w:rStyle w:val="TextoNormalNegritaCaracter"/>
        </w:rPr>
        <w:t>Resolución fundada en Derecho</w:t>
      </w:r>
      <w:bookmarkEnd w:id="1316"/>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ff. 2, 3, 6; </w:t>
      </w:r>
      <w:hyperlink w:anchor="SENTENCIA_2008_52" w:history="1">
        <w:r w:rsidRPr="0050129A">
          <w:rPr>
            <w:rStyle w:val="TextoNormalCaracter"/>
          </w:rPr>
          <w:t>52/2008</w:t>
        </w:r>
      </w:hyperlink>
      <w:r w:rsidRPr="0050129A">
        <w:rPr>
          <w:rStyle w:val="TextoNormalCaracter"/>
        </w:rPr>
        <w:t>, f. 2.</w:t>
      </w:r>
    </w:p>
    <w:p w:rsidR="0050129A" w:rsidRPr="0050129A" w:rsidRDefault="0050129A" w:rsidP="0050129A">
      <w:pPr>
        <w:pStyle w:val="TextoNormalSangraFrancesa"/>
        <w:rPr>
          <w:rStyle w:val="TextoNormalCaracter"/>
        </w:rPr>
      </w:pPr>
      <w:bookmarkStart w:id="1317" w:name="DESCRIPTORALFABETICO424"/>
      <w:r w:rsidRPr="0050129A">
        <w:rPr>
          <w:rStyle w:val="TextoNormalNegritaCaracter"/>
        </w:rPr>
        <w:t>Responsabilidad patrimonial de las Administraciones públicas</w:t>
      </w:r>
      <w:bookmarkEnd w:id="1317"/>
      <w:r w:rsidRPr="0050129A">
        <w:rPr>
          <w:rStyle w:val="TextoNormalCaracter"/>
        </w:rPr>
        <w:t xml:space="preserve">, Sentencias </w:t>
      </w:r>
      <w:hyperlink w:anchor="SENTENCIA_2008_11" w:history="1">
        <w:r w:rsidRPr="0050129A">
          <w:rPr>
            <w:rStyle w:val="TextoNormalCaracter"/>
          </w:rPr>
          <w:t>11/2008</w:t>
        </w:r>
      </w:hyperlink>
      <w:r w:rsidRPr="0050129A">
        <w:rPr>
          <w:rStyle w:val="TextoNormalCaracter"/>
        </w:rPr>
        <w:t xml:space="preserve">, f. 8; </w:t>
      </w:r>
      <w:hyperlink w:anchor="SENTENCIA_2008_44" w:history="1">
        <w:r w:rsidRPr="0050129A">
          <w:rPr>
            <w:rStyle w:val="TextoNormalCaracter"/>
          </w:rPr>
          <w:t>44/2008</w:t>
        </w:r>
      </w:hyperlink>
      <w:r w:rsidRPr="0050129A">
        <w:rPr>
          <w:rStyle w:val="TextoNormalCaracter"/>
        </w:rPr>
        <w:t>, ff. 1 a 4.</w:t>
      </w:r>
    </w:p>
    <w:p w:rsidR="0050129A" w:rsidRPr="0050129A" w:rsidRDefault="0050129A" w:rsidP="0050129A">
      <w:pPr>
        <w:pStyle w:val="TextoNormalSangraFrancesa"/>
        <w:rPr>
          <w:rStyle w:val="TextoNormalNegritaCaracter"/>
        </w:rPr>
      </w:pPr>
      <w:r w:rsidRPr="0050129A">
        <w:rPr>
          <w:rStyle w:val="TextoNormalCursivaCaracter"/>
        </w:rPr>
        <w:t>Responsabilidad patrimonial del Estado</w:t>
      </w:r>
      <w:r>
        <w:t xml:space="preserve"> véase </w:t>
      </w:r>
      <w:hyperlink w:anchor="DESCRIPTORALFABETICO424" w:history="1">
        <w:r w:rsidRPr="0050129A">
          <w:rPr>
            <w:rStyle w:val="TextoNormalNegritaCaracter"/>
          </w:rPr>
          <w:t>Responsabilidad patrimonial de las Administraciones públicas</w:t>
        </w:r>
      </w:hyperlink>
    </w:p>
    <w:p w:rsidR="0050129A" w:rsidRPr="0050129A" w:rsidRDefault="0050129A" w:rsidP="0050129A">
      <w:pPr>
        <w:pStyle w:val="TextoNormalSangraFrancesa"/>
        <w:rPr>
          <w:rStyle w:val="TextoNormalNegritaCaracter"/>
        </w:rPr>
      </w:pPr>
      <w:r w:rsidRPr="0050129A">
        <w:rPr>
          <w:rStyle w:val="TextoNormalCursivaCaracter"/>
        </w:rPr>
        <w:t>Responsabilidad penal subsidiaria</w:t>
      </w:r>
      <w:r>
        <w:t xml:space="preserve"> véase </w:t>
      </w:r>
      <w:hyperlink w:anchor="DESCRIPTORALFABETICO401" w:history="1">
        <w:r w:rsidRPr="0050129A">
          <w:rPr>
            <w:rStyle w:val="TextoNormalNegritaCaracter"/>
          </w:rPr>
          <w:t>Responsabilidad personal subsidiaria</w:t>
        </w:r>
      </w:hyperlink>
    </w:p>
    <w:p w:rsidR="0050129A" w:rsidRPr="0050129A" w:rsidRDefault="0050129A" w:rsidP="0050129A">
      <w:pPr>
        <w:pStyle w:val="TextoNormalSangraFrancesa"/>
        <w:rPr>
          <w:rStyle w:val="TextoNormalCaracter"/>
        </w:rPr>
      </w:pPr>
      <w:bookmarkStart w:id="1318" w:name="DESCRIPTORALFABETICO401"/>
      <w:r w:rsidRPr="0050129A">
        <w:rPr>
          <w:rStyle w:val="TextoNormalNegritaCaracter"/>
        </w:rPr>
        <w:t>Responsabilidad personal subsidiaria</w:t>
      </w:r>
      <w:bookmarkEnd w:id="1318"/>
      <w:r w:rsidRPr="0050129A">
        <w:rPr>
          <w:rStyle w:val="TextoNormalCaracter"/>
        </w:rPr>
        <w:t xml:space="preserve">, Autos </w:t>
      </w:r>
      <w:hyperlink w:anchor="AUTO_2008_42" w:history="1">
        <w:r w:rsidRPr="0050129A">
          <w:rPr>
            <w:rStyle w:val="TextoNormalCaracter"/>
          </w:rPr>
          <w:t>42/2008</w:t>
        </w:r>
      </w:hyperlink>
      <w:r w:rsidRPr="0050129A">
        <w:rPr>
          <w:rStyle w:val="TextoNormalCaracter"/>
        </w:rPr>
        <w:t xml:space="preserve">; </w:t>
      </w:r>
      <w:hyperlink w:anchor="AUTO_2008_109" w:history="1">
        <w:r w:rsidRPr="0050129A">
          <w:rPr>
            <w:rStyle w:val="TextoNormalCaracter"/>
          </w:rPr>
          <w:t>109/2008</w:t>
        </w:r>
      </w:hyperlink>
      <w:r w:rsidRPr="0050129A">
        <w:rPr>
          <w:rStyle w:val="TextoNormalCaracter"/>
        </w:rPr>
        <w:t xml:space="preserve">; </w:t>
      </w:r>
      <w:hyperlink w:anchor="AUTO_2008_116" w:history="1">
        <w:r w:rsidRPr="0050129A">
          <w:rPr>
            <w:rStyle w:val="TextoNormalCaracter"/>
          </w:rPr>
          <w:t>116/2008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Retirada de permiso de conducir</w:t>
      </w:r>
      <w:r>
        <w:t xml:space="preserve"> véase </w:t>
      </w:r>
      <w:hyperlink w:anchor="DESCRIPTORALFABETICO344" w:history="1">
        <w:r w:rsidRPr="0050129A">
          <w:rPr>
            <w:rStyle w:val="TextoNormalNegritaCaracter"/>
          </w:rPr>
          <w:t>Suspensión de permiso de conducir</w:t>
        </w:r>
      </w:hyperlink>
    </w:p>
    <w:p w:rsidR="0050129A" w:rsidRPr="0050129A" w:rsidRDefault="0050129A" w:rsidP="0050129A">
      <w:pPr>
        <w:pStyle w:val="TextoNormalSangraFrancesa"/>
        <w:rPr>
          <w:rStyle w:val="TextoNormalCaracter"/>
        </w:rPr>
      </w:pPr>
      <w:bookmarkStart w:id="1319" w:name="DESCRIPTORALFABETICO465"/>
      <w:r w:rsidRPr="0050129A">
        <w:rPr>
          <w:rStyle w:val="TextoNormalNegritaCaracter"/>
        </w:rPr>
        <w:t>Retroacción de actuaciones para tramitación de solicitud de procurador de oficio</w:t>
      </w:r>
      <w:bookmarkEnd w:id="1319"/>
      <w:r w:rsidRPr="0050129A">
        <w:rPr>
          <w:rStyle w:val="TextoNormalCaracter"/>
        </w:rPr>
        <w:t xml:space="preserve">, Sentencia </w:t>
      </w:r>
      <w:hyperlink w:anchor="SENTENCIA_2008_55" w:history="1">
        <w:r w:rsidRPr="0050129A">
          <w:rPr>
            <w:rStyle w:val="TextoNormalCaracter"/>
          </w:rPr>
          <w:t>55/2008</w:t>
        </w:r>
      </w:hyperlink>
      <w:r w:rsidRPr="0050129A">
        <w:rPr>
          <w:rStyle w:val="TextoNormalCaracter"/>
        </w:rPr>
        <w:t>, f. 6.</w:t>
      </w:r>
    </w:p>
    <w:p w:rsidR="0050129A" w:rsidRPr="0050129A" w:rsidRDefault="0050129A" w:rsidP="0050129A">
      <w:pPr>
        <w:pStyle w:val="TextoNormalSangraFrancesa"/>
        <w:rPr>
          <w:rStyle w:val="TextoNormalCaracter"/>
        </w:rPr>
      </w:pPr>
      <w:bookmarkStart w:id="1320" w:name="DESCRIPTORALFABETICO588"/>
      <w:r w:rsidRPr="0050129A">
        <w:rPr>
          <w:rStyle w:val="TextoNormalNegritaCaracter"/>
        </w:rPr>
        <w:lastRenderedPageBreak/>
        <w:t>Revocación de sentencia absolutoria</w:t>
      </w:r>
      <w:bookmarkEnd w:id="1320"/>
      <w:r w:rsidRPr="0050129A">
        <w:rPr>
          <w:rStyle w:val="TextoNormalCaracter"/>
        </w:rPr>
        <w:t xml:space="preserve">, Sentencias </w:t>
      </w:r>
      <w:hyperlink w:anchor="SENTENCIA_2008_23" w:history="1">
        <w:r w:rsidRPr="0050129A">
          <w:rPr>
            <w:rStyle w:val="TextoNormalCaracter"/>
          </w:rPr>
          <w:t>23/2008</w:t>
        </w:r>
      </w:hyperlink>
      <w:r w:rsidRPr="0050129A">
        <w:rPr>
          <w:rStyle w:val="TextoNormalCaracter"/>
        </w:rPr>
        <w:t xml:space="preserve">, ff. 2 a 5; </w:t>
      </w:r>
      <w:hyperlink w:anchor="SENTENCIA_2008_28" w:history="1">
        <w:r w:rsidRPr="0050129A">
          <w:rPr>
            <w:rStyle w:val="TextoNormalCaracter"/>
          </w:rPr>
          <w:t>28/2008</w:t>
        </w:r>
      </w:hyperlink>
      <w:r w:rsidRPr="0050129A">
        <w:rPr>
          <w:rStyle w:val="TextoNormalCaracter"/>
        </w:rPr>
        <w:t>, f. 2.</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S</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321" w:name="DESCRIPTORALFABETICO420"/>
      <w:r w:rsidRPr="0050129A">
        <w:rPr>
          <w:rStyle w:val="TextoNormalNegritaCaracter"/>
        </w:rPr>
        <w:t>Sanciones penitenciarias</w:t>
      </w:r>
      <w:bookmarkEnd w:id="1321"/>
      <w:r w:rsidRPr="0050129A">
        <w:rPr>
          <w:rStyle w:val="TextoNormalCaracter"/>
        </w:rPr>
        <w:t xml:space="preserve">, Sentencia </w:t>
      </w:r>
      <w:hyperlink w:anchor="SENTENCIA_2008_5" w:history="1">
        <w:r w:rsidRPr="0050129A">
          <w:rPr>
            <w:rStyle w:val="TextoNormalCaracter"/>
          </w:rPr>
          <w:t>5/2008</w:t>
        </w:r>
      </w:hyperlink>
      <w:r w:rsidRPr="0050129A">
        <w:rPr>
          <w:rStyle w:val="TextoNormalCaracter"/>
        </w:rPr>
        <w:t>, f. 4.</w:t>
      </w:r>
    </w:p>
    <w:p w:rsidR="0050129A" w:rsidRPr="0050129A" w:rsidRDefault="0050129A" w:rsidP="0050129A">
      <w:pPr>
        <w:pStyle w:val="TextoNormalSangraFrancesa"/>
        <w:rPr>
          <w:rStyle w:val="TextoNormalCaracter"/>
        </w:rPr>
      </w:pPr>
      <w:bookmarkStart w:id="1322" w:name="DESCRIPTORALFABETICO543"/>
      <w:r w:rsidRPr="0050129A">
        <w:rPr>
          <w:rStyle w:val="TextoNormalNegritaCaracter"/>
        </w:rPr>
        <w:t>Satisfacción extraprocesal de la pretensión</w:t>
      </w:r>
      <w:bookmarkEnd w:id="1322"/>
      <w:r w:rsidRPr="0050129A">
        <w:rPr>
          <w:rStyle w:val="TextoNormalCaracter"/>
        </w:rPr>
        <w:t xml:space="preserve">, Auto </w:t>
      </w:r>
      <w:hyperlink w:anchor="AUTO_2008_87" w:history="1">
        <w:r w:rsidRPr="0050129A">
          <w:rPr>
            <w:rStyle w:val="TextoNormalCaracter"/>
          </w:rPr>
          <w:t>87/2008</w:t>
        </w:r>
      </w:hyperlink>
      <w:r w:rsidRPr="0050129A">
        <w:rPr>
          <w:rStyle w:val="TextoNormalCaracter"/>
        </w:rPr>
        <w:t>.</w:t>
      </w:r>
    </w:p>
    <w:p w:rsidR="0050129A" w:rsidRPr="0050129A" w:rsidRDefault="0050129A" w:rsidP="0050129A">
      <w:pPr>
        <w:pStyle w:val="TextoNormalSangraFrancesa"/>
        <w:rPr>
          <w:rStyle w:val="TextoNormalCaracter"/>
        </w:rPr>
      </w:pPr>
      <w:bookmarkStart w:id="1323" w:name="DESCRIPTORALFABETICO247"/>
      <w:r w:rsidRPr="0050129A">
        <w:rPr>
          <w:rStyle w:val="TextoNormalNegritaCaracter"/>
        </w:rPr>
        <w:t>Sentencia de amparo</w:t>
      </w:r>
      <w:bookmarkEnd w:id="1323"/>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f. 4; </w:t>
      </w:r>
      <w:hyperlink w:anchor="SENTENCIA_2008_55" w:history="1">
        <w:r w:rsidRPr="0050129A">
          <w:rPr>
            <w:rStyle w:val="TextoNormalCaracter"/>
          </w:rPr>
          <w:t>55/2008</w:t>
        </w:r>
      </w:hyperlink>
      <w:r w:rsidRPr="0050129A">
        <w:rPr>
          <w:rStyle w:val="TextoNormalCaracter"/>
        </w:rPr>
        <w:t>, f. 6.</w:t>
      </w:r>
    </w:p>
    <w:p w:rsidR="0050129A" w:rsidRPr="0050129A" w:rsidRDefault="0050129A" w:rsidP="0050129A">
      <w:pPr>
        <w:pStyle w:val="TextoNormalSangraFrancesa"/>
        <w:rPr>
          <w:rStyle w:val="TextoNormalCaracter"/>
        </w:rPr>
      </w:pPr>
      <w:bookmarkStart w:id="1324" w:name="DESCRIPTORALFABETICO250"/>
      <w:r w:rsidRPr="0050129A">
        <w:rPr>
          <w:rStyle w:val="TextoNormalNegritaCaracter"/>
        </w:rPr>
        <w:t>Sentencia de amparo de carácter declarativo</w:t>
      </w:r>
      <w:bookmarkEnd w:id="1324"/>
      <w:r w:rsidRPr="0050129A">
        <w:rPr>
          <w:rStyle w:val="TextoNormalCaracter"/>
        </w:rPr>
        <w:t xml:space="preserve">, Sentencia </w:t>
      </w:r>
      <w:hyperlink w:anchor="SENTENCIA_2008_8" w:history="1">
        <w:r w:rsidRPr="0050129A">
          <w:rPr>
            <w:rStyle w:val="TextoNormalCaracter"/>
          </w:rPr>
          <w:t>8/2008</w:t>
        </w:r>
      </w:hyperlink>
      <w:r w:rsidRPr="0050129A">
        <w:rPr>
          <w:rStyle w:val="TextoNormalCaracter"/>
        </w:rPr>
        <w:t>, f. 4.</w:t>
      </w:r>
    </w:p>
    <w:p w:rsidR="0050129A" w:rsidRPr="0050129A" w:rsidRDefault="0050129A" w:rsidP="0050129A">
      <w:pPr>
        <w:pStyle w:val="TextoNormalSangraFrancesa"/>
        <w:rPr>
          <w:rStyle w:val="TextoNormalCaracter"/>
        </w:rPr>
      </w:pPr>
      <w:bookmarkStart w:id="1325" w:name="DESCRIPTORALFABETICO552"/>
      <w:r w:rsidRPr="0050129A">
        <w:rPr>
          <w:rStyle w:val="TextoNormalNegritaCaracter"/>
        </w:rPr>
        <w:t>Sentencia de apelación civil</w:t>
      </w:r>
      <w:bookmarkEnd w:id="1325"/>
      <w:r w:rsidRPr="0050129A">
        <w:rPr>
          <w:rStyle w:val="TextoNormalCaracter"/>
        </w:rPr>
        <w:t xml:space="preserve">, Sentencia </w:t>
      </w:r>
      <w:hyperlink w:anchor="SENTENCIA_2008_41" w:history="1">
        <w:r w:rsidRPr="0050129A">
          <w:rPr>
            <w:rStyle w:val="TextoNormalCaracter"/>
          </w:rPr>
          <w:t>41/2008</w:t>
        </w:r>
      </w:hyperlink>
      <w:r w:rsidRPr="0050129A">
        <w:rPr>
          <w:rStyle w:val="TextoNormalCaracter"/>
        </w:rPr>
        <w:t>, f. 2.</w:t>
      </w:r>
    </w:p>
    <w:p w:rsidR="0050129A" w:rsidRPr="0050129A" w:rsidRDefault="0050129A" w:rsidP="0050129A">
      <w:pPr>
        <w:pStyle w:val="TextoNormalSangraFrancesa"/>
        <w:rPr>
          <w:rStyle w:val="TextoNormalCaracter"/>
        </w:rPr>
      </w:pPr>
      <w:bookmarkStart w:id="1326" w:name="DESCRIPTORALFABETICO100"/>
      <w:r w:rsidRPr="0050129A">
        <w:rPr>
          <w:rStyle w:val="TextoNormalNegritaCaracter"/>
        </w:rPr>
        <w:t>Sentencia fundada en Derecho</w:t>
      </w:r>
      <w:bookmarkEnd w:id="1326"/>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Sentencias </w:t>
      </w:r>
      <w:hyperlink w:anchor="SENTENCIA_2008_13" w:history="1">
        <w:r w:rsidRPr="0050129A">
          <w:rPr>
            <w:rStyle w:val="TextoNormalCaracter"/>
          </w:rPr>
          <w:t>13/2008</w:t>
        </w:r>
      </w:hyperlink>
      <w:r w:rsidRPr="0050129A">
        <w:rPr>
          <w:rStyle w:val="TextoNormalCaracter"/>
        </w:rPr>
        <w:t xml:space="preserve">, f. 4; </w:t>
      </w:r>
      <w:hyperlink w:anchor="SENTENCIA_2008_15" w:history="1">
        <w:r w:rsidRPr="0050129A">
          <w:rPr>
            <w:rStyle w:val="TextoNormalCaracter"/>
          </w:rPr>
          <w:t>15/2008</w:t>
        </w:r>
      </w:hyperlink>
      <w:r w:rsidRPr="0050129A">
        <w:rPr>
          <w:rStyle w:val="TextoNormalCaracter"/>
        </w:rPr>
        <w:t>, f. 6.</w:t>
      </w:r>
    </w:p>
    <w:p w:rsidR="0050129A" w:rsidRPr="0050129A" w:rsidRDefault="0050129A" w:rsidP="0050129A">
      <w:pPr>
        <w:pStyle w:val="TextoNormalSangraFrancesa"/>
        <w:rPr>
          <w:rStyle w:val="TextoNormalCaracter"/>
        </w:rPr>
      </w:pPr>
      <w:r w:rsidRPr="0050129A">
        <w:rPr>
          <w:rStyle w:val="TextoNormalCursivaCaracter"/>
        </w:rPr>
        <w:t xml:space="preserve">    Respetado, </w:t>
      </w:r>
      <w:r w:rsidRPr="0050129A">
        <w:rPr>
          <w:rStyle w:val="TextoNormalCaracter"/>
        </w:rPr>
        <w:t xml:space="preserve">Sentencias </w:t>
      </w:r>
      <w:hyperlink w:anchor="SENTENCIA_2008_13" w:history="1">
        <w:r w:rsidRPr="0050129A">
          <w:rPr>
            <w:rStyle w:val="TextoNormalCaracter"/>
          </w:rPr>
          <w:t>13/2008</w:t>
        </w:r>
      </w:hyperlink>
      <w:r w:rsidRPr="0050129A">
        <w:rPr>
          <w:rStyle w:val="TextoNormalCaracter"/>
        </w:rPr>
        <w:t xml:space="preserve">, f. 4; </w:t>
      </w:r>
      <w:hyperlink w:anchor="SENTENCIA_2008_15" w:history="1">
        <w:r w:rsidRPr="0050129A">
          <w:rPr>
            <w:rStyle w:val="TextoNormalCaracter"/>
          </w:rPr>
          <w:t>15/2008</w:t>
        </w:r>
      </w:hyperlink>
      <w:r w:rsidRPr="0050129A">
        <w:rPr>
          <w:rStyle w:val="TextoNormalCaracter"/>
        </w:rPr>
        <w:t>, f. 6.</w:t>
      </w:r>
    </w:p>
    <w:p w:rsidR="0050129A" w:rsidRPr="0050129A" w:rsidRDefault="0050129A" w:rsidP="0050129A">
      <w:pPr>
        <w:pStyle w:val="TextoNormalSangraFrancesa"/>
        <w:rPr>
          <w:rStyle w:val="TextoNormalCaracter"/>
        </w:rPr>
      </w:pPr>
      <w:bookmarkStart w:id="1327" w:name="DESCRIPTORALFABETICO40"/>
      <w:r w:rsidRPr="0050129A">
        <w:rPr>
          <w:rStyle w:val="TextoNormalNegritaCaracter"/>
        </w:rPr>
        <w:t>Sentencias contradictorias</w:t>
      </w:r>
      <w:bookmarkEnd w:id="1327"/>
      <w:r w:rsidRPr="0050129A">
        <w:rPr>
          <w:rStyle w:val="TextoNormalCaracter"/>
        </w:rPr>
        <w:t xml:space="preserve">, Sentencia </w:t>
      </w:r>
      <w:hyperlink w:anchor="SENTENCIA_2008_31" w:history="1">
        <w:r w:rsidRPr="0050129A">
          <w:rPr>
            <w:rStyle w:val="TextoNormalCaracter"/>
          </w:rPr>
          <w:t>31/2008</w:t>
        </w:r>
      </w:hyperlink>
      <w:r w:rsidRPr="0050129A">
        <w:rPr>
          <w:rStyle w:val="TextoNormalCaracter"/>
        </w:rPr>
        <w:t>, f. 3.</w:t>
      </w:r>
    </w:p>
    <w:p w:rsidR="0050129A" w:rsidRPr="0050129A" w:rsidRDefault="0050129A" w:rsidP="0050129A">
      <w:pPr>
        <w:pStyle w:val="TextoNormalSangraFrancesa"/>
        <w:rPr>
          <w:rStyle w:val="TextoNormalNegritaCaracter"/>
        </w:rPr>
      </w:pPr>
      <w:r w:rsidRPr="0050129A">
        <w:rPr>
          <w:rStyle w:val="TextoNormalCursivaCaracter"/>
        </w:rPr>
        <w:t>Sentencias que contradicen una línea jurisprudencial consolidada</w:t>
      </w:r>
      <w:r>
        <w:t xml:space="preserve"> véase </w:t>
      </w:r>
      <w:hyperlink w:anchor="DESCRIPTORALFABETICO40" w:history="1">
        <w:r w:rsidRPr="0050129A">
          <w:rPr>
            <w:rStyle w:val="TextoNormalNegritaCaracter"/>
          </w:rPr>
          <w:t>Sentencias contradictorias</w:t>
        </w:r>
      </w:hyperlink>
    </w:p>
    <w:p w:rsidR="0050129A" w:rsidRPr="0050129A" w:rsidRDefault="0050129A" w:rsidP="0050129A">
      <w:pPr>
        <w:pStyle w:val="TextoNormalSangraFrancesa"/>
        <w:rPr>
          <w:rStyle w:val="TextoNormalCaracter"/>
        </w:rPr>
      </w:pPr>
      <w:bookmarkStart w:id="1328" w:name="DESCRIPTORALFABETICO414"/>
      <w:r w:rsidRPr="0050129A">
        <w:rPr>
          <w:rStyle w:val="TextoNormalNegritaCaracter"/>
        </w:rPr>
        <w:t>Silencio administrativo negativo</w:t>
      </w:r>
      <w:bookmarkEnd w:id="1328"/>
      <w:r w:rsidRPr="0050129A">
        <w:rPr>
          <w:rStyle w:val="TextoNormalCaracter"/>
        </w:rPr>
        <w:t xml:space="preserve">, Sentencia </w:t>
      </w:r>
      <w:hyperlink w:anchor="SENTENCIA_2008_3" w:history="1">
        <w:r w:rsidRPr="0050129A">
          <w:rPr>
            <w:rStyle w:val="TextoNormalCaracter"/>
          </w:rPr>
          <w:t>3/2008</w:t>
        </w:r>
      </w:hyperlink>
      <w:r w:rsidRPr="0050129A">
        <w:rPr>
          <w:rStyle w:val="TextoNormalCaracter"/>
        </w:rPr>
        <w:t>, ff. 3, 4.</w:t>
      </w:r>
    </w:p>
    <w:p w:rsidR="0050129A" w:rsidRPr="0050129A" w:rsidRDefault="0050129A" w:rsidP="0050129A">
      <w:pPr>
        <w:pStyle w:val="TextoNormalSangraFrancesa"/>
        <w:rPr>
          <w:rStyle w:val="TextoNormalCaracter"/>
        </w:rPr>
      </w:pPr>
      <w:bookmarkStart w:id="1329" w:name="DESCRIPTORALFABETICO430"/>
      <w:r w:rsidRPr="0050129A">
        <w:rPr>
          <w:rStyle w:val="TextoNormalNegritaCaracter"/>
        </w:rPr>
        <w:t>Sindicatos</w:t>
      </w:r>
      <w:bookmarkEnd w:id="1329"/>
      <w:r w:rsidRPr="0050129A">
        <w:rPr>
          <w:rStyle w:val="TextoNormalCaracter"/>
        </w:rPr>
        <w:t xml:space="preserve">, Auto </w:t>
      </w:r>
      <w:hyperlink w:anchor="AUTO_2008_75" w:history="1">
        <w:r w:rsidRPr="0050129A">
          <w:rPr>
            <w:rStyle w:val="TextoNormalCaracter"/>
          </w:rPr>
          <w:t>75/2008</w:t>
        </w:r>
      </w:hyperlink>
      <w:r w:rsidRPr="0050129A">
        <w:rPr>
          <w:rStyle w:val="TextoNormalCaracter"/>
        </w:rPr>
        <w:t>.</w:t>
      </w:r>
    </w:p>
    <w:p w:rsidR="0050129A" w:rsidRPr="0050129A" w:rsidRDefault="0050129A" w:rsidP="0050129A">
      <w:pPr>
        <w:pStyle w:val="TextoNormalSangraFrancesa"/>
        <w:rPr>
          <w:rStyle w:val="TextoNormalCaracter"/>
        </w:rPr>
      </w:pPr>
      <w:bookmarkStart w:id="1330" w:name="DESCRIPTORALFABETICO23"/>
      <w:r w:rsidRPr="0050129A">
        <w:rPr>
          <w:rStyle w:val="TextoNormalNegritaCaracter"/>
        </w:rPr>
        <w:t>Sistema electoral</w:t>
      </w:r>
      <w:bookmarkEnd w:id="1330"/>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9.</w:t>
      </w:r>
    </w:p>
    <w:p w:rsidR="0050129A" w:rsidRPr="0050129A" w:rsidRDefault="0050129A" w:rsidP="0050129A">
      <w:pPr>
        <w:pStyle w:val="TextoNormalSangraFrancesa"/>
        <w:rPr>
          <w:rStyle w:val="TextoNormalCaracter"/>
        </w:rPr>
      </w:pPr>
      <w:bookmarkStart w:id="1331" w:name="DESCRIPTORALFABETICO333"/>
      <w:r w:rsidRPr="0050129A">
        <w:rPr>
          <w:rStyle w:val="TextoNormalNegritaCaracter"/>
        </w:rPr>
        <w:t>Soberanía</w:t>
      </w:r>
      <w:bookmarkEnd w:id="1331"/>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Concepto, </w:t>
      </w:r>
      <w:r w:rsidRPr="0050129A">
        <w:rPr>
          <w:rStyle w:val="TextoNormalCaracter"/>
        </w:rPr>
        <w:t xml:space="preserve">Sentencia </w:t>
      </w:r>
      <w:hyperlink w:anchor="SENTENCIA_2008_12" w:history="1">
        <w:r w:rsidRPr="0050129A">
          <w:rPr>
            <w:rStyle w:val="TextoNormalCaracter"/>
          </w:rPr>
          <w:t>12/2008</w:t>
        </w:r>
      </w:hyperlink>
      <w:r w:rsidRPr="0050129A">
        <w:rPr>
          <w:rStyle w:val="TextoNormalCaracter"/>
        </w:rPr>
        <w:t>, f. 10, VP.</w:t>
      </w:r>
    </w:p>
    <w:p w:rsidR="0050129A" w:rsidRPr="0050129A" w:rsidRDefault="0050129A" w:rsidP="0050129A">
      <w:pPr>
        <w:pStyle w:val="TextoNormalSangraFrancesa"/>
        <w:rPr>
          <w:rStyle w:val="TextoNormalNegritaCaracter"/>
        </w:rPr>
      </w:pPr>
      <w:r w:rsidRPr="0050129A">
        <w:rPr>
          <w:rStyle w:val="TextoNormalCursivaCaracter"/>
        </w:rPr>
        <w:t>Solicitud de nulidad de actuaciones</w:t>
      </w:r>
      <w:r>
        <w:t xml:space="preserve"> véase </w:t>
      </w:r>
      <w:hyperlink w:anchor="DESCRIPTORALFABETICO502" w:history="1">
        <w:r w:rsidRPr="0050129A">
          <w:rPr>
            <w:rStyle w:val="TextoNormalNegritaCaracter"/>
          </w:rPr>
          <w:t>Incidente de nulidad de actuaciones</w:t>
        </w:r>
      </w:hyperlink>
    </w:p>
    <w:p w:rsidR="0050129A" w:rsidRPr="0050129A" w:rsidRDefault="0050129A" w:rsidP="0050129A">
      <w:pPr>
        <w:pStyle w:val="TextoNormalSangraFrancesa"/>
        <w:rPr>
          <w:rStyle w:val="TextoNormalCaracter"/>
        </w:rPr>
      </w:pPr>
      <w:bookmarkStart w:id="1332" w:name="DESCRIPTORALFABETICO589"/>
      <w:r w:rsidRPr="0050129A">
        <w:rPr>
          <w:rStyle w:val="TextoNormalNegritaCaracter"/>
        </w:rPr>
        <w:t>STC 114/1997</w:t>
      </w:r>
      <w:bookmarkEnd w:id="1332"/>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Distingue, </w:t>
      </w:r>
      <w:r w:rsidRPr="0050129A">
        <w:rPr>
          <w:rStyle w:val="TextoNormalCaracter"/>
        </w:rPr>
        <w:t xml:space="preserve">Sentencia </w:t>
      </w:r>
      <w:hyperlink w:anchor="SENTENCIA_2008_58" w:history="1">
        <w:r w:rsidRPr="0050129A">
          <w:rPr>
            <w:rStyle w:val="TextoNormalCaracter"/>
          </w:rPr>
          <w:t>58/2008</w:t>
        </w:r>
      </w:hyperlink>
      <w:r w:rsidRPr="0050129A">
        <w:rPr>
          <w:rStyle w:val="TextoNormalCaracter"/>
        </w:rPr>
        <w:t>, f. 4.</w:t>
      </w:r>
    </w:p>
    <w:p w:rsidR="0050129A" w:rsidRPr="0050129A" w:rsidRDefault="0050129A" w:rsidP="0050129A">
      <w:pPr>
        <w:pStyle w:val="TextoNormalSangraFrancesa"/>
        <w:rPr>
          <w:rStyle w:val="TextoNormalCaracter"/>
        </w:rPr>
      </w:pPr>
      <w:bookmarkStart w:id="1333" w:name="DESCRIPTORALFABETICO590"/>
      <w:r w:rsidRPr="0050129A">
        <w:rPr>
          <w:rStyle w:val="TextoNormalNegritaCaracter"/>
        </w:rPr>
        <w:t>STC 4/2004</w:t>
      </w:r>
      <w:bookmarkEnd w:id="1333"/>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Distingue, </w:t>
      </w:r>
      <w:r w:rsidRPr="0050129A">
        <w:rPr>
          <w:rStyle w:val="TextoNormalCaracter"/>
        </w:rPr>
        <w:t xml:space="preserve">Sentencia </w:t>
      </w:r>
      <w:hyperlink w:anchor="SENTENCIA_2008_23" w:history="1">
        <w:r w:rsidRPr="0050129A">
          <w:rPr>
            <w:rStyle w:val="TextoNormalCaracter"/>
          </w:rPr>
          <w:t>23/2008</w:t>
        </w:r>
      </w:hyperlink>
      <w:r w:rsidRPr="0050129A">
        <w:rPr>
          <w:rStyle w:val="TextoNormalCaracter"/>
        </w:rPr>
        <w:t>, f. 3.</w:t>
      </w:r>
    </w:p>
    <w:p w:rsidR="0050129A" w:rsidRPr="0050129A" w:rsidRDefault="0050129A" w:rsidP="0050129A">
      <w:pPr>
        <w:pStyle w:val="TextoNormalSangraFrancesa"/>
        <w:rPr>
          <w:rStyle w:val="TextoNormalCaracter"/>
        </w:rPr>
      </w:pPr>
      <w:bookmarkStart w:id="1334" w:name="DESCRIPTORALFABETICO591"/>
      <w:r w:rsidRPr="0050129A">
        <w:rPr>
          <w:rStyle w:val="TextoNormalNegritaCaracter"/>
        </w:rPr>
        <w:t>STC 285/2005</w:t>
      </w:r>
      <w:bookmarkEnd w:id="1334"/>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Distingue, </w:t>
      </w:r>
      <w:r w:rsidRPr="0050129A">
        <w:rPr>
          <w:rStyle w:val="TextoNormalCaracter"/>
        </w:rPr>
        <w:t xml:space="preserve">Sentencia </w:t>
      </w:r>
      <w:hyperlink w:anchor="SENTENCIA_2008_48" w:history="1">
        <w:r w:rsidRPr="0050129A">
          <w:rPr>
            <w:rStyle w:val="TextoNormalCaracter"/>
          </w:rPr>
          <w:t>48/2008</w:t>
        </w:r>
      </w:hyperlink>
      <w:r w:rsidRPr="0050129A">
        <w:rPr>
          <w:rStyle w:val="TextoNormalCaracter"/>
        </w:rPr>
        <w:t>, f. 3.</w:t>
      </w:r>
    </w:p>
    <w:p w:rsidR="0050129A" w:rsidRPr="0050129A" w:rsidRDefault="0050129A" w:rsidP="0050129A">
      <w:pPr>
        <w:pStyle w:val="TextoNormalSangraFrancesa"/>
        <w:rPr>
          <w:rStyle w:val="TextoNormalNegritaCaracter"/>
        </w:rPr>
      </w:pPr>
      <w:r w:rsidRPr="0050129A">
        <w:rPr>
          <w:rStyle w:val="TextoNormalCursivaCaracter"/>
        </w:rPr>
        <w:t>Subsanabilidad de infracciones procesales</w:t>
      </w:r>
      <w:r>
        <w:t xml:space="preserve"> véase </w:t>
      </w:r>
      <w:hyperlink w:anchor="DESCRIPTORALFABETICO475" w:history="1">
        <w:r w:rsidRPr="0050129A">
          <w:rPr>
            <w:rStyle w:val="TextoNormalNegritaCaracter"/>
          </w:rPr>
          <w:t>Subsanación de defectos procesales</w:t>
        </w:r>
      </w:hyperlink>
    </w:p>
    <w:p w:rsidR="0050129A" w:rsidRPr="0050129A" w:rsidRDefault="0050129A" w:rsidP="0050129A">
      <w:pPr>
        <w:pStyle w:val="TextoNormalSangraFrancesa"/>
        <w:rPr>
          <w:rStyle w:val="TextoNormalCaracter"/>
        </w:rPr>
      </w:pPr>
      <w:bookmarkStart w:id="1335" w:name="DESCRIPTORALFABETICO475"/>
      <w:r w:rsidRPr="0050129A">
        <w:rPr>
          <w:rStyle w:val="TextoNormalNegritaCaracter"/>
        </w:rPr>
        <w:t>Subsanación de defectos procesales</w:t>
      </w:r>
      <w:bookmarkEnd w:id="1335"/>
      <w:r w:rsidRPr="0050129A">
        <w:rPr>
          <w:rStyle w:val="TextoNormalCaracter"/>
        </w:rPr>
        <w:t xml:space="preserve">, Sentencias </w:t>
      </w:r>
      <w:hyperlink w:anchor="SENTENCIA_2008_14" w:history="1">
        <w:r w:rsidRPr="0050129A">
          <w:rPr>
            <w:rStyle w:val="TextoNormalCaracter"/>
          </w:rPr>
          <w:t>14/2008</w:t>
        </w:r>
      </w:hyperlink>
      <w:r w:rsidRPr="0050129A">
        <w:rPr>
          <w:rStyle w:val="TextoNormalCaracter"/>
        </w:rPr>
        <w:t xml:space="preserve">, ff. 3, 4; </w:t>
      </w:r>
      <w:hyperlink w:anchor="SENTENCIA_2008_55" w:history="1">
        <w:r w:rsidRPr="0050129A">
          <w:rPr>
            <w:rStyle w:val="TextoNormalCaracter"/>
          </w:rPr>
          <w:t>55/2008</w:t>
        </w:r>
      </w:hyperlink>
      <w:r w:rsidRPr="0050129A">
        <w:rPr>
          <w:rStyle w:val="TextoNormalCaracter"/>
        </w:rPr>
        <w:t>, f. 5.</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77" w:history="1">
        <w:r w:rsidRPr="0050129A">
          <w:rPr>
            <w:rStyle w:val="TextoNormalCaracter"/>
          </w:rPr>
          <w:t>77/2008</w:t>
        </w:r>
      </w:hyperlink>
      <w:r w:rsidRPr="0050129A">
        <w:rPr>
          <w:rStyle w:val="TextoNormalCaracter"/>
        </w:rPr>
        <w:t>.</w:t>
      </w:r>
    </w:p>
    <w:p w:rsidR="0050129A" w:rsidRPr="0050129A" w:rsidRDefault="0050129A" w:rsidP="0050129A">
      <w:pPr>
        <w:pStyle w:val="TextoNormalSangraFrancesa"/>
        <w:rPr>
          <w:rStyle w:val="TextoNormalCaracter"/>
        </w:rPr>
      </w:pPr>
      <w:bookmarkStart w:id="1336" w:name="DESCRIPTORALFABETICO350"/>
      <w:r w:rsidRPr="0050129A">
        <w:rPr>
          <w:rStyle w:val="TextoNormalNegritaCaracter"/>
        </w:rPr>
        <w:t>Subvenciones públicas</w:t>
      </w:r>
      <w:bookmarkEnd w:id="1336"/>
      <w:r w:rsidRPr="0050129A">
        <w:rPr>
          <w:rStyle w:val="TextoNormalCaracter"/>
        </w:rPr>
        <w:t xml:space="preserve">, Sentencia </w:t>
      </w:r>
      <w:hyperlink w:anchor="SENTENCIA_2008_50" w:history="1">
        <w:r w:rsidRPr="0050129A">
          <w:rPr>
            <w:rStyle w:val="TextoNormalCaracter"/>
          </w:rPr>
          <w:t>50/2008</w:t>
        </w:r>
      </w:hyperlink>
      <w:r w:rsidRPr="0050129A">
        <w:rPr>
          <w:rStyle w:val="TextoNormalCaracter"/>
        </w:rPr>
        <w:t>, f. 4.</w:t>
      </w:r>
    </w:p>
    <w:p w:rsidR="0050129A" w:rsidRPr="0050129A" w:rsidRDefault="0050129A" w:rsidP="0050129A">
      <w:pPr>
        <w:pStyle w:val="TextoNormalSangraFrancesa"/>
        <w:rPr>
          <w:rStyle w:val="TextoNormalCaracter"/>
        </w:rPr>
      </w:pPr>
      <w:bookmarkStart w:id="1337" w:name="DESCRIPTORALFABETICO345"/>
      <w:r w:rsidRPr="0050129A">
        <w:rPr>
          <w:rStyle w:val="TextoNormalNegritaCaracter"/>
        </w:rPr>
        <w:t>Sucesiones</w:t>
      </w:r>
      <w:bookmarkEnd w:id="1337"/>
      <w:r w:rsidRPr="0050129A">
        <w:rPr>
          <w:rStyle w:val="TextoNormalCaracter"/>
        </w:rPr>
        <w:t xml:space="preserve">, Auto </w:t>
      </w:r>
      <w:hyperlink w:anchor="AUTO_2008_27" w:history="1">
        <w:r w:rsidRPr="0050129A">
          <w:rPr>
            <w:rStyle w:val="TextoNormalCaracter"/>
          </w:rPr>
          <w:t>27/2008</w:t>
        </w:r>
      </w:hyperlink>
      <w:r w:rsidRPr="0050129A">
        <w:rPr>
          <w:rStyle w:val="TextoNormalCaracter"/>
        </w:rPr>
        <w:t>.</w:t>
      </w:r>
    </w:p>
    <w:p w:rsidR="0050129A" w:rsidRPr="0050129A" w:rsidRDefault="0050129A" w:rsidP="0050129A">
      <w:pPr>
        <w:pStyle w:val="TextoNormalSangraFrancesa"/>
        <w:rPr>
          <w:rStyle w:val="TextoNormalCaracter"/>
        </w:rPr>
      </w:pPr>
      <w:bookmarkStart w:id="1338" w:name="DESCRIPTORALFABETICO126"/>
      <w:r w:rsidRPr="0050129A">
        <w:rPr>
          <w:rStyle w:val="TextoNormalNegritaCaracter"/>
        </w:rPr>
        <w:t>Sufragio activo</w:t>
      </w:r>
      <w:bookmarkEnd w:id="1338"/>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9, 10.</w:t>
      </w:r>
    </w:p>
    <w:p w:rsidR="0050129A" w:rsidRPr="0050129A" w:rsidRDefault="0050129A" w:rsidP="0050129A">
      <w:pPr>
        <w:pStyle w:val="TextoNormalSangraFrancesa"/>
        <w:rPr>
          <w:rStyle w:val="TextoNormalCaracter"/>
        </w:rPr>
      </w:pPr>
      <w:bookmarkStart w:id="1339" w:name="DESCRIPTORALFABETICO128"/>
      <w:r w:rsidRPr="0050129A">
        <w:rPr>
          <w:rStyle w:val="TextoNormalNegritaCaracter"/>
        </w:rPr>
        <w:t>Sufragio pasivo</w:t>
      </w:r>
      <w:bookmarkEnd w:id="1339"/>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3, 5, 7, 9, VP.</w:t>
      </w:r>
    </w:p>
    <w:p w:rsidR="0050129A" w:rsidRPr="0050129A" w:rsidRDefault="0050129A" w:rsidP="0050129A">
      <w:pPr>
        <w:pStyle w:val="TextoNormalSangraFrancesa"/>
        <w:rPr>
          <w:rStyle w:val="TextoNormalCaracter"/>
        </w:rPr>
      </w:pPr>
      <w:bookmarkStart w:id="1340" w:name="DESCRIPTORALFABETICO164"/>
      <w:r w:rsidRPr="0050129A">
        <w:rPr>
          <w:rStyle w:val="TextoNormalNegritaCaracter"/>
        </w:rPr>
        <w:t>Suspensión cautelar de resoluciones administrativas</w:t>
      </w:r>
      <w:bookmarkEnd w:id="1340"/>
      <w:r w:rsidRPr="0050129A">
        <w:rPr>
          <w:rStyle w:val="TextoNormalCaracter"/>
        </w:rPr>
        <w:t xml:space="preserve">, Auto </w:t>
      </w:r>
      <w:hyperlink w:anchor="AUTO_2008_88" w:history="1">
        <w:r w:rsidRPr="0050129A">
          <w:rPr>
            <w:rStyle w:val="TextoNormalCaracter"/>
          </w:rPr>
          <w:t>88/2008</w:t>
        </w:r>
      </w:hyperlink>
      <w:r w:rsidRPr="0050129A">
        <w:rPr>
          <w:rStyle w:val="TextoNormalCaracter"/>
        </w:rPr>
        <w:t>.</w:t>
      </w:r>
    </w:p>
    <w:p w:rsidR="0050129A" w:rsidRPr="0050129A" w:rsidRDefault="0050129A" w:rsidP="0050129A">
      <w:pPr>
        <w:pStyle w:val="TextoNormalSangraFrancesa"/>
        <w:rPr>
          <w:rStyle w:val="TextoNormalCaracter"/>
        </w:rPr>
      </w:pPr>
      <w:bookmarkStart w:id="1341" w:name="DESCRIPTORALFABETICO167"/>
      <w:r w:rsidRPr="0050129A">
        <w:rPr>
          <w:rStyle w:val="TextoNormalNegritaCaracter"/>
        </w:rPr>
        <w:t>Suspensión cautelar de resoluciones civiles</w:t>
      </w:r>
      <w:bookmarkEnd w:id="1341"/>
      <w:r w:rsidRPr="0050129A">
        <w:rPr>
          <w:rStyle w:val="TextoNormalCaracter"/>
        </w:rPr>
        <w:t xml:space="preserve">, Autos </w:t>
      </w:r>
      <w:hyperlink w:anchor="AUTO_2008_39" w:history="1">
        <w:r w:rsidRPr="0050129A">
          <w:rPr>
            <w:rStyle w:val="TextoNormalCaracter"/>
          </w:rPr>
          <w:t>39/2008</w:t>
        </w:r>
      </w:hyperlink>
      <w:r w:rsidRPr="0050129A">
        <w:rPr>
          <w:rStyle w:val="TextoNormalCaracter"/>
        </w:rPr>
        <w:t xml:space="preserve">; </w:t>
      </w:r>
      <w:hyperlink w:anchor="AUTO_2008_118" w:history="1">
        <w:r w:rsidRPr="0050129A">
          <w:rPr>
            <w:rStyle w:val="TextoNormalCaracter"/>
          </w:rPr>
          <w:t>118/2008</w:t>
        </w:r>
      </w:hyperlink>
      <w:r w:rsidRPr="0050129A">
        <w:rPr>
          <w:rStyle w:val="TextoNormalCaracter"/>
        </w:rPr>
        <w:t>.</w:t>
      </w:r>
    </w:p>
    <w:p w:rsidR="0050129A" w:rsidRPr="0050129A" w:rsidRDefault="0050129A" w:rsidP="0050129A">
      <w:pPr>
        <w:pStyle w:val="TextoNormalSangraFrancesa"/>
        <w:rPr>
          <w:rStyle w:val="TextoNormalCaracter"/>
        </w:rPr>
      </w:pPr>
      <w:bookmarkStart w:id="1342" w:name="DESCRIPTORALFABETICO169"/>
      <w:r w:rsidRPr="0050129A">
        <w:rPr>
          <w:rStyle w:val="TextoNormalNegritaCaracter"/>
        </w:rPr>
        <w:t>Suspensión cautelar de resoluciones contencioso-administrativas</w:t>
      </w:r>
      <w:bookmarkEnd w:id="1342"/>
      <w:r w:rsidRPr="0050129A">
        <w:rPr>
          <w:rStyle w:val="TextoNormalCaracter"/>
        </w:rPr>
        <w:t xml:space="preserve">, Autos </w:t>
      </w:r>
      <w:hyperlink w:anchor="AUTO_2008_40" w:history="1">
        <w:r w:rsidRPr="0050129A">
          <w:rPr>
            <w:rStyle w:val="TextoNormalCaracter"/>
          </w:rPr>
          <w:t>40/2008</w:t>
        </w:r>
      </w:hyperlink>
      <w:r w:rsidRPr="0050129A">
        <w:rPr>
          <w:rStyle w:val="TextoNormalCaracter"/>
        </w:rPr>
        <w:t xml:space="preserve">; </w:t>
      </w:r>
      <w:hyperlink w:anchor="AUTO_2008_66" w:history="1">
        <w:r w:rsidRPr="0050129A">
          <w:rPr>
            <w:rStyle w:val="TextoNormalCaracter"/>
          </w:rPr>
          <w:t>66/2008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No suspende, </w:t>
      </w:r>
      <w:r w:rsidRPr="0050129A">
        <w:rPr>
          <w:rStyle w:val="TextoNormalCaracter"/>
        </w:rPr>
        <w:t xml:space="preserve">Auto </w:t>
      </w:r>
      <w:hyperlink w:anchor="AUTO_2008_66" w:history="1">
        <w:r w:rsidRPr="0050129A">
          <w:rPr>
            <w:rStyle w:val="TextoNormalCaracter"/>
          </w:rPr>
          <w:t>66/2008</w:t>
        </w:r>
      </w:hyperlink>
      <w:r w:rsidRPr="0050129A">
        <w:rPr>
          <w:rStyle w:val="TextoNormalCaracter"/>
        </w:rPr>
        <w:t>.</w:t>
      </w:r>
    </w:p>
    <w:p w:rsidR="0050129A" w:rsidRPr="0050129A" w:rsidRDefault="0050129A" w:rsidP="0050129A">
      <w:pPr>
        <w:pStyle w:val="TextoNormalSangraFrancesa"/>
        <w:rPr>
          <w:rStyle w:val="TextoNormalCaracter"/>
        </w:rPr>
      </w:pPr>
      <w:bookmarkStart w:id="1343" w:name="DESCRIPTORALFABETICO172"/>
      <w:r w:rsidRPr="0050129A">
        <w:rPr>
          <w:rStyle w:val="TextoNormalNegritaCaracter"/>
        </w:rPr>
        <w:t>Suspensión cautelar de resoluciones penales</w:t>
      </w:r>
      <w:bookmarkEnd w:id="1343"/>
      <w:r w:rsidRPr="0050129A">
        <w:rPr>
          <w:rStyle w:val="TextoNormalCaracter"/>
        </w:rPr>
        <w:t xml:space="preserve">, Auto </w:t>
      </w:r>
      <w:hyperlink w:anchor="AUTO_2008_32" w:history="1">
        <w:r w:rsidRPr="0050129A">
          <w:rPr>
            <w:rStyle w:val="TextoNormalCaracter"/>
          </w:rPr>
          <w:t>32/2008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No suspende, </w:t>
      </w:r>
      <w:r w:rsidRPr="0050129A">
        <w:rPr>
          <w:rStyle w:val="TextoNormalCaracter"/>
        </w:rPr>
        <w:t xml:space="preserve">Autos </w:t>
      </w:r>
      <w:hyperlink w:anchor="AUTO_2008_17" w:history="1">
        <w:r w:rsidRPr="0050129A">
          <w:rPr>
            <w:rStyle w:val="TextoNormalCaracter"/>
          </w:rPr>
          <w:t>17/2008</w:t>
        </w:r>
      </w:hyperlink>
      <w:r w:rsidRPr="0050129A">
        <w:rPr>
          <w:rStyle w:val="TextoNormalCaracter"/>
        </w:rPr>
        <w:t xml:space="preserve">; </w:t>
      </w:r>
      <w:hyperlink w:anchor="AUTO_2008_19" w:history="1">
        <w:r w:rsidRPr="0050129A">
          <w:rPr>
            <w:rStyle w:val="TextoNormalCaracter"/>
          </w:rPr>
          <w:t>19/2008</w:t>
        </w:r>
      </w:hyperlink>
      <w:r w:rsidRPr="0050129A">
        <w:rPr>
          <w:rStyle w:val="TextoNormalCaracter"/>
        </w:rPr>
        <w:t xml:space="preserve">; </w:t>
      </w:r>
      <w:hyperlink w:anchor="AUTO_2008_43" w:history="1">
        <w:r w:rsidRPr="0050129A">
          <w:rPr>
            <w:rStyle w:val="TextoNormalCaracter"/>
          </w:rPr>
          <w:t>43/2008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Suspende, </w:t>
      </w:r>
      <w:r w:rsidRPr="0050129A">
        <w:rPr>
          <w:rStyle w:val="TextoNormalCaracter"/>
        </w:rPr>
        <w:t xml:space="preserve">Auto </w:t>
      </w:r>
      <w:hyperlink w:anchor="AUTO_2008_32" w:history="1">
        <w:r w:rsidRPr="0050129A">
          <w:rPr>
            <w:rStyle w:val="TextoNormalCaracter"/>
          </w:rPr>
          <w:t>32/2008</w:t>
        </w:r>
      </w:hyperlink>
      <w:r w:rsidRPr="0050129A">
        <w:rPr>
          <w:rStyle w:val="TextoNormalCaracter"/>
        </w:rPr>
        <w:t>.</w:t>
      </w:r>
    </w:p>
    <w:p w:rsidR="0050129A" w:rsidRPr="0050129A" w:rsidRDefault="0050129A" w:rsidP="0050129A">
      <w:pPr>
        <w:pStyle w:val="TextoNormalSangraFrancesa"/>
        <w:rPr>
          <w:rStyle w:val="TextoNormalCaracter"/>
        </w:rPr>
      </w:pPr>
      <w:bookmarkStart w:id="1344" w:name="DESCRIPTORALFABETICO168"/>
      <w:r w:rsidRPr="0050129A">
        <w:rPr>
          <w:rStyle w:val="TextoNormalNegritaCaracter"/>
        </w:rPr>
        <w:t>Suspensión cautelar de sentencias civiles</w:t>
      </w:r>
      <w:bookmarkEnd w:id="1344"/>
      <w:r w:rsidRPr="0050129A">
        <w:rPr>
          <w:rStyle w:val="TextoNormalCaracter"/>
        </w:rPr>
        <w:t xml:space="preserve">, Autos </w:t>
      </w:r>
      <w:hyperlink w:anchor="AUTO_2008_39" w:history="1">
        <w:r w:rsidRPr="0050129A">
          <w:rPr>
            <w:rStyle w:val="TextoNormalCaracter"/>
          </w:rPr>
          <w:t>39/2008</w:t>
        </w:r>
      </w:hyperlink>
      <w:r w:rsidRPr="0050129A">
        <w:rPr>
          <w:rStyle w:val="TextoNormalCaracter"/>
        </w:rPr>
        <w:t xml:space="preserve">; </w:t>
      </w:r>
      <w:hyperlink w:anchor="AUTO_2008_118" w:history="1">
        <w:r w:rsidRPr="0050129A">
          <w:rPr>
            <w:rStyle w:val="TextoNormalCaracter"/>
          </w:rPr>
          <w:t>118/2008</w:t>
        </w:r>
      </w:hyperlink>
      <w:r w:rsidRPr="0050129A">
        <w:rPr>
          <w:rStyle w:val="TextoNormalCaracter"/>
        </w:rPr>
        <w:t>.</w:t>
      </w:r>
    </w:p>
    <w:p w:rsidR="0050129A" w:rsidRPr="0050129A" w:rsidRDefault="0050129A" w:rsidP="0050129A">
      <w:pPr>
        <w:pStyle w:val="TextoNormalSangraFrancesa"/>
        <w:rPr>
          <w:rStyle w:val="TextoNormalCaracter"/>
        </w:rPr>
      </w:pPr>
      <w:bookmarkStart w:id="1345" w:name="DESCRIPTORALFABETICO170"/>
      <w:r w:rsidRPr="0050129A">
        <w:rPr>
          <w:rStyle w:val="TextoNormalNegritaCaracter"/>
        </w:rPr>
        <w:t>Suspensión cautelar de sentencias contencioso-administrativas</w:t>
      </w:r>
      <w:bookmarkEnd w:id="1345"/>
      <w:r w:rsidRPr="0050129A">
        <w:rPr>
          <w:rStyle w:val="TextoNormalCaracter"/>
        </w:rPr>
        <w:t xml:space="preserve">, Auto </w:t>
      </w:r>
      <w:hyperlink w:anchor="AUTO_2008_75" w:history="1">
        <w:r w:rsidRPr="0050129A">
          <w:rPr>
            <w:rStyle w:val="TextoNormalCaracter"/>
          </w:rPr>
          <w:t>75/2008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No suspende, </w:t>
      </w:r>
      <w:r w:rsidRPr="0050129A">
        <w:rPr>
          <w:rStyle w:val="TextoNormalCaracter"/>
        </w:rPr>
        <w:t xml:space="preserve">Autos </w:t>
      </w:r>
      <w:hyperlink w:anchor="AUTO_2008_40" w:history="1">
        <w:r w:rsidRPr="0050129A">
          <w:rPr>
            <w:rStyle w:val="TextoNormalCaracter"/>
          </w:rPr>
          <w:t>40/2008</w:t>
        </w:r>
      </w:hyperlink>
      <w:r w:rsidRPr="0050129A">
        <w:rPr>
          <w:rStyle w:val="TextoNormalCaracter"/>
        </w:rPr>
        <w:t xml:space="preserve">; </w:t>
      </w:r>
      <w:hyperlink w:anchor="AUTO_2008_65" w:history="1">
        <w:r w:rsidRPr="0050129A">
          <w:rPr>
            <w:rStyle w:val="TextoNormalCaracter"/>
          </w:rPr>
          <w:t>65/2008</w:t>
        </w:r>
      </w:hyperlink>
      <w:r w:rsidRPr="0050129A">
        <w:rPr>
          <w:rStyle w:val="TextoNormalCaracter"/>
        </w:rPr>
        <w:t>.</w:t>
      </w:r>
    </w:p>
    <w:p w:rsidR="0050129A" w:rsidRPr="0050129A" w:rsidRDefault="0050129A" w:rsidP="0050129A">
      <w:pPr>
        <w:pStyle w:val="TextoNormalSangraFrancesa"/>
        <w:rPr>
          <w:rStyle w:val="TextoNormalCaracter"/>
        </w:rPr>
      </w:pPr>
      <w:bookmarkStart w:id="1346" w:name="DESCRIPTORALFABETICO171"/>
      <w:r w:rsidRPr="0050129A">
        <w:rPr>
          <w:rStyle w:val="TextoNormalNegritaCaracter"/>
        </w:rPr>
        <w:lastRenderedPageBreak/>
        <w:t>Suspensión cautelar de sentencias laborales</w:t>
      </w:r>
      <w:bookmarkEnd w:id="1346"/>
      <w:r w:rsidRPr="0050129A">
        <w:rPr>
          <w:rStyle w:val="TextoNormalCaracter"/>
        </w:rPr>
        <w:t xml:space="preserve">, </w:t>
      </w:r>
    </w:p>
    <w:p w:rsidR="0050129A" w:rsidRPr="0050129A" w:rsidRDefault="0050129A" w:rsidP="0050129A">
      <w:pPr>
        <w:pStyle w:val="TextoNormalSangraFrancesa"/>
        <w:rPr>
          <w:rStyle w:val="TextoNormalCaracter"/>
        </w:rPr>
      </w:pPr>
      <w:r w:rsidRPr="0050129A">
        <w:rPr>
          <w:rStyle w:val="TextoNormalCursivaCaracter"/>
        </w:rPr>
        <w:t xml:space="preserve">    No suspende, </w:t>
      </w:r>
      <w:r w:rsidRPr="0050129A">
        <w:rPr>
          <w:rStyle w:val="TextoNormalCaracter"/>
        </w:rPr>
        <w:t xml:space="preserve">Auto </w:t>
      </w:r>
      <w:hyperlink w:anchor="AUTO_2008_18" w:history="1">
        <w:r w:rsidRPr="0050129A">
          <w:rPr>
            <w:rStyle w:val="TextoNormalCaracter"/>
          </w:rPr>
          <w:t>18/2008</w:t>
        </w:r>
      </w:hyperlink>
      <w:r w:rsidRPr="0050129A">
        <w:rPr>
          <w:rStyle w:val="TextoNormalCaracter"/>
        </w:rPr>
        <w:t>.</w:t>
      </w:r>
    </w:p>
    <w:p w:rsidR="0050129A" w:rsidRPr="0050129A" w:rsidRDefault="0050129A" w:rsidP="0050129A">
      <w:pPr>
        <w:pStyle w:val="TextoNormalSangraFrancesa"/>
        <w:rPr>
          <w:rStyle w:val="TextoNormalCaracter"/>
        </w:rPr>
      </w:pPr>
      <w:bookmarkStart w:id="1347" w:name="DESCRIPTORALFABETICO173"/>
      <w:r w:rsidRPr="0050129A">
        <w:rPr>
          <w:rStyle w:val="TextoNormalNegritaCaracter"/>
        </w:rPr>
        <w:t>Suspensión cautelar de sentencias penales</w:t>
      </w:r>
      <w:bookmarkEnd w:id="1347"/>
      <w:r w:rsidRPr="0050129A">
        <w:rPr>
          <w:rStyle w:val="TextoNormalCaracter"/>
        </w:rPr>
        <w:t xml:space="preserve">, Autos </w:t>
      </w:r>
      <w:hyperlink w:anchor="AUTO_2008_44" w:history="1">
        <w:r w:rsidRPr="0050129A">
          <w:rPr>
            <w:rStyle w:val="TextoNormalCaracter"/>
          </w:rPr>
          <w:t>44/2008</w:t>
        </w:r>
      </w:hyperlink>
      <w:r w:rsidRPr="0050129A">
        <w:rPr>
          <w:rStyle w:val="TextoNormalCaracter"/>
        </w:rPr>
        <w:t xml:space="preserve">; </w:t>
      </w:r>
      <w:hyperlink w:anchor="AUTO_2008_110" w:history="1">
        <w:r w:rsidRPr="0050129A">
          <w:rPr>
            <w:rStyle w:val="TextoNormalCaracter"/>
          </w:rPr>
          <w:t>110/2008</w:t>
        </w:r>
      </w:hyperlink>
      <w:r w:rsidRPr="0050129A">
        <w:rPr>
          <w:rStyle w:val="TextoNormalCaracter"/>
        </w:rPr>
        <w:t xml:space="preserve">; </w:t>
      </w:r>
      <w:hyperlink w:anchor="AUTO_2008_116" w:history="1">
        <w:r w:rsidRPr="0050129A">
          <w:rPr>
            <w:rStyle w:val="TextoNormalCaracter"/>
          </w:rPr>
          <w:t>116/2008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No suspende, </w:t>
      </w:r>
      <w:r w:rsidRPr="0050129A">
        <w:rPr>
          <w:rStyle w:val="TextoNormalCaracter"/>
        </w:rPr>
        <w:t xml:space="preserve">Autos </w:t>
      </w:r>
      <w:hyperlink w:anchor="AUTO_2008_7" w:history="1">
        <w:r w:rsidRPr="0050129A">
          <w:rPr>
            <w:rStyle w:val="TextoNormalCaracter"/>
          </w:rPr>
          <w:t>7/2008</w:t>
        </w:r>
      </w:hyperlink>
      <w:r w:rsidRPr="0050129A">
        <w:rPr>
          <w:rStyle w:val="TextoNormalCaracter"/>
        </w:rPr>
        <w:t xml:space="preserve">; </w:t>
      </w:r>
      <w:hyperlink w:anchor="AUTO_2008_16" w:history="1">
        <w:r w:rsidRPr="0050129A">
          <w:rPr>
            <w:rStyle w:val="TextoNormalCaracter"/>
          </w:rPr>
          <w:t>16/2008</w:t>
        </w:r>
      </w:hyperlink>
      <w:r w:rsidRPr="0050129A">
        <w:rPr>
          <w:rStyle w:val="TextoNormalCaracter"/>
        </w:rPr>
        <w:t xml:space="preserve">; </w:t>
      </w:r>
      <w:hyperlink w:anchor="AUTO_2008_31" w:history="1">
        <w:r w:rsidRPr="0050129A">
          <w:rPr>
            <w:rStyle w:val="TextoNormalCaracter"/>
          </w:rPr>
          <w:t>31/2008</w:t>
        </w:r>
      </w:hyperlink>
      <w:r w:rsidRPr="0050129A">
        <w:rPr>
          <w:rStyle w:val="TextoNormalCaracter"/>
        </w:rPr>
        <w:t xml:space="preserve">; </w:t>
      </w:r>
      <w:hyperlink w:anchor="AUTO_2008_33" w:history="1">
        <w:r w:rsidRPr="0050129A">
          <w:rPr>
            <w:rStyle w:val="TextoNormalCaracter"/>
          </w:rPr>
          <w:t>33/2008</w:t>
        </w:r>
      </w:hyperlink>
      <w:r w:rsidRPr="0050129A">
        <w:rPr>
          <w:rStyle w:val="TextoNormalCaracter"/>
        </w:rPr>
        <w:t xml:space="preserve">; </w:t>
      </w:r>
      <w:hyperlink w:anchor="AUTO_2008_36" w:history="1">
        <w:r w:rsidRPr="0050129A">
          <w:rPr>
            <w:rStyle w:val="TextoNormalCaracter"/>
          </w:rPr>
          <w:t>36/2008</w:t>
        </w:r>
      </w:hyperlink>
      <w:r w:rsidRPr="0050129A">
        <w:rPr>
          <w:rStyle w:val="TextoNormalCaracter"/>
        </w:rPr>
        <w:t xml:space="preserve">; </w:t>
      </w:r>
      <w:hyperlink w:anchor="AUTO_2008_37" w:history="1">
        <w:r w:rsidRPr="0050129A">
          <w:rPr>
            <w:rStyle w:val="TextoNormalCaracter"/>
          </w:rPr>
          <w:t>37/2008</w:t>
        </w:r>
      </w:hyperlink>
      <w:r w:rsidRPr="0050129A">
        <w:rPr>
          <w:rStyle w:val="TextoNormalCaracter"/>
        </w:rPr>
        <w:t xml:space="preserve">; </w:t>
      </w:r>
      <w:hyperlink w:anchor="AUTO_2008_42" w:history="1">
        <w:r w:rsidRPr="0050129A">
          <w:rPr>
            <w:rStyle w:val="TextoNormalCaracter"/>
          </w:rPr>
          <w:t>42/2008</w:t>
        </w:r>
      </w:hyperlink>
      <w:r w:rsidRPr="0050129A">
        <w:rPr>
          <w:rStyle w:val="TextoNormalCaracter"/>
        </w:rPr>
        <w:t xml:space="preserve">; </w:t>
      </w:r>
      <w:hyperlink w:anchor="AUTO_2008_45" w:history="1">
        <w:r w:rsidRPr="0050129A">
          <w:rPr>
            <w:rStyle w:val="TextoNormalCaracter"/>
          </w:rPr>
          <w:t>45/2008</w:t>
        </w:r>
      </w:hyperlink>
      <w:r w:rsidRPr="0050129A">
        <w:rPr>
          <w:rStyle w:val="TextoNormalCaracter"/>
        </w:rPr>
        <w:t xml:space="preserve">; </w:t>
      </w:r>
      <w:hyperlink w:anchor="AUTO_2008_67" w:history="1">
        <w:r w:rsidRPr="0050129A">
          <w:rPr>
            <w:rStyle w:val="TextoNormalCaracter"/>
          </w:rPr>
          <w:t>67/2008</w:t>
        </w:r>
      </w:hyperlink>
      <w:r w:rsidRPr="0050129A">
        <w:rPr>
          <w:rStyle w:val="TextoNormalCaracter"/>
        </w:rPr>
        <w:t xml:space="preserve">; </w:t>
      </w:r>
      <w:hyperlink w:anchor="AUTO_2008_109" w:history="1">
        <w:r w:rsidRPr="0050129A">
          <w:rPr>
            <w:rStyle w:val="TextoNormalCaracter"/>
          </w:rPr>
          <w:t>109/2008</w:t>
        </w:r>
      </w:hyperlink>
      <w:r w:rsidRPr="0050129A">
        <w:rPr>
          <w:rStyle w:val="TextoNormalCaracter"/>
        </w:rPr>
        <w:t xml:space="preserve">; </w:t>
      </w:r>
      <w:hyperlink w:anchor="AUTO_2008_111" w:history="1">
        <w:r w:rsidRPr="0050129A">
          <w:rPr>
            <w:rStyle w:val="TextoNormalCaracter"/>
          </w:rPr>
          <w:t>111/2008</w:t>
        </w:r>
      </w:hyperlink>
      <w:r w:rsidRPr="0050129A">
        <w:rPr>
          <w:rStyle w:val="TextoNormalCaracter"/>
        </w:rPr>
        <w:t xml:space="preserve">; </w:t>
      </w:r>
      <w:hyperlink w:anchor="AUTO_2008_116" w:history="1">
        <w:r w:rsidRPr="0050129A">
          <w:rPr>
            <w:rStyle w:val="TextoNormalCaracter"/>
          </w:rPr>
          <w:t>116/2008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ursivaCaracter"/>
        </w:rPr>
        <w:t xml:space="preserve">    Suspende, </w:t>
      </w:r>
      <w:r w:rsidRPr="0050129A">
        <w:rPr>
          <w:rStyle w:val="TextoNormalCaracter"/>
        </w:rPr>
        <w:t xml:space="preserve">Autos </w:t>
      </w:r>
      <w:hyperlink w:anchor="AUTO_2008_7" w:history="1">
        <w:r w:rsidRPr="0050129A">
          <w:rPr>
            <w:rStyle w:val="TextoNormalCaracter"/>
          </w:rPr>
          <w:t>7/2008</w:t>
        </w:r>
      </w:hyperlink>
      <w:r w:rsidRPr="0050129A">
        <w:rPr>
          <w:rStyle w:val="TextoNormalCaracter"/>
        </w:rPr>
        <w:t xml:space="preserve">; </w:t>
      </w:r>
      <w:hyperlink w:anchor="AUTO_2008_37" w:history="1">
        <w:r w:rsidRPr="0050129A">
          <w:rPr>
            <w:rStyle w:val="TextoNormalCaracter"/>
          </w:rPr>
          <w:t>37/2008</w:t>
        </w:r>
      </w:hyperlink>
      <w:r w:rsidRPr="0050129A">
        <w:rPr>
          <w:rStyle w:val="TextoNormalCaracter"/>
        </w:rPr>
        <w:t xml:space="preserve">; </w:t>
      </w:r>
      <w:hyperlink w:anchor="AUTO_2008_44" w:history="1">
        <w:r w:rsidRPr="0050129A">
          <w:rPr>
            <w:rStyle w:val="TextoNormalCaracter"/>
          </w:rPr>
          <w:t>44/2008</w:t>
        </w:r>
      </w:hyperlink>
      <w:r w:rsidRPr="0050129A">
        <w:rPr>
          <w:rStyle w:val="TextoNormalCaracter"/>
        </w:rPr>
        <w:t xml:space="preserve">; </w:t>
      </w:r>
      <w:hyperlink w:anchor="AUTO_2008_45" w:history="1">
        <w:r w:rsidRPr="0050129A">
          <w:rPr>
            <w:rStyle w:val="TextoNormalCaracter"/>
          </w:rPr>
          <w:t>45/2008</w:t>
        </w:r>
      </w:hyperlink>
      <w:r w:rsidRPr="0050129A">
        <w:rPr>
          <w:rStyle w:val="TextoNormalCaracter"/>
        </w:rPr>
        <w:t xml:space="preserve">; </w:t>
      </w:r>
      <w:hyperlink w:anchor="AUTO_2008_59" w:history="1">
        <w:r w:rsidRPr="0050129A">
          <w:rPr>
            <w:rStyle w:val="TextoNormalCaracter"/>
          </w:rPr>
          <w:t>59/2008</w:t>
        </w:r>
      </w:hyperlink>
      <w:r w:rsidRPr="0050129A">
        <w:rPr>
          <w:rStyle w:val="TextoNormalCaracter"/>
        </w:rPr>
        <w:t xml:space="preserve">; </w:t>
      </w:r>
      <w:hyperlink w:anchor="AUTO_2008_109" w:history="1">
        <w:r w:rsidRPr="0050129A">
          <w:rPr>
            <w:rStyle w:val="TextoNormalCaracter"/>
          </w:rPr>
          <w:t>109/2008</w:t>
        </w:r>
      </w:hyperlink>
      <w:r w:rsidRPr="0050129A">
        <w:rPr>
          <w:rStyle w:val="TextoNormalCaracter"/>
        </w:rPr>
        <w:t xml:space="preserve">; </w:t>
      </w:r>
      <w:hyperlink w:anchor="AUTO_2008_111" w:history="1">
        <w:r w:rsidRPr="0050129A">
          <w:rPr>
            <w:rStyle w:val="TextoNormalCaracter"/>
          </w:rPr>
          <w:t>111/2008</w:t>
        </w:r>
      </w:hyperlink>
      <w:r w:rsidRPr="0050129A">
        <w:rPr>
          <w:rStyle w:val="TextoNormalCaracter"/>
        </w:rPr>
        <w:t>.</w:t>
      </w:r>
    </w:p>
    <w:p w:rsidR="0050129A" w:rsidRPr="0050129A" w:rsidRDefault="0050129A" w:rsidP="0050129A">
      <w:pPr>
        <w:pStyle w:val="TextoNormalSangraFrancesa"/>
        <w:rPr>
          <w:rStyle w:val="TextoNormalCaracter"/>
        </w:rPr>
      </w:pPr>
      <w:bookmarkStart w:id="1348" w:name="DESCRIPTORALFABETICO175"/>
      <w:r w:rsidRPr="0050129A">
        <w:rPr>
          <w:rStyle w:val="TextoNormalNegritaCaracter"/>
        </w:rPr>
        <w:t>Suspensión de disposiciones de las Comunidades Autónomas</w:t>
      </w:r>
      <w:bookmarkEnd w:id="1348"/>
      <w:r w:rsidRPr="0050129A">
        <w:rPr>
          <w:rStyle w:val="TextoNormalCaracter"/>
        </w:rPr>
        <w:t xml:space="preserve">, Auto </w:t>
      </w:r>
      <w:hyperlink w:anchor="AUTO_2008_80" w:history="1">
        <w:r w:rsidRPr="0050129A">
          <w:rPr>
            <w:rStyle w:val="TextoNormalCaracter"/>
          </w:rPr>
          <w:t>80/2008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Suspensión de la eficacia de la ley</w:t>
      </w:r>
      <w:r>
        <w:t xml:space="preserve"> véase </w:t>
      </w:r>
      <w:hyperlink w:anchor="DESCRIPTORALFABETICO174" w:history="1">
        <w:r w:rsidRPr="0050129A">
          <w:rPr>
            <w:rStyle w:val="TextoNormalNegritaCaracter"/>
          </w:rPr>
          <w:t>Suspensión de la vigencia de las normas jurídicas</w:t>
        </w:r>
      </w:hyperlink>
    </w:p>
    <w:p w:rsidR="0050129A" w:rsidRPr="0050129A" w:rsidRDefault="0050129A" w:rsidP="0050129A">
      <w:pPr>
        <w:pStyle w:val="TextoNormalSangraFrancesa"/>
        <w:rPr>
          <w:rStyle w:val="TextoNormalNegritaCaracter"/>
        </w:rPr>
      </w:pPr>
      <w:r w:rsidRPr="0050129A">
        <w:rPr>
          <w:rStyle w:val="TextoNormalCursivaCaracter"/>
        </w:rPr>
        <w:t>Suspensión de la eficacia de las normas jurídicas</w:t>
      </w:r>
      <w:r>
        <w:t xml:space="preserve"> véase </w:t>
      </w:r>
      <w:hyperlink w:anchor="DESCRIPTORALFABETICO174" w:history="1">
        <w:r w:rsidRPr="0050129A">
          <w:rPr>
            <w:rStyle w:val="TextoNormalNegritaCaracter"/>
          </w:rPr>
          <w:t>Suspensión de la vigencia de las normas jurídicas</w:t>
        </w:r>
      </w:hyperlink>
    </w:p>
    <w:p w:rsidR="0050129A" w:rsidRPr="0050129A" w:rsidRDefault="0050129A" w:rsidP="0050129A">
      <w:pPr>
        <w:pStyle w:val="TextoNormalSangraFrancesa"/>
        <w:rPr>
          <w:rStyle w:val="TextoNormalCaracter"/>
        </w:rPr>
      </w:pPr>
      <w:bookmarkStart w:id="1349" w:name="DESCRIPTORALFABETICO174"/>
      <w:r w:rsidRPr="0050129A">
        <w:rPr>
          <w:rStyle w:val="TextoNormalNegritaCaracter"/>
        </w:rPr>
        <w:t>Suspensión de la vigencia de las normas jurídicas</w:t>
      </w:r>
      <w:bookmarkEnd w:id="1349"/>
      <w:r w:rsidRPr="0050129A">
        <w:rPr>
          <w:rStyle w:val="TextoNormalCaracter"/>
        </w:rPr>
        <w:t xml:space="preserve">, Auto </w:t>
      </w:r>
      <w:hyperlink w:anchor="AUTO_2008_88" w:history="1">
        <w:r w:rsidRPr="0050129A">
          <w:rPr>
            <w:rStyle w:val="TextoNormalCaracter"/>
          </w:rPr>
          <w:t>88/2008</w:t>
        </w:r>
      </w:hyperlink>
      <w:r w:rsidRPr="0050129A">
        <w:rPr>
          <w:rStyle w:val="TextoNormalCaracter"/>
        </w:rPr>
        <w:t>.</w:t>
      </w:r>
    </w:p>
    <w:p w:rsidR="0050129A" w:rsidRPr="0050129A" w:rsidRDefault="0050129A" w:rsidP="0050129A">
      <w:pPr>
        <w:pStyle w:val="TextoNormalSangraFrancesa"/>
        <w:rPr>
          <w:rStyle w:val="TextoNormalCaracter"/>
        </w:rPr>
      </w:pPr>
      <w:bookmarkStart w:id="1350" w:name="DESCRIPTORALFABETICO344"/>
      <w:r w:rsidRPr="0050129A">
        <w:rPr>
          <w:rStyle w:val="TextoNormalNegritaCaracter"/>
        </w:rPr>
        <w:t>Suspensión de permiso de conducir</w:t>
      </w:r>
      <w:bookmarkEnd w:id="1350"/>
      <w:r w:rsidRPr="0050129A">
        <w:rPr>
          <w:rStyle w:val="TextoNormalCaracter"/>
        </w:rPr>
        <w:t xml:space="preserve">, Auto </w:t>
      </w:r>
      <w:hyperlink w:anchor="AUTO_2008_67" w:history="1">
        <w:r w:rsidRPr="0050129A">
          <w:rPr>
            <w:rStyle w:val="TextoNormalCaracter"/>
          </w:rPr>
          <w:t>67/2008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Suspensión del derecho de sufragio</w:t>
      </w:r>
      <w:r>
        <w:t xml:space="preserve"> véase </w:t>
      </w:r>
      <w:hyperlink w:anchor="DESCRIPTORALFABETICO392" w:history="1">
        <w:r w:rsidRPr="0050129A">
          <w:rPr>
            <w:rStyle w:val="TextoNormalNegritaCaracter"/>
          </w:rPr>
          <w:t>Inhabilitación especial para el derecho de sufragio</w:t>
        </w:r>
      </w:hyperlink>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T</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351" w:name="DESCRIPTORALFABETICO426"/>
      <w:r w:rsidRPr="0050129A">
        <w:rPr>
          <w:rStyle w:val="TextoNormalNegritaCaracter"/>
        </w:rPr>
        <w:t>Tabaco</w:t>
      </w:r>
      <w:bookmarkEnd w:id="1351"/>
      <w:r w:rsidRPr="0050129A">
        <w:rPr>
          <w:rStyle w:val="TextoNormalCaracter"/>
        </w:rPr>
        <w:t xml:space="preserve">, Auto </w:t>
      </w:r>
      <w:hyperlink w:anchor="AUTO_2008_80" w:history="1">
        <w:r w:rsidRPr="0050129A">
          <w:rPr>
            <w:rStyle w:val="TextoNormalCaracter"/>
          </w:rPr>
          <w:t>80/2008</w:t>
        </w:r>
      </w:hyperlink>
      <w:r w:rsidRPr="0050129A">
        <w:rPr>
          <w:rStyle w:val="TextoNormalCaracter"/>
        </w:rPr>
        <w:t>.</w:t>
      </w:r>
    </w:p>
    <w:p w:rsidR="0050129A" w:rsidRPr="0050129A" w:rsidRDefault="0050129A" w:rsidP="0050129A">
      <w:pPr>
        <w:pStyle w:val="TextoNormalSangraFrancesa"/>
        <w:rPr>
          <w:rStyle w:val="TextoNormalCaracter"/>
        </w:rPr>
      </w:pPr>
      <w:bookmarkStart w:id="1352" w:name="DESCRIPTORALFABETICO15"/>
      <w:r w:rsidRPr="0050129A">
        <w:rPr>
          <w:rStyle w:val="TextoNormalNegritaCaracter"/>
        </w:rPr>
        <w:t>Tasa fiscal sobre el juego</w:t>
      </w:r>
      <w:bookmarkEnd w:id="1352"/>
      <w:r w:rsidRPr="0050129A">
        <w:rPr>
          <w:rStyle w:val="TextoNormalCaracter"/>
        </w:rPr>
        <w:t xml:space="preserve">, Auto </w:t>
      </w:r>
      <w:hyperlink w:anchor="AUTO_2008_71" w:history="1">
        <w:r w:rsidRPr="0050129A">
          <w:rPr>
            <w:rStyle w:val="TextoNormalCaracter"/>
          </w:rPr>
          <w:t>71/2008</w:t>
        </w:r>
      </w:hyperlink>
      <w:r w:rsidRPr="0050129A">
        <w:rPr>
          <w:rStyle w:val="TextoNormalCaracter"/>
        </w:rPr>
        <w:t>.</w:t>
      </w:r>
    </w:p>
    <w:p w:rsidR="0050129A" w:rsidRPr="0050129A" w:rsidRDefault="0050129A" w:rsidP="0050129A">
      <w:pPr>
        <w:pStyle w:val="TextoNormalSangraFrancesa"/>
        <w:rPr>
          <w:rStyle w:val="TextoNormalCaracter"/>
        </w:rPr>
      </w:pPr>
      <w:bookmarkStart w:id="1353" w:name="DESCRIPTORALFABETICO229"/>
      <w:r w:rsidRPr="0050129A">
        <w:rPr>
          <w:rStyle w:val="TextoNormalNegritaCaracter"/>
        </w:rPr>
        <w:t>Temporaneidad del recurso de amparo</w:t>
      </w:r>
      <w:bookmarkEnd w:id="1353"/>
      <w:r w:rsidRPr="0050129A">
        <w:rPr>
          <w:rStyle w:val="TextoNormalCaracter"/>
        </w:rPr>
        <w:t xml:space="preserve">, Sentencia </w:t>
      </w:r>
      <w:hyperlink w:anchor="SENTENCIA_2008_17" w:history="1">
        <w:r w:rsidRPr="0050129A">
          <w:rPr>
            <w:rStyle w:val="TextoNormalCaracter"/>
          </w:rPr>
          <w:t>17/2008</w:t>
        </w:r>
      </w:hyperlink>
      <w:r w:rsidRPr="0050129A">
        <w:rPr>
          <w:rStyle w:val="TextoNormalCaracter"/>
        </w:rPr>
        <w:t>, f. 2.</w:t>
      </w:r>
    </w:p>
    <w:p w:rsidR="0050129A" w:rsidRPr="0050129A" w:rsidRDefault="0050129A" w:rsidP="0050129A">
      <w:pPr>
        <w:pStyle w:val="TextoNormalSangraFrancesa"/>
        <w:rPr>
          <w:rStyle w:val="TextoNormalCaracter"/>
        </w:rPr>
      </w:pPr>
      <w:bookmarkStart w:id="1354" w:name="DESCRIPTORALFABETICO330"/>
      <w:r w:rsidRPr="0050129A">
        <w:rPr>
          <w:rStyle w:val="TextoNormalNegritaCaracter"/>
        </w:rPr>
        <w:t>Tenencia y uso de armas</w:t>
      </w:r>
      <w:bookmarkEnd w:id="1354"/>
      <w:r w:rsidRPr="0050129A">
        <w:rPr>
          <w:rStyle w:val="TextoNormalCaracter"/>
        </w:rPr>
        <w:t xml:space="preserve">, Auto </w:t>
      </w:r>
      <w:hyperlink w:anchor="AUTO_2008_111" w:history="1">
        <w:r w:rsidRPr="0050129A">
          <w:rPr>
            <w:rStyle w:val="TextoNormalCaracter"/>
          </w:rPr>
          <w:t>111/2008</w:t>
        </w:r>
      </w:hyperlink>
      <w:r w:rsidRPr="0050129A">
        <w:rPr>
          <w:rStyle w:val="TextoNormalCaracter"/>
        </w:rPr>
        <w:t>.</w:t>
      </w:r>
    </w:p>
    <w:p w:rsidR="0050129A" w:rsidRPr="0050129A" w:rsidRDefault="0050129A" w:rsidP="0050129A">
      <w:pPr>
        <w:pStyle w:val="TextoNormalSangraFrancesa"/>
        <w:rPr>
          <w:rStyle w:val="TextoNormalCaracter"/>
        </w:rPr>
      </w:pPr>
      <w:bookmarkStart w:id="1355" w:name="DESCRIPTORALFABETICO542"/>
      <w:r w:rsidRPr="0050129A">
        <w:rPr>
          <w:rStyle w:val="TextoNormalNegritaCaracter"/>
        </w:rPr>
        <w:t>Terminación del proceso judicial</w:t>
      </w:r>
      <w:bookmarkEnd w:id="1355"/>
      <w:r w:rsidRPr="0050129A">
        <w:rPr>
          <w:rStyle w:val="TextoNormalCaracter"/>
        </w:rPr>
        <w:t xml:space="preserve">, Auto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Caracter"/>
        </w:rPr>
      </w:pPr>
      <w:bookmarkStart w:id="1356" w:name="DESCRIPTORALFABETICO43"/>
      <w:r w:rsidRPr="0050129A">
        <w:rPr>
          <w:rStyle w:val="TextoNormalNegritaCaracter"/>
        </w:rPr>
        <w:t>Término de comparación inexistente</w:t>
      </w:r>
      <w:bookmarkEnd w:id="1356"/>
      <w:r w:rsidRPr="0050129A">
        <w:rPr>
          <w:rStyle w:val="TextoNormalCaracter"/>
        </w:rPr>
        <w:t xml:space="preserve">, Sentencias </w:t>
      </w:r>
      <w:hyperlink w:anchor="SENTENCIA_2008_13" w:history="1">
        <w:r w:rsidRPr="0050129A">
          <w:rPr>
            <w:rStyle w:val="TextoNormalCaracter"/>
          </w:rPr>
          <w:t>13/2008</w:t>
        </w:r>
      </w:hyperlink>
      <w:r w:rsidRPr="0050129A">
        <w:rPr>
          <w:rStyle w:val="TextoNormalCaracter"/>
        </w:rPr>
        <w:t xml:space="preserve">, f. 5; </w:t>
      </w:r>
      <w:hyperlink w:anchor="SENTENCIA_2008_30" w:history="1">
        <w:r w:rsidRPr="0050129A">
          <w:rPr>
            <w:rStyle w:val="TextoNormalCaracter"/>
          </w:rPr>
          <w:t>30/2008</w:t>
        </w:r>
      </w:hyperlink>
      <w:r w:rsidRPr="0050129A">
        <w:rPr>
          <w:rStyle w:val="TextoNormalCaracter"/>
        </w:rPr>
        <w:t>, f. 9.</w:t>
      </w:r>
    </w:p>
    <w:p w:rsidR="0050129A" w:rsidRPr="0050129A" w:rsidRDefault="0050129A" w:rsidP="0050129A">
      <w:pPr>
        <w:pStyle w:val="TextoNormalSangraFrancesa"/>
        <w:rPr>
          <w:rStyle w:val="TextoNormalCaracter"/>
        </w:rPr>
      </w:pPr>
      <w:bookmarkStart w:id="1357" w:name="DESCRIPTORALFABETICO44"/>
      <w:r w:rsidRPr="0050129A">
        <w:rPr>
          <w:rStyle w:val="TextoNormalNegritaCaracter"/>
        </w:rPr>
        <w:t>Término de comparación inidóneo</w:t>
      </w:r>
      <w:bookmarkEnd w:id="1357"/>
      <w:r w:rsidRPr="0050129A">
        <w:rPr>
          <w:rStyle w:val="TextoNormalCaracter"/>
        </w:rPr>
        <w:t xml:space="preserve">, Sentencia </w:t>
      </w:r>
      <w:hyperlink w:anchor="SENTENCIA_2008_43" w:history="1">
        <w:r w:rsidRPr="0050129A">
          <w:rPr>
            <w:rStyle w:val="TextoNormalCaracter"/>
          </w:rPr>
          <w:t>43/2008</w:t>
        </w:r>
      </w:hyperlink>
      <w:r w:rsidRPr="0050129A">
        <w:rPr>
          <w:rStyle w:val="TextoNormalCaracter"/>
        </w:rPr>
        <w:t>, f. 3.</w:t>
      </w:r>
    </w:p>
    <w:p w:rsidR="0050129A" w:rsidRPr="0050129A" w:rsidRDefault="0050129A" w:rsidP="0050129A">
      <w:pPr>
        <w:pStyle w:val="TextoNormalSangraFrancesa"/>
        <w:rPr>
          <w:rStyle w:val="TextoNormalCaracter"/>
        </w:rPr>
      </w:pPr>
      <w:bookmarkStart w:id="1358" w:name="DESCRIPTORALFABETICO346"/>
      <w:r w:rsidRPr="0050129A">
        <w:rPr>
          <w:rStyle w:val="TextoNormalNegritaCaracter"/>
        </w:rPr>
        <w:t>Testamento</w:t>
      </w:r>
      <w:bookmarkEnd w:id="1358"/>
      <w:r w:rsidRPr="0050129A">
        <w:rPr>
          <w:rStyle w:val="TextoNormalCaracter"/>
        </w:rPr>
        <w:t xml:space="preserve">, Auto </w:t>
      </w:r>
      <w:hyperlink w:anchor="AUTO_2008_27" w:history="1">
        <w:r w:rsidRPr="0050129A">
          <w:rPr>
            <w:rStyle w:val="TextoNormalCaracter"/>
          </w:rPr>
          <w:t>27/2008</w:t>
        </w:r>
      </w:hyperlink>
      <w:r w:rsidRPr="0050129A">
        <w:rPr>
          <w:rStyle w:val="TextoNormalCaracter"/>
        </w:rPr>
        <w:t>.</w:t>
      </w:r>
    </w:p>
    <w:p w:rsidR="0050129A" w:rsidRPr="0050129A" w:rsidRDefault="0050129A" w:rsidP="0050129A">
      <w:pPr>
        <w:pStyle w:val="TextoNormalSangraFrancesa"/>
        <w:rPr>
          <w:rStyle w:val="TextoNormalCaracter"/>
        </w:rPr>
      </w:pPr>
      <w:bookmarkStart w:id="1359" w:name="DESCRIPTORALFABETICO145"/>
      <w:r w:rsidRPr="0050129A">
        <w:rPr>
          <w:rStyle w:val="TextoNormalNegritaCaracter"/>
        </w:rPr>
        <w:t>Titularidad de los derechos fundamentales</w:t>
      </w:r>
      <w:bookmarkEnd w:id="1359"/>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f. 3; </w:t>
      </w:r>
      <w:hyperlink w:anchor="SENTENCIA_2008_11" w:history="1">
        <w:r w:rsidRPr="0050129A">
          <w:rPr>
            <w:rStyle w:val="TextoNormalCaracter"/>
          </w:rPr>
          <w:t>11/2008</w:t>
        </w:r>
      </w:hyperlink>
      <w:r w:rsidRPr="0050129A">
        <w:rPr>
          <w:rStyle w:val="TextoNormalCaracter"/>
        </w:rPr>
        <w:t xml:space="preserve">, f. 3; </w:t>
      </w:r>
      <w:hyperlink w:anchor="SENTENCIA_2008_12" w:history="1">
        <w:r w:rsidRPr="0050129A">
          <w:rPr>
            <w:rStyle w:val="TextoNormalCaracter"/>
          </w:rPr>
          <w:t>12/2008</w:t>
        </w:r>
      </w:hyperlink>
      <w:r w:rsidRPr="0050129A">
        <w:rPr>
          <w:rStyle w:val="TextoNormalCaracter"/>
        </w:rPr>
        <w:t xml:space="preserve">, f. 7; </w:t>
      </w:r>
      <w:hyperlink w:anchor="SENTENCIA_2008_18" w:history="1">
        <w:r w:rsidRPr="0050129A">
          <w:rPr>
            <w:rStyle w:val="TextoNormalCaracter"/>
          </w:rPr>
          <w:t>18/2008</w:t>
        </w:r>
      </w:hyperlink>
      <w:r w:rsidRPr="0050129A">
        <w:rPr>
          <w:rStyle w:val="TextoNormalCaracter"/>
        </w:rPr>
        <w:t xml:space="preserve">, f. único; </w:t>
      </w:r>
      <w:hyperlink w:anchor="SENTENCIA_2008_19" w:history="1">
        <w:r w:rsidRPr="0050129A">
          <w:rPr>
            <w:rStyle w:val="TextoNormalCaracter"/>
          </w:rPr>
          <w:t>19/2008</w:t>
        </w:r>
      </w:hyperlink>
      <w:r w:rsidRPr="0050129A">
        <w:rPr>
          <w:rStyle w:val="TextoNormalCaracter"/>
        </w:rPr>
        <w:t xml:space="preserve">, f. 4; </w:t>
      </w:r>
      <w:hyperlink w:anchor="SENTENCIA_2008_26" w:history="1">
        <w:r w:rsidRPr="0050129A">
          <w:rPr>
            <w:rStyle w:val="TextoNormalCaracter"/>
          </w:rPr>
          <w:t>26/2008</w:t>
        </w:r>
      </w:hyperlink>
      <w:r w:rsidRPr="0050129A">
        <w:rPr>
          <w:rStyle w:val="TextoNormalCaracter"/>
        </w:rPr>
        <w:t>, ff. 3, 4, 5, 8, 10, 11.</w:t>
      </w:r>
    </w:p>
    <w:p w:rsidR="0050129A" w:rsidRPr="0050129A" w:rsidRDefault="0050129A" w:rsidP="0050129A">
      <w:pPr>
        <w:pStyle w:val="TextoNormalSangraFrancesa"/>
        <w:rPr>
          <w:rStyle w:val="TextoNormalNegritaCaracter"/>
        </w:rPr>
      </w:pPr>
      <w:r w:rsidRPr="0050129A">
        <w:rPr>
          <w:rStyle w:val="TextoNormalCursivaCaracter"/>
        </w:rPr>
        <w:t>Titularidad por las personas jurídicas de Derecho público</w:t>
      </w:r>
      <w:r>
        <w:t xml:space="preserve"> véase </w:t>
      </w:r>
      <w:hyperlink w:anchor="DESCRIPTORALFABETICO146" w:history="1">
        <w:r w:rsidRPr="0050129A">
          <w:rPr>
            <w:rStyle w:val="TextoNormalNegritaCaracter"/>
          </w:rPr>
          <w:t>Titularidad por las personas jurídicas públicas</w:t>
        </w:r>
      </w:hyperlink>
    </w:p>
    <w:p w:rsidR="0050129A" w:rsidRPr="0050129A" w:rsidRDefault="0050129A" w:rsidP="0050129A">
      <w:pPr>
        <w:pStyle w:val="TextoNormalSangraFrancesa"/>
        <w:rPr>
          <w:rStyle w:val="TextoNormalCaracter"/>
        </w:rPr>
      </w:pPr>
      <w:bookmarkStart w:id="1360" w:name="DESCRIPTORALFABETICO146"/>
      <w:r w:rsidRPr="0050129A">
        <w:rPr>
          <w:rStyle w:val="TextoNormalNegritaCaracter"/>
        </w:rPr>
        <w:t>Titularidad por las personas jurídicas públicas</w:t>
      </w:r>
      <w:bookmarkEnd w:id="1360"/>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f. 3, VP; </w:t>
      </w:r>
      <w:hyperlink w:anchor="SENTENCIA_2008_11" w:history="1">
        <w:r w:rsidRPr="0050129A">
          <w:rPr>
            <w:rStyle w:val="TextoNormalCaracter"/>
          </w:rPr>
          <w:t>11/2008</w:t>
        </w:r>
      </w:hyperlink>
      <w:r w:rsidRPr="0050129A">
        <w:rPr>
          <w:rStyle w:val="TextoNormalCaracter"/>
        </w:rPr>
        <w:t>, f. 3.</w:t>
      </w:r>
    </w:p>
    <w:p w:rsidR="0050129A" w:rsidRPr="0050129A" w:rsidRDefault="0050129A" w:rsidP="0050129A">
      <w:pPr>
        <w:pStyle w:val="TextoNormalSangraFrancesa"/>
        <w:rPr>
          <w:rStyle w:val="TextoNormalCaracter"/>
        </w:rPr>
      </w:pPr>
      <w:bookmarkStart w:id="1361" w:name="DESCRIPTORALFABETICO147"/>
      <w:r w:rsidRPr="0050129A">
        <w:rPr>
          <w:rStyle w:val="TextoNormalNegritaCaracter"/>
        </w:rPr>
        <w:t>Titularidad por los menores de edad</w:t>
      </w:r>
      <w:bookmarkEnd w:id="1361"/>
      <w:r w:rsidRPr="0050129A">
        <w:rPr>
          <w:rStyle w:val="TextoNormalCaracter"/>
        </w:rPr>
        <w:t xml:space="preserve">, Sentencia </w:t>
      </w:r>
      <w:hyperlink w:anchor="SENTENCIA_2008_22" w:history="1">
        <w:r w:rsidRPr="0050129A">
          <w:rPr>
            <w:rStyle w:val="TextoNormalCaracter"/>
          </w:rPr>
          <w:t>22/2008</w:t>
        </w:r>
      </w:hyperlink>
      <w:r w:rsidRPr="0050129A">
        <w:rPr>
          <w:rStyle w:val="TextoNormalCaracter"/>
        </w:rPr>
        <w:t>, f. 8.</w:t>
      </w:r>
    </w:p>
    <w:p w:rsidR="0050129A" w:rsidRPr="0050129A" w:rsidRDefault="0050129A" w:rsidP="0050129A">
      <w:pPr>
        <w:pStyle w:val="TextoNormalSangraFrancesa"/>
        <w:rPr>
          <w:rStyle w:val="TextoNormalCaracter"/>
        </w:rPr>
      </w:pPr>
      <w:bookmarkStart w:id="1362" w:name="DESCRIPTORALFABETICO148"/>
      <w:r w:rsidRPr="0050129A">
        <w:rPr>
          <w:rStyle w:val="TextoNormalNegritaCaracter"/>
        </w:rPr>
        <w:t>Titularidad por los poderes públicos</w:t>
      </w:r>
      <w:bookmarkEnd w:id="1362"/>
      <w:r w:rsidRPr="0050129A">
        <w:rPr>
          <w:rStyle w:val="TextoNormalCaracter"/>
        </w:rPr>
        <w:t xml:space="preserve">, Sentencia </w:t>
      </w:r>
      <w:hyperlink w:anchor="SENTENCIA_2008_26" w:history="1">
        <w:r w:rsidRPr="0050129A">
          <w:rPr>
            <w:rStyle w:val="TextoNormalCaracter"/>
          </w:rPr>
          <w:t>26/2008</w:t>
        </w:r>
      </w:hyperlink>
      <w:r w:rsidRPr="0050129A">
        <w:rPr>
          <w:rStyle w:val="TextoNormalCaracter"/>
        </w:rPr>
        <w:t>, ff. 4, 5, VP.</w:t>
      </w:r>
    </w:p>
    <w:p w:rsidR="0050129A" w:rsidRPr="0050129A" w:rsidRDefault="0050129A" w:rsidP="0050129A">
      <w:pPr>
        <w:pStyle w:val="TextoNormalSangraFrancesa"/>
        <w:rPr>
          <w:rStyle w:val="TextoNormalCaracter"/>
        </w:rPr>
      </w:pPr>
      <w:bookmarkStart w:id="1363" w:name="DESCRIPTORALFABETICO408"/>
      <w:r w:rsidRPr="0050129A">
        <w:rPr>
          <w:rStyle w:val="TextoNormalNegritaCaracter"/>
        </w:rPr>
        <w:t>Títulos nobiliarios</w:t>
      </w:r>
      <w:bookmarkEnd w:id="1363"/>
      <w:r w:rsidRPr="0050129A">
        <w:rPr>
          <w:rStyle w:val="TextoNormalCaracter"/>
        </w:rPr>
        <w:t xml:space="preserve">, Sentencia </w:t>
      </w:r>
      <w:hyperlink w:anchor="SENTENCIA_2008_13" w:history="1">
        <w:r w:rsidRPr="0050129A">
          <w:rPr>
            <w:rStyle w:val="TextoNormalCaracter"/>
          </w:rPr>
          <w:t>13/2008</w:t>
        </w:r>
      </w:hyperlink>
      <w:r w:rsidRPr="0050129A">
        <w:rPr>
          <w:rStyle w:val="TextoNormalCaracter"/>
        </w:rPr>
        <w:t>, f. 5.</w:t>
      </w:r>
    </w:p>
    <w:p w:rsidR="0050129A" w:rsidRPr="0050129A" w:rsidRDefault="0050129A" w:rsidP="0050129A">
      <w:pPr>
        <w:pStyle w:val="TextoNormalSangraFrancesa"/>
        <w:rPr>
          <w:rStyle w:val="TextoNormalCaracter"/>
        </w:rPr>
      </w:pPr>
      <w:bookmarkStart w:id="1364" w:name="DESCRIPTORALFABETICO361"/>
      <w:r w:rsidRPr="0050129A">
        <w:rPr>
          <w:rStyle w:val="TextoNormalNegritaCaracter"/>
        </w:rPr>
        <w:t>Torturas</w:t>
      </w:r>
      <w:bookmarkEnd w:id="1364"/>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ff. 2, 3, 4, 5, 6, 7, 8, 9; </w:t>
      </w:r>
      <w:hyperlink w:anchor="SENTENCIA_2008_52" w:history="1">
        <w:r w:rsidRPr="0050129A">
          <w:rPr>
            <w:rStyle w:val="TextoNormalCaracter"/>
          </w:rPr>
          <w:t>52/2008</w:t>
        </w:r>
      </w:hyperlink>
      <w:r w:rsidRPr="0050129A">
        <w:rPr>
          <w:rStyle w:val="TextoNormalCaracter"/>
        </w:rPr>
        <w:t>, ff. 2, 3, 5, VP.</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Sentencias </w:t>
      </w:r>
      <w:hyperlink w:anchor="SENTENCIA_2008_34" w:history="1">
        <w:r w:rsidRPr="0050129A">
          <w:rPr>
            <w:rStyle w:val="TextoNormalCaracter"/>
          </w:rPr>
          <w:t>34/2008</w:t>
        </w:r>
      </w:hyperlink>
      <w:r w:rsidRPr="0050129A">
        <w:rPr>
          <w:rStyle w:val="TextoNormalCaracter"/>
        </w:rPr>
        <w:t xml:space="preserve">, ff. 5 a 7; </w:t>
      </w:r>
      <w:hyperlink w:anchor="SENTENCIA_2008_52" w:history="1">
        <w:r w:rsidRPr="0050129A">
          <w:rPr>
            <w:rStyle w:val="TextoNormalCaracter"/>
          </w:rPr>
          <w:t>52/2008</w:t>
        </w:r>
      </w:hyperlink>
      <w:r w:rsidRPr="0050129A">
        <w:rPr>
          <w:rStyle w:val="TextoNormalCaracter"/>
        </w:rPr>
        <w:t>, f. 2.</w:t>
      </w:r>
    </w:p>
    <w:p w:rsidR="0050129A" w:rsidRPr="0050129A" w:rsidRDefault="0050129A" w:rsidP="0050129A">
      <w:pPr>
        <w:pStyle w:val="TextoNormalSangraFrancesa"/>
        <w:rPr>
          <w:rStyle w:val="TextoNormalCaracter"/>
        </w:rPr>
      </w:pPr>
      <w:bookmarkStart w:id="1365" w:name="DESCRIPTORALFABETICO439"/>
      <w:r w:rsidRPr="0050129A">
        <w:rPr>
          <w:rStyle w:val="TextoNormalNegritaCaracter"/>
        </w:rPr>
        <w:t>Tráfico</w:t>
      </w:r>
      <w:bookmarkEnd w:id="1365"/>
      <w:r w:rsidRPr="0050129A">
        <w:rPr>
          <w:rStyle w:val="TextoNormalCaracter"/>
        </w:rPr>
        <w:t xml:space="preserve">, Sentencias </w:t>
      </w:r>
      <w:hyperlink w:anchor="SENTENCIA_2008_32" w:history="1">
        <w:r w:rsidRPr="0050129A">
          <w:rPr>
            <w:rStyle w:val="TextoNormalCaracter"/>
          </w:rPr>
          <w:t>32/2008</w:t>
        </w:r>
      </w:hyperlink>
      <w:r w:rsidRPr="0050129A">
        <w:rPr>
          <w:rStyle w:val="TextoNormalCaracter"/>
        </w:rPr>
        <w:t xml:space="preserve">, f. 2; </w:t>
      </w:r>
      <w:hyperlink w:anchor="SENTENCIA_2008_40" w:history="1">
        <w:r w:rsidRPr="0050129A">
          <w:rPr>
            <w:rStyle w:val="TextoNormalCaracter"/>
          </w:rPr>
          <w:t>40/2008</w:t>
        </w:r>
      </w:hyperlink>
      <w:r w:rsidRPr="0050129A">
        <w:rPr>
          <w:rStyle w:val="TextoNormalCaracter"/>
        </w:rPr>
        <w:t xml:space="preserve">, f. 5; </w:t>
      </w:r>
      <w:hyperlink w:anchor="SENTENCIA_2008_54" w:history="1">
        <w:r w:rsidRPr="0050129A">
          <w:rPr>
            <w:rStyle w:val="TextoNormalCaracter"/>
          </w:rPr>
          <w:t>54/2008</w:t>
        </w:r>
      </w:hyperlink>
      <w:r w:rsidRPr="0050129A">
        <w:rPr>
          <w:rStyle w:val="TextoNormalCaracter"/>
        </w:rPr>
        <w:t>, f. 6.</w:t>
      </w:r>
    </w:p>
    <w:p w:rsidR="0050129A" w:rsidRPr="0050129A" w:rsidRDefault="0050129A" w:rsidP="0050129A">
      <w:pPr>
        <w:pStyle w:val="TextoNormalSangraFrancesa"/>
        <w:rPr>
          <w:rStyle w:val="TextoNormalCaracter"/>
        </w:rPr>
      </w:pPr>
      <w:bookmarkStart w:id="1366" w:name="DESCRIPTORALFABETICO232"/>
      <w:r w:rsidRPr="0050129A">
        <w:rPr>
          <w:rStyle w:val="TextoNormalNegritaCaracter"/>
        </w:rPr>
        <w:t>Tramitación preferente</w:t>
      </w:r>
      <w:bookmarkEnd w:id="1366"/>
      <w:r w:rsidRPr="0050129A">
        <w:rPr>
          <w:rStyle w:val="TextoNormalCaracter"/>
        </w:rPr>
        <w:t xml:space="preserve">, Auto </w:t>
      </w:r>
      <w:hyperlink w:anchor="AUTO_2008_43" w:history="1">
        <w:r w:rsidRPr="0050129A">
          <w:rPr>
            <w:rStyle w:val="TextoNormalCaracter"/>
          </w:rPr>
          <w:t>43/2008</w:t>
        </w:r>
      </w:hyperlink>
      <w:r w:rsidRPr="0050129A">
        <w:rPr>
          <w:rStyle w:val="TextoNormalCaracter"/>
        </w:rPr>
        <w:t>.</w:t>
      </w:r>
    </w:p>
    <w:p w:rsidR="0050129A" w:rsidRPr="0050129A" w:rsidRDefault="0050129A" w:rsidP="0050129A">
      <w:pPr>
        <w:pStyle w:val="TextoNormalSangraFrancesa"/>
        <w:rPr>
          <w:rStyle w:val="TextoNormalCaracter"/>
        </w:rPr>
      </w:pPr>
      <w:bookmarkStart w:id="1367" w:name="DESCRIPTORALFABETICO233"/>
      <w:r w:rsidRPr="0050129A">
        <w:rPr>
          <w:rStyle w:val="TextoNormalNegritaCaracter"/>
        </w:rPr>
        <w:t>Trámite de admisión en el recurso de amparo</w:t>
      </w:r>
      <w:bookmarkEnd w:id="1367"/>
      <w:r w:rsidRPr="0050129A">
        <w:rPr>
          <w:rStyle w:val="TextoNormalCaracter"/>
        </w:rPr>
        <w:t xml:space="preserve">, Autos </w:t>
      </w:r>
      <w:hyperlink w:anchor="AUTO_2008_27" w:history="1">
        <w:r w:rsidRPr="0050129A">
          <w:rPr>
            <w:rStyle w:val="TextoNormalCaracter"/>
          </w:rPr>
          <w:t>27/2008</w:t>
        </w:r>
      </w:hyperlink>
      <w:r w:rsidRPr="0050129A">
        <w:rPr>
          <w:rStyle w:val="TextoNormalCaracter"/>
        </w:rPr>
        <w:t xml:space="preserve">; </w:t>
      </w:r>
      <w:hyperlink w:anchor="AUTO_2008_29" w:history="1">
        <w:r w:rsidRPr="0050129A">
          <w:rPr>
            <w:rStyle w:val="TextoNormalCaracter"/>
          </w:rPr>
          <w:t>29/2008</w:t>
        </w:r>
      </w:hyperlink>
      <w:r w:rsidRPr="0050129A">
        <w:rPr>
          <w:rStyle w:val="TextoNormalCaracter"/>
        </w:rPr>
        <w:t xml:space="preserve">; </w:t>
      </w:r>
      <w:hyperlink w:anchor="AUTO_2008_30" w:history="1">
        <w:r w:rsidRPr="0050129A">
          <w:rPr>
            <w:rStyle w:val="TextoNormalCaracter"/>
          </w:rPr>
          <w:t>30/2008</w:t>
        </w:r>
      </w:hyperlink>
      <w:r w:rsidRPr="0050129A">
        <w:rPr>
          <w:rStyle w:val="TextoNormalCaracter"/>
        </w:rPr>
        <w:t xml:space="preserve">; </w:t>
      </w:r>
      <w:hyperlink w:anchor="AUTO_2008_41" w:history="1">
        <w:r w:rsidRPr="0050129A">
          <w:rPr>
            <w:rStyle w:val="TextoNormalCaracter"/>
          </w:rPr>
          <w:t>41/2008</w:t>
        </w:r>
      </w:hyperlink>
      <w:r w:rsidRPr="0050129A">
        <w:rPr>
          <w:rStyle w:val="TextoNormalCaracter"/>
        </w:rPr>
        <w:t xml:space="preserve">; </w:t>
      </w:r>
      <w:hyperlink w:anchor="AUTO_2008_61" w:history="1">
        <w:r w:rsidRPr="0050129A">
          <w:rPr>
            <w:rStyle w:val="TextoNormalCaracter"/>
          </w:rPr>
          <w:t>61/2008</w:t>
        </w:r>
      </w:hyperlink>
      <w:r w:rsidRPr="0050129A">
        <w:rPr>
          <w:rStyle w:val="TextoNormalCaracter"/>
        </w:rPr>
        <w:t xml:space="preserve">; </w:t>
      </w:r>
      <w:hyperlink w:anchor="AUTO_2008_77" w:history="1">
        <w:r w:rsidRPr="0050129A">
          <w:rPr>
            <w:rStyle w:val="TextoNormalCaracter"/>
          </w:rPr>
          <w:t>77/2008</w:t>
        </w:r>
      </w:hyperlink>
      <w:r w:rsidRPr="0050129A">
        <w:rPr>
          <w:rStyle w:val="TextoNormalCaracter"/>
        </w:rPr>
        <w:t xml:space="preserve">; </w:t>
      </w:r>
      <w:hyperlink w:anchor="AUTO_2008_82" w:history="1">
        <w:r w:rsidRPr="0050129A">
          <w:rPr>
            <w:rStyle w:val="TextoNormalCaracter"/>
          </w:rPr>
          <w:t>82/2008</w:t>
        </w:r>
      </w:hyperlink>
      <w:r w:rsidRPr="0050129A">
        <w:rPr>
          <w:rStyle w:val="TextoNormalCaracter"/>
        </w:rPr>
        <w:t xml:space="preserve">; </w:t>
      </w:r>
      <w:hyperlink w:anchor="AUTO_2008_84" w:history="1">
        <w:r w:rsidRPr="0050129A">
          <w:rPr>
            <w:rStyle w:val="TextoNormalCaracter"/>
          </w:rPr>
          <w:t>84/2008</w:t>
        </w:r>
      </w:hyperlink>
      <w:r w:rsidRPr="0050129A">
        <w:rPr>
          <w:rStyle w:val="TextoNormalCaracter"/>
        </w:rPr>
        <w:t xml:space="preserve">; </w:t>
      </w:r>
      <w:hyperlink w:anchor="AUTO_2008_115" w:history="1">
        <w:r w:rsidRPr="0050129A">
          <w:rPr>
            <w:rStyle w:val="TextoNormalCaracter"/>
          </w:rPr>
          <w:t>115/2008</w:t>
        </w:r>
      </w:hyperlink>
      <w:r w:rsidRPr="0050129A">
        <w:rPr>
          <w:rStyle w:val="TextoNormalCaracter"/>
        </w:rPr>
        <w:t>.</w:t>
      </w:r>
    </w:p>
    <w:p w:rsidR="0050129A" w:rsidRPr="0050129A" w:rsidRDefault="0050129A" w:rsidP="0050129A">
      <w:pPr>
        <w:pStyle w:val="TextoNormalSangraFrancesa"/>
        <w:rPr>
          <w:rStyle w:val="TextoNormalNegritaCaracter"/>
        </w:rPr>
      </w:pPr>
      <w:r w:rsidRPr="0050129A">
        <w:rPr>
          <w:rStyle w:val="TextoNormalCursivaCaracter"/>
        </w:rPr>
        <w:t>Trámite de audiencia en cuestión de inconstitucionalidad</w:t>
      </w:r>
      <w:r>
        <w:t xml:space="preserve"> véase </w:t>
      </w:r>
      <w:hyperlink w:anchor="DESCRIPTORALFABETICO196" w:history="1">
        <w:r w:rsidRPr="0050129A">
          <w:rPr>
            <w:rStyle w:val="TextoNormalNegritaCaracter"/>
          </w:rPr>
          <w:t>Audiencia previa a las partes</w:t>
        </w:r>
      </w:hyperlink>
    </w:p>
    <w:p w:rsidR="0050129A" w:rsidRPr="0050129A" w:rsidRDefault="0050129A" w:rsidP="0050129A">
      <w:pPr>
        <w:pStyle w:val="TextoNormalSangraFrancesa"/>
        <w:rPr>
          <w:rStyle w:val="TextoNormalCaracter"/>
        </w:rPr>
      </w:pPr>
      <w:bookmarkStart w:id="1368" w:name="DESCRIPTORALFABETICO440"/>
      <w:r w:rsidRPr="0050129A">
        <w:rPr>
          <w:rStyle w:val="TextoNormalNegritaCaracter"/>
        </w:rPr>
        <w:t>Transporte en auto-taxi</w:t>
      </w:r>
      <w:bookmarkEnd w:id="1368"/>
      <w:r w:rsidRPr="0050129A">
        <w:rPr>
          <w:rStyle w:val="TextoNormalCaracter"/>
        </w:rPr>
        <w:t xml:space="preserve">, Auto </w:t>
      </w:r>
      <w:hyperlink w:anchor="AUTO_2008_24" w:history="1">
        <w:r w:rsidRPr="0050129A">
          <w:rPr>
            <w:rStyle w:val="TextoNormalCaracter"/>
          </w:rPr>
          <w:t>24/2008</w:t>
        </w:r>
      </w:hyperlink>
      <w:r w:rsidRPr="0050129A">
        <w:rPr>
          <w:rStyle w:val="TextoNormalCaracter"/>
        </w:rPr>
        <w:t>.</w:t>
      </w:r>
    </w:p>
    <w:p w:rsidR="0050129A" w:rsidRPr="0050129A" w:rsidRDefault="0050129A" w:rsidP="0050129A">
      <w:pPr>
        <w:pStyle w:val="TextoNormalSangraFrancesa"/>
        <w:rPr>
          <w:rStyle w:val="TextoNormalCaracter"/>
        </w:rPr>
      </w:pPr>
      <w:bookmarkStart w:id="1369" w:name="DESCRIPTORALFABETICO370"/>
      <w:r w:rsidRPr="0050129A">
        <w:rPr>
          <w:rStyle w:val="TextoNormalNegritaCaracter"/>
        </w:rPr>
        <w:t>Tratados internacionales</w:t>
      </w:r>
      <w:bookmarkEnd w:id="1369"/>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2.</w:t>
      </w:r>
    </w:p>
    <w:p w:rsidR="0050129A" w:rsidRPr="0050129A" w:rsidRDefault="0050129A" w:rsidP="0050129A">
      <w:pPr>
        <w:pStyle w:val="TextoNormalSangraFrancesa"/>
        <w:rPr>
          <w:rStyle w:val="TextoNormalCaracter"/>
        </w:rPr>
      </w:pPr>
      <w:bookmarkStart w:id="1370" w:name="DESCRIPTORALFABETICO371"/>
      <w:r w:rsidRPr="0050129A">
        <w:rPr>
          <w:rStyle w:val="TextoNormalNegritaCaracter"/>
        </w:rPr>
        <w:lastRenderedPageBreak/>
        <w:t>Tratados internacionales no son canon de constitucionalidad autónomos</w:t>
      </w:r>
      <w:bookmarkEnd w:id="1370"/>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2.</w:t>
      </w:r>
    </w:p>
    <w:p w:rsidR="0050129A" w:rsidRPr="0050129A" w:rsidRDefault="0050129A" w:rsidP="0050129A">
      <w:pPr>
        <w:pStyle w:val="TextoNormalSangraFrancesa"/>
        <w:rPr>
          <w:rStyle w:val="TextoNormalCaracter"/>
        </w:rPr>
      </w:pPr>
      <w:bookmarkStart w:id="1371" w:name="DESCRIPTORALFABETICO46"/>
      <w:r w:rsidRPr="0050129A">
        <w:rPr>
          <w:rStyle w:val="TextoNormalNegritaCaracter"/>
        </w:rPr>
        <w:t>Tratamiento legal diferenciado</w:t>
      </w:r>
      <w:bookmarkEnd w:id="1371"/>
      <w:r w:rsidRPr="0050129A">
        <w:rPr>
          <w:rStyle w:val="TextoNormalCaracter"/>
        </w:rPr>
        <w:t xml:space="preserve">, Auto </w:t>
      </w:r>
      <w:hyperlink w:anchor="AUTO_2008_112" w:history="1">
        <w:r w:rsidRPr="0050129A">
          <w:rPr>
            <w:rStyle w:val="TextoNormalCaracter"/>
          </w:rPr>
          <w:t>112/2008</w:t>
        </w:r>
      </w:hyperlink>
      <w:r w:rsidRPr="0050129A">
        <w:rPr>
          <w:rStyle w:val="TextoNormalCaracter"/>
        </w:rPr>
        <w:t>.</w:t>
      </w:r>
    </w:p>
    <w:p w:rsidR="0050129A" w:rsidRPr="0050129A" w:rsidRDefault="0050129A" w:rsidP="0050129A">
      <w:pPr>
        <w:pStyle w:val="TextoNormalSangraFrancesa"/>
        <w:rPr>
          <w:rStyle w:val="TextoNormalCaracter"/>
        </w:rPr>
      </w:pPr>
      <w:bookmarkStart w:id="1372" w:name="DESCRIPTORALFABETICO49"/>
      <w:r w:rsidRPr="0050129A">
        <w:rPr>
          <w:rStyle w:val="TextoNormalNegritaCaracter"/>
        </w:rPr>
        <w:t>Tratos inhumanos o degradantes</w:t>
      </w:r>
      <w:bookmarkEnd w:id="1372"/>
      <w:r w:rsidRPr="0050129A">
        <w:rPr>
          <w:rStyle w:val="TextoNormalCaracter"/>
        </w:rPr>
        <w:t xml:space="preserve">, Sentencias </w:t>
      </w:r>
      <w:hyperlink w:anchor="SENTENCIA_2008_34" w:history="1">
        <w:r w:rsidRPr="0050129A">
          <w:rPr>
            <w:rStyle w:val="TextoNormalCaracter"/>
          </w:rPr>
          <w:t>34/2008</w:t>
        </w:r>
      </w:hyperlink>
      <w:r w:rsidRPr="0050129A">
        <w:rPr>
          <w:rStyle w:val="TextoNormalCaracter"/>
        </w:rPr>
        <w:t xml:space="preserve">, ff. 2, 3, 4, 5, 6, 7, 8, 9; </w:t>
      </w:r>
      <w:hyperlink w:anchor="SENTENCIA_2008_52" w:history="1">
        <w:r w:rsidRPr="0050129A">
          <w:rPr>
            <w:rStyle w:val="TextoNormalCaracter"/>
          </w:rPr>
          <w:t>52/2008</w:t>
        </w:r>
      </w:hyperlink>
      <w:r w:rsidRPr="0050129A">
        <w:rPr>
          <w:rStyle w:val="TextoNormalCaracter"/>
        </w:rPr>
        <w:t>, ff. 2, 3, 5, VP.</w:t>
      </w:r>
    </w:p>
    <w:p w:rsidR="0050129A" w:rsidRPr="0050129A" w:rsidRDefault="0050129A" w:rsidP="0050129A">
      <w:pPr>
        <w:pStyle w:val="TextoNormalSangraFrancesa"/>
        <w:rPr>
          <w:rStyle w:val="TextoNormalCaracter"/>
        </w:rPr>
      </w:pPr>
      <w:r w:rsidRPr="0050129A">
        <w:rPr>
          <w:rStyle w:val="TextoNormalCursivaCaracter"/>
        </w:rPr>
        <w:t xml:space="preserve">    Doctrina constitucional, </w:t>
      </w:r>
      <w:r w:rsidRPr="0050129A">
        <w:rPr>
          <w:rStyle w:val="TextoNormalCaracter"/>
        </w:rPr>
        <w:t xml:space="preserve">Sentencias </w:t>
      </w:r>
      <w:hyperlink w:anchor="SENTENCIA_2008_34" w:history="1">
        <w:r w:rsidRPr="0050129A">
          <w:rPr>
            <w:rStyle w:val="TextoNormalCaracter"/>
          </w:rPr>
          <w:t>34/2008</w:t>
        </w:r>
      </w:hyperlink>
      <w:r w:rsidRPr="0050129A">
        <w:rPr>
          <w:rStyle w:val="TextoNormalCaracter"/>
        </w:rPr>
        <w:t xml:space="preserve">, ff. 5 a 7; </w:t>
      </w:r>
      <w:hyperlink w:anchor="SENTENCIA_2008_52" w:history="1">
        <w:r w:rsidRPr="0050129A">
          <w:rPr>
            <w:rStyle w:val="TextoNormalCaracter"/>
          </w:rPr>
          <w:t>52/2008</w:t>
        </w:r>
      </w:hyperlink>
      <w:r w:rsidRPr="0050129A">
        <w:rPr>
          <w:rStyle w:val="TextoNormalCaracter"/>
        </w:rPr>
        <w:t>, f. 2.</w:t>
      </w:r>
    </w:p>
    <w:p w:rsidR="0050129A" w:rsidRPr="0050129A" w:rsidRDefault="0050129A" w:rsidP="0050129A">
      <w:pPr>
        <w:pStyle w:val="TextoNormalSangraFrancesa"/>
        <w:rPr>
          <w:rStyle w:val="TextoNormalCaracter"/>
        </w:rPr>
      </w:pPr>
      <w:bookmarkStart w:id="1373" w:name="DESCRIPTORALFABETICO254"/>
      <w:r w:rsidRPr="0050129A">
        <w:rPr>
          <w:rStyle w:val="TextoNormalNegritaCaracter"/>
        </w:rPr>
        <w:t>Tribunal Constitucional</w:t>
      </w:r>
      <w:bookmarkEnd w:id="1373"/>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ff. 2 a 4, 18, 21, VP II.</w:t>
      </w:r>
    </w:p>
    <w:p w:rsidR="0050129A" w:rsidRPr="0050129A" w:rsidRDefault="0050129A" w:rsidP="0050129A">
      <w:pPr>
        <w:pStyle w:val="TextoNormalSangraFrancesa"/>
        <w:rPr>
          <w:rStyle w:val="TextoNormalCaracter"/>
        </w:rPr>
      </w:pPr>
      <w:bookmarkStart w:id="1374" w:name="DESCRIPTORALFABETICO11"/>
      <w:r w:rsidRPr="0050129A">
        <w:rPr>
          <w:rStyle w:val="TextoNormalNegritaCaracter"/>
        </w:rPr>
        <w:t>Tributos</w:t>
      </w:r>
      <w:bookmarkEnd w:id="1374"/>
      <w:r w:rsidRPr="0050129A">
        <w:rPr>
          <w:rStyle w:val="TextoNormalCaracter"/>
        </w:rPr>
        <w:t xml:space="preserve">, Sentencia </w:t>
      </w:r>
      <w:hyperlink w:anchor="SENTENCIA_2008_46" w:history="1">
        <w:r w:rsidRPr="0050129A">
          <w:rPr>
            <w:rStyle w:val="TextoNormalCaracter"/>
          </w:rPr>
          <w:t>46/2008</w:t>
        </w:r>
      </w:hyperlink>
      <w:r w:rsidRPr="0050129A">
        <w:rPr>
          <w:rStyle w:val="TextoNormalCaracter"/>
        </w:rPr>
        <w:t>, f. 3.</w:t>
      </w:r>
    </w:p>
    <w:p w:rsidR="0050129A" w:rsidRPr="0050129A" w:rsidRDefault="0050129A" w:rsidP="0050129A">
      <w:pPr>
        <w:pStyle w:val="TextoNormalSangraFrancesa"/>
        <w:rPr>
          <w:rStyle w:val="TextoNormalCaracter"/>
        </w:rPr>
      </w:pPr>
      <w:r w:rsidRPr="0050129A">
        <w:rPr>
          <w:rStyle w:val="TextoNormalCaracter"/>
        </w:rPr>
        <w:t xml:space="preserve">    Auto </w:t>
      </w:r>
      <w:hyperlink w:anchor="AUTO_2008_71" w:history="1">
        <w:r w:rsidRPr="0050129A">
          <w:rPr>
            <w:rStyle w:val="TextoNormalCaracter"/>
          </w:rPr>
          <w:t>71/2008</w:t>
        </w:r>
      </w:hyperlink>
      <w:r w:rsidRPr="0050129A">
        <w:rPr>
          <w:rStyle w:val="TextoNormalCaracter"/>
        </w:rPr>
        <w:t>.</w:t>
      </w:r>
    </w:p>
    <w:p w:rsidR="0050129A" w:rsidRPr="0050129A" w:rsidRDefault="0050129A" w:rsidP="0050129A">
      <w:pPr>
        <w:pStyle w:val="TextoNormalSangraFrancesa"/>
        <w:rPr>
          <w:rStyle w:val="TextoNormalCaracter"/>
        </w:rPr>
      </w:pPr>
      <w:bookmarkStart w:id="1375" w:name="DESCRIPTORALFABETICO101"/>
      <w:r w:rsidRPr="0050129A">
        <w:rPr>
          <w:rStyle w:val="TextoNormalNegritaCaracter"/>
        </w:rPr>
        <w:t>Tutela judicial cautelar</w:t>
      </w:r>
      <w:bookmarkEnd w:id="1375"/>
      <w:r w:rsidRPr="0050129A">
        <w:rPr>
          <w:rStyle w:val="TextoNormalCaracter"/>
        </w:rPr>
        <w:t xml:space="preserve">, Sentencia </w:t>
      </w:r>
      <w:hyperlink w:anchor="SENTENCIA_2008_4" w:history="1">
        <w:r w:rsidRPr="0050129A">
          <w:rPr>
            <w:rStyle w:val="TextoNormalCaracter"/>
          </w:rPr>
          <w:t>4/2008</w:t>
        </w:r>
      </w:hyperlink>
      <w:r w:rsidRPr="0050129A">
        <w:rPr>
          <w:rStyle w:val="TextoNormalCaracter"/>
        </w:rPr>
        <w:t>, f. 3.</w:t>
      </w:r>
    </w:p>
    <w:p w:rsidR="0050129A" w:rsidRPr="0050129A" w:rsidRDefault="0050129A" w:rsidP="0050129A">
      <w:pPr>
        <w:pStyle w:val="TextoNormalSangraFrancesa"/>
        <w:rPr>
          <w:rStyle w:val="TextoNormalCaracter"/>
        </w:rPr>
      </w:pPr>
      <w:r w:rsidRPr="0050129A">
        <w:rPr>
          <w:rStyle w:val="TextoNormalCursivaCaracter"/>
        </w:rPr>
        <w:t xml:space="preserve">    Vulnerado, </w:t>
      </w:r>
      <w:r w:rsidRPr="0050129A">
        <w:rPr>
          <w:rStyle w:val="TextoNormalCaracter"/>
        </w:rPr>
        <w:t xml:space="preserve">Sentencia </w:t>
      </w:r>
      <w:hyperlink w:anchor="SENTENCIA_2008_4" w:history="1">
        <w:r w:rsidRPr="0050129A">
          <w:rPr>
            <w:rStyle w:val="TextoNormalCaracter"/>
          </w:rPr>
          <w:t>4/2008</w:t>
        </w:r>
      </w:hyperlink>
      <w:r w:rsidRPr="0050129A">
        <w:rPr>
          <w:rStyle w:val="TextoNormalCaracter"/>
        </w:rPr>
        <w:t>, f. 3.</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U</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376" w:name="DESCRIPTORALFABETICO17"/>
      <w:r w:rsidRPr="0050129A">
        <w:rPr>
          <w:rStyle w:val="TextoNormalNegritaCaracter"/>
        </w:rPr>
        <w:t>Unidad del cuerpo electoral</w:t>
      </w:r>
      <w:bookmarkEnd w:id="1376"/>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ff. 9, 10, VP.</w:t>
      </w:r>
    </w:p>
    <w:p w:rsidR="0050129A" w:rsidRDefault="0050129A" w:rsidP="0050129A">
      <w:pPr>
        <w:pStyle w:val="TextoNormalSangraFrancesa"/>
      </w:pPr>
    </w:p>
    <w:p w:rsidR="0050129A" w:rsidRDefault="0050129A" w:rsidP="0050129A">
      <w:pPr>
        <w:pStyle w:val="TextoNormalSangraFrancesa"/>
      </w:pPr>
    </w:p>
    <w:p w:rsidR="0050129A" w:rsidRDefault="0050129A" w:rsidP="0050129A">
      <w:pPr>
        <w:pStyle w:val="TextoNormalNegritaCentrado"/>
      </w:pPr>
      <w:r>
        <w:t>V</w:t>
      </w:r>
    </w:p>
    <w:p w:rsidR="0050129A" w:rsidRDefault="0050129A" w:rsidP="0050129A">
      <w:pPr>
        <w:pStyle w:val="TextoNormalNegritaCentrado"/>
      </w:pPr>
    </w:p>
    <w:p w:rsidR="0050129A" w:rsidRDefault="0050129A" w:rsidP="0050129A">
      <w:pPr>
        <w:pStyle w:val="TextoNormalNegritaCentrado"/>
      </w:pPr>
    </w:p>
    <w:p w:rsidR="0050129A" w:rsidRDefault="0050129A" w:rsidP="0050129A">
      <w:pPr>
        <w:pStyle w:val="TextoNormalNegritaCentrado"/>
      </w:pPr>
    </w:p>
    <w:p w:rsidR="0050129A" w:rsidRPr="0050129A" w:rsidRDefault="0050129A" w:rsidP="0050129A">
      <w:pPr>
        <w:pStyle w:val="TextoNormalSangraFrancesa"/>
        <w:rPr>
          <w:rStyle w:val="TextoNormalCaracter"/>
        </w:rPr>
      </w:pPr>
      <w:bookmarkStart w:id="1377" w:name="DESCRIPTORALFABETICO497"/>
      <w:r w:rsidRPr="0050129A">
        <w:rPr>
          <w:rStyle w:val="TextoNormalNegritaCaracter"/>
        </w:rPr>
        <w:t>Valoración de la prueba</w:t>
      </w:r>
      <w:bookmarkEnd w:id="1377"/>
      <w:r w:rsidRPr="0050129A">
        <w:rPr>
          <w:rStyle w:val="TextoNormalCaracter"/>
        </w:rPr>
        <w:t xml:space="preserve">, Sentencia </w:t>
      </w:r>
      <w:hyperlink w:anchor="SENTENCIA_2008_29" w:history="1">
        <w:r w:rsidRPr="0050129A">
          <w:rPr>
            <w:rStyle w:val="TextoNormalCaracter"/>
          </w:rPr>
          <w:t>29/2008</w:t>
        </w:r>
      </w:hyperlink>
      <w:r w:rsidRPr="0050129A">
        <w:rPr>
          <w:rStyle w:val="TextoNormalCaracter"/>
        </w:rPr>
        <w:t>, ff. 4, 5.</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30" w:history="1">
        <w:r w:rsidRPr="0050129A">
          <w:rPr>
            <w:rStyle w:val="TextoNormalCaracter"/>
          </w:rPr>
          <w:t>30/2008</w:t>
        </w:r>
      </w:hyperlink>
      <w:r w:rsidRPr="0050129A">
        <w:rPr>
          <w:rStyle w:val="TextoNormalCaracter"/>
        </w:rPr>
        <w:t xml:space="preserve">; </w:t>
      </w:r>
      <w:hyperlink w:anchor="AUTO_2008_62" w:history="1">
        <w:r w:rsidRPr="0050129A">
          <w:rPr>
            <w:rStyle w:val="TextoNormalCaracter"/>
          </w:rPr>
          <w:t>62/2008</w:t>
        </w:r>
      </w:hyperlink>
      <w:r w:rsidRPr="0050129A">
        <w:rPr>
          <w:rStyle w:val="TextoNormalCaracter"/>
        </w:rPr>
        <w:t>.</w:t>
      </w:r>
    </w:p>
    <w:p w:rsidR="0050129A" w:rsidRPr="0050129A" w:rsidRDefault="0050129A" w:rsidP="0050129A">
      <w:pPr>
        <w:pStyle w:val="TextoNormalSangraFrancesa"/>
        <w:rPr>
          <w:rStyle w:val="TextoNormalCaracter"/>
        </w:rPr>
      </w:pPr>
      <w:bookmarkStart w:id="1378" w:name="DESCRIPTORALFABETICO493"/>
      <w:r w:rsidRPr="0050129A">
        <w:rPr>
          <w:rStyle w:val="TextoNormalNegritaCaracter"/>
        </w:rPr>
        <w:t>Valoración de los hechos probados</w:t>
      </w:r>
      <w:bookmarkEnd w:id="1378"/>
      <w:r w:rsidRPr="0050129A">
        <w:rPr>
          <w:rStyle w:val="TextoNormalCaracter"/>
        </w:rPr>
        <w:t xml:space="preserve">, Sentencia </w:t>
      </w:r>
      <w:hyperlink w:anchor="SENTENCIA_2008_29" w:history="1">
        <w:r w:rsidRPr="0050129A">
          <w:rPr>
            <w:rStyle w:val="TextoNormalCaracter"/>
          </w:rPr>
          <w:t>29/2008</w:t>
        </w:r>
      </w:hyperlink>
      <w:r w:rsidRPr="0050129A">
        <w:rPr>
          <w:rStyle w:val="TextoNormalCaracter"/>
        </w:rPr>
        <w:t>, f. 6.</w:t>
      </w:r>
    </w:p>
    <w:p w:rsidR="0050129A" w:rsidRPr="0050129A" w:rsidRDefault="0050129A" w:rsidP="0050129A">
      <w:pPr>
        <w:pStyle w:val="TextoNormalSangraFrancesa"/>
        <w:rPr>
          <w:rStyle w:val="TextoNormalCaracter"/>
        </w:rPr>
      </w:pPr>
      <w:bookmarkStart w:id="1379" w:name="DESCRIPTORALFABETICO494"/>
      <w:r w:rsidRPr="0050129A">
        <w:rPr>
          <w:rStyle w:val="TextoNormalNegritaCaracter"/>
        </w:rPr>
        <w:t>Valoración diversa de unos mismos hechos</w:t>
      </w:r>
      <w:bookmarkEnd w:id="1379"/>
      <w:r w:rsidRPr="0050129A">
        <w:rPr>
          <w:rStyle w:val="TextoNormalCaracter"/>
        </w:rPr>
        <w:t xml:space="preserve">, Sentencia </w:t>
      </w:r>
      <w:hyperlink w:anchor="SENTENCIA_2008_16" w:history="1">
        <w:r w:rsidRPr="0050129A">
          <w:rPr>
            <w:rStyle w:val="TextoNormalCaracter"/>
          </w:rPr>
          <w:t>16/2008</w:t>
        </w:r>
      </w:hyperlink>
      <w:r w:rsidRPr="0050129A">
        <w:rPr>
          <w:rStyle w:val="TextoNormalCaracter"/>
        </w:rPr>
        <w:t>, ff. 1, 2, 3, 4.</w:t>
      </w:r>
    </w:p>
    <w:p w:rsidR="0050129A" w:rsidRPr="0050129A" w:rsidRDefault="0050129A" w:rsidP="0050129A">
      <w:pPr>
        <w:pStyle w:val="TextoNormalSangraFrancesa"/>
        <w:rPr>
          <w:rStyle w:val="TextoNormalCaracter"/>
        </w:rPr>
      </w:pPr>
      <w:bookmarkStart w:id="1380" w:name="DESCRIPTORALFABETICO321"/>
      <w:r w:rsidRPr="0050129A">
        <w:rPr>
          <w:rStyle w:val="TextoNormalNegritaCaracter"/>
        </w:rPr>
        <w:t>Valores constitucionales</w:t>
      </w:r>
      <w:bookmarkEnd w:id="1380"/>
      <w:r w:rsidRPr="0050129A">
        <w:rPr>
          <w:rStyle w:val="TextoNormalCaracter"/>
        </w:rPr>
        <w:t xml:space="preserve">, Sentencia </w:t>
      </w:r>
      <w:hyperlink w:anchor="SENTENCIA_2008_12" w:history="1">
        <w:r w:rsidRPr="0050129A">
          <w:rPr>
            <w:rStyle w:val="TextoNormalCaracter"/>
          </w:rPr>
          <w:t>12/2008</w:t>
        </w:r>
      </w:hyperlink>
      <w:r w:rsidRPr="0050129A">
        <w:rPr>
          <w:rStyle w:val="TextoNormalCaracter"/>
        </w:rPr>
        <w:t>, f. 4.</w:t>
      </w:r>
    </w:p>
    <w:p w:rsidR="0050129A" w:rsidRPr="0050129A" w:rsidRDefault="0050129A" w:rsidP="0050129A">
      <w:pPr>
        <w:pStyle w:val="TextoNormalSangraFrancesa"/>
        <w:rPr>
          <w:rStyle w:val="TextoNormalCaracter"/>
        </w:rPr>
      </w:pPr>
      <w:bookmarkStart w:id="1381" w:name="DESCRIPTORALFABETICO267"/>
      <w:r w:rsidRPr="0050129A">
        <w:rPr>
          <w:rStyle w:val="TextoNormalNegritaCaracter"/>
        </w:rPr>
        <w:t>Vicepresidente del Tribunal Constitucional</w:t>
      </w:r>
      <w:bookmarkEnd w:id="1381"/>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 f. 18.</w:t>
      </w:r>
    </w:p>
    <w:p w:rsidR="0050129A" w:rsidRPr="0050129A" w:rsidRDefault="0050129A" w:rsidP="0050129A">
      <w:pPr>
        <w:pStyle w:val="TextoNormalSangraFrancesa"/>
        <w:rPr>
          <w:rStyle w:val="TextoNormalCaracter"/>
        </w:rPr>
      </w:pPr>
      <w:bookmarkStart w:id="1382" w:name="DESCRIPTORALFABETICO362"/>
      <w:r w:rsidRPr="0050129A">
        <w:rPr>
          <w:rStyle w:val="TextoNormalNegritaCaracter"/>
        </w:rPr>
        <w:t>Violencia doméstica y/o violencia de género</w:t>
      </w:r>
      <w:bookmarkEnd w:id="1382"/>
      <w:r w:rsidRPr="0050129A">
        <w:rPr>
          <w:rStyle w:val="TextoNormalCaracter"/>
        </w:rPr>
        <w:t xml:space="preserve">, Autos </w:t>
      </w:r>
      <w:hyperlink w:anchor="AUTO_2008_54" w:history="1">
        <w:r w:rsidRPr="0050129A">
          <w:rPr>
            <w:rStyle w:val="TextoNormalCaracter"/>
          </w:rPr>
          <w:t>54/2008</w:t>
        </w:r>
      </w:hyperlink>
      <w:r w:rsidRPr="0050129A">
        <w:rPr>
          <w:rStyle w:val="TextoNormalCaracter"/>
        </w:rPr>
        <w:t xml:space="preserve">; </w:t>
      </w:r>
      <w:hyperlink w:anchor="AUTO_2008_57" w:history="1">
        <w:r w:rsidRPr="0050129A">
          <w:rPr>
            <w:rStyle w:val="TextoNormalCaracter"/>
          </w:rPr>
          <w:t>57/2008</w:t>
        </w:r>
      </w:hyperlink>
      <w:r w:rsidRPr="0050129A">
        <w:rPr>
          <w:rStyle w:val="TextoNormalCaracter"/>
        </w:rPr>
        <w:t>.</w:t>
      </w:r>
    </w:p>
    <w:p w:rsidR="0050129A" w:rsidRPr="0050129A" w:rsidRDefault="0050129A" w:rsidP="0050129A">
      <w:pPr>
        <w:pStyle w:val="TextoNormalSangraFrancesa"/>
        <w:rPr>
          <w:rStyle w:val="TextoNormalCaracter"/>
        </w:rPr>
      </w:pPr>
      <w:bookmarkStart w:id="1383" w:name="DESCRIPTORALFABETICO251"/>
      <w:r w:rsidRPr="0050129A">
        <w:rPr>
          <w:rStyle w:val="TextoNormalNegritaCaracter"/>
        </w:rPr>
        <w:t>Voto particular, formulado uno</w:t>
      </w:r>
      <w:bookmarkEnd w:id="1383"/>
      <w:r w:rsidRPr="0050129A">
        <w:rPr>
          <w:rStyle w:val="TextoNormalCaracter"/>
        </w:rPr>
        <w:t xml:space="preserve">, Sentencias </w:t>
      </w:r>
      <w:hyperlink w:anchor="SENTENCIA_2008_8" w:history="1">
        <w:r w:rsidRPr="0050129A">
          <w:rPr>
            <w:rStyle w:val="TextoNormalCaracter"/>
          </w:rPr>
          <w:t>8/2008</w:t>
        </w:r>
      </w:hyperlink>
      <w:r w:rsidRPr="0050129A">
        <w:rPr>
          <w:rStyle w:val="TextoNormalCaracter"/>
        </w:rPr>
        <w:t xml:space="preserve">; </w:t>
      </w:r>
      <w:hyperlink w:anchor="SENTENCIA_2008_12" w:history="1">
        <w:r w:rsidRPr="0050129A">
          <w:rPr>
            <w:rStyle w:val="TextoNormalCaracter"/>
          </w:rPr>
          <w:t>12/2008</w:t>
        </w:r>
      </w:hyperlink>
      <w:r w:rsidRPr="0050129A">
        <w:rPr>
          <w:rStyle w:val="TextoNormalCaracter"/>
        </w:rPr>
        <w:t xml:space="preserve">; </w:t>
      </w:r>
      <w:hyperlink w:anchor="SENTENCIA_2008_26" w:history="1">
        <w:r w:rsidRPr="0050129A">
          <w:rPr>
            <w:rStyle w:val="TextoNormalCaracter"/>
          </w:rPr>
          <w:t>26/2008</w:t>
        </w:r>
      </w:hyperlink>
      <w:r w:rsidRPr="0050129A">
        <w:rPr>
          <w:rStyle w:val="TextoNormalCaracter"/>
        </w:rPr>
        <w:t xml:space="preserve">; </w:t>
      </w:r>
      <w:hyperlink w:anchor="SENTENCIA_2008_29" w:history="1">
        <w:r w:rsidRPr="0050129A">
          <w:rPr>
            <w:rStyle w:val="TextoNormalCaracter"/>
          </w:rPr>
          <w:t>29/2008</w:t>
        </w:r>
      </w:hyperlink>
      <w:r w:rsidRPr="0050129A">
        <w:rPr>
          <w:rStyle w:val="TextoNormalCaracter"/>
        </w:rPr>
        <w:t xml:space="preserve">; </w:t>
      </w:r>
      <w:hyperlink w:anchor="SENTENCIA_2008_43" w:history="1">
        <w:r w:rsidRPr="0050129A">
          <w:rPr>
            <w:rStyle w:val="TextoNormalCaracter"/>
          </w:rPr>
          <w:t>43/2008</w:t>
        </w:r>
      </w:hyperlink>
      <w:r w:rsidRPr="0050129A">
        <w:rPr>
          <w:rStyle w:val="TextoNormalCaracter"/>
        </w:rPr>
        <w:t xml:space="preserve">; </w:t>
      </w:r>
      <w:hyperlink w:anchor="SENTENCIA_2008_45" w:history="1">
        <w:r w:rsidRPr="0050129A">
          <w:rPr>
            <w:rStyle w:val="TextoNormalCaracter"/>
          </w:rPr>
          <w:t>45/2008</w:t>
        </w:r>
      </w:hyperlink>
      <w:r w:rsidRPr="0050129A">
        <w:rPr>
          <w:rStyle w:val="TextoNormalCaracter"/>
        </w:rPr>
        <w:t xml:space="preserve">; </w:t>
      </w:r>
      <w:hyperlink w:anchor="SENTENCIA_2008_47" w:history="1">
        <w:r w:rsidRPr="0050129A">
          <w:rPr>
            <w:rStyle w:val="TextoNormalCaracter"/>
          </w:rPr>
          <w:t>47/2008</w:t>
        </w:r>
      </w:hyperlink>
      <w:r w:rsidRPr="0050129A">
        <w:rPr>
          <w:rStyle w:val="TextoNormalCaracter"/>
        </w:rPr>
        <w:t xml:space="preserve">; </w:t>
      </w:r>
      <w:hyperlink w:anchor="SENTENCIA_2008_52" w:history="1">
        <w:r w:rsidRPr="0050129A">
          <w:rPr>
            <w:rStyle w:val="TextoNormalCaracter"/>
          </w:rPr>
          <w:t>52/2008</w:t>
        </w:r>
      </w:hyperlink>
      <w:r w:rsidRPr="0050129A">
        <w:rPr>
          <w:rStyle w:val="TextoNormalCaracter"/>
        </w:rPr>
        <w:t xml:space="preserve">; </w:t>
      </w:r>
      <w:hyperlink w:anchor="SENTENCIA_2008_56" w:history="1">
        <w:r w:rsidRPr="0050129A">
          <w:rPr>
            <w:rStyle w:val="TextoNormalCaracter"/>
          </w:rPr>
          <w:t>56/2008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71" w:history="1">
        <w:r w:rsidRPr="0050129A">
          <w:rPr>
            <w:rStyle w:val="TextoNormalCaracter"/>
          </w:rPr>
          <w:t>71/2008</w:t>
        </w:r>
      </w:hyperlink>
      <w:r w:rsidRPr="0050129A">
        <w:rPr>
          <w:rStyle w:val="TextoNormalCaracter"/>
        </w:rPr>
        <w:t xml:space="preserve">; </w:t>
      </w:r>
      <w:hyperlink w:anchor="AUTO_2008_80" w:history="1">
        <w:r w:rsidRPr="0050129A">
          <w:rPr>
            <w:rStyle w:val="TextoNormalCaracter"/>
          </w:rPr>
          <w:t>80/2008</w:t>
        </w:r>
      </w:hyperlink>
      <w:r w:rsidRPr="0050129A">
        <w:rPr>
          <w:rStyle w:val="TextoNormalCaracter"/>
        </w:rPr>
        <w:t xml:space="preserve">; </w:t>
      </w:r>
      <w:hyperlink w:anchor="AUTO_2008_88" w:history="1">
        <w:r w:rsidRPr="0050129A">
          <w:rPr>
            <w:rStyle w:val="TextoNormalCaracter"/>
          </w:rPr>
          <w:t>88/2008</w:t>
        </w:r>
      </w:hyperlink>
      <w:r w:rsidRPr="0050129A">
        <w:rPr>
          <w:rStyle w:val="TextoNormalCaracter"/>
        </w:rPr>
        <w:t xml:space="preserve">; </w:t>
      </w:r>
      <w:hyperlink w:anchor="AUTO_2008_89" w:history="1">
        <w:r w:rsidRPr="0050129A">
          <w:rPr>
            <w:rStyle w:val="TextoNormalCaracter"/>
          </w:rPr>
          <w:t>89/2008</w:t>
        </w:r>
      </w:hyperlink>
      <w:r w:rsidRPr="0050129A">
        <w:rPr>
          <w:rStyle w:val="TextoNormalCaracter"/>
        </w:rPr>
        <w:t xml:space="preserve">; </w:t>
      </w:r>
      <w:hyperlink w:anchor="AUTO_2008_90" w:history="1">
        <w:r w:rsidRPr="0050129A">
          <w:rPr>
            <w:rStyle w:val="TextoNormalCaracter"/>
          </w:rPr>
          <w:t>90/2008</w:t>
        </w:r>
      </w:hyperlink>
      <w:r w:rsidRPr="0050129A">
        <w:rPr>
          <w:rStyle w:val="TextoNormalCaracter"/>
        </w:rPr>
        <w:t xml:space="preserve">; </w:t>
      </w:r>
      <w:hyperlink w:anchor="AUTO_2008_100" w:history="1">
        <w:r w:rsidRPr="0050129A">
          <w:rPr>
            <w:rStyle w:val="TextoNormalCaracter"/>
          </w:rPr>
          <w:t>100/2008</w:t>
        </w:r>
      </w:hyperlink>
      <w:r w:rsidRPr="0050129A">
        <w:rPr>
          <w:rStyle w:val="TextoNormalCaracter"/>
        </w:rPr>
        <w:t>.</w:t>
      </w:r>
    </w:p>
    <w:p w:rsidR="0050129A" w:rsidRPr="0050129A" w:rsidRDefault="0050129A" w:rsidP="0050129A">
      <w:pPr>
        <w:pStyle w:val="TextoNormalSangraFrancesa"/>
        <w:rPr>
          <w:rStyle w:val="TextoNormalCaracter"/>
        </w:rPr>
      </w:pPr>
      <w:bookmarkStart w:id="1384" w:name="DESCRIPTORALFABETICO252"/>
      <w:r w:rsidRPr="0050129A">
        <w:rPr>
          <w:rStyle w:val="TextoNormalNegritaCaracter"/>
        </w:rPr>
        <w:t xml:space="preserve">Votos particulares, formulados dos </w:t>
      </w:r>
      <w:bookmarkEnd w:id="1384"/>
      <w:r w:rsidRPr="0050129A">
        <w:rPr>
          <w:rStyle w:val="TextoNormalCaracter"/>
        </w:rPr>
        <w:t xml:space="preserve">, Auto </w:t>
      </w:r>
      <w:hyperlink w:anchor="AUTO_2008_81" w:history="1">
        <w:r w:rsidRPr="0050129A">
          <w:rPr>
            <w:rStyle w:val="TextoNormalCaracter"/>
          </w:rPr>
          <w:t>81/2008</w:t>
        </w:r>
      </w:hyperlink>
      <w:r w:rsidRPr="0050129A">
        <w:rPr>
          <w:rStyle w:val="TextoNormalCaracter"/>
        </w:rPr>
        <w:t>.</w:t>
      </w:r>
    </w:p>
    <w:p w:rsidR="0050129A" w:rsidRPr="0050129A" w:rsidRDefault="0050129A" w:rsidP="0050129A">
      <w:pPr>
        <w:pStyle w:val="TextoNormalSangraFrancesa"/>
        <w:rPr>
          <w:rStyle w:val="TextoNormalCaracter"/>
        </w:rPr>
      </w:pPr>
      <w:bookmarkStart w:id="1385" w:name="DESCRIPTORALFABETICO253"/>
      <w:r w:rsidRPr="0050129A">
        <w:rPr>
          <w:rStyle w:val="TextoNormalNegritaCaracter"/>
        </w:rPr>
        <w:t>Votos particulares, formulados tres</w:t>
      </w:r>
      <w:bookmarkEnd w:id="1385"/>
      <w:r w:rsidRPr="0050129A">
        <w:rPr>
          <w:rStyle w:val="TextoNormalCaracter"/>
        </w:rPr>
        <w:t xml:space="preserve">, Sentencia </w:t>
      </w:r>
      <w:hyperlink w:anchor="SENTENCIA_2008_49" w:history="1">
        <w:r w:rsidRPr="0050129A">
          <w:rPr>
            <w:rStyle w:val="TextoNormalCaracter"/>
          </w:rPr>
          <w:t>49/2008</w:t>
        </w:r>
      </w:hyperlink>
      <w:r w:rsidRPr="0050129A">
        <w:rPr>
          <w:rStyle w:val="TextoNormalCaracter"/>
        </w:rPr>
        <w:t>.</w:t>
      </w:r>
    </w:p>
    <w:p w:rsidR="0050129A" w:rsidRPr="0050129A" w:rsidRDefault="0050129A" w:rsidP="0050129A">
      <w:pPr>
        <w:pStyle w:val="TextoNormalSangraFrancesa"/>
        <w:rPr>
          <w:rStyle w:val="TextoNormalCaracter"/>
        </w:rPr>
      </w:pPr>
      <w:r w:rsidRPr="0050129A">
        <w:rPr>
          <w:rStyle w:val="TextoNormalCaracter"/>
        </w:rPr>
        <w:t xml:space="preserve">    Autos </w:t>
      </w:r>
      <w:hyperlink w:anchor="AUTO_2008_12" w:history="1">
        <w:r w:rsidRPr="0050129A">
          <w:rPr>
            <w:rStyle w:val="TextoNormalCaracter"/>
          </w:rPr>
          <w:t>12/2008</w:t>
        </w:r>
      </w:hyperlink>
      <w:r w:rsidRPr="0050129A">
        <w:rPr>
          <w:rStyle w:val="TextoNormalCaracter"/>
        </w:rPr>
        <w:t xml:space="preserve">; </w:t>
      </w:r>
      <w:hyperlink w:anchor="AUTO_2008_20" w:history="1">
        <w:r w:rsidRPr="0050129A">
          <w:rPr>
            <w:rStyle w:val="TextoNormalCaracter"/>
          </w:rPr>
          <w:t>20/2008</w:t>
        </w:r>
      </w:hyperlink>
      <w:r w:rsidRPr="0050129A">
        <w:rPr>
          <w:rStyle w:val="TextoNormalCaracter"/>
        </w:rPr>
        <w:t>.</w:t>
      </w:r>
    </w:p>
    <w:p w:rsidR="0050129A" w:rsidRPr="0050129A" w:rsidRDefault="0050129A" w:rsidP="0050129A">
      <w:pPr>
        <w:pStyle w:val="TextoNormalSangraFrancesa"/>
        <w:rPr>
          <w:rStyle w:val="TextoNormalCaracter"/>
        </w:rPr>
      </w:pPr>
      <w:bookmarkStart w:id="1386" w:name="DESCRIPTORALFABETICO150"/>
      <w:r w:rsidRPr="0050129A">
        <w:rPr>
          <w:rStyle w:val="TextoNormalNegritaCaracter"/>
        </w:rPr>
        <w:t>Vulneración por aplicación directa de una ley</w:t>
      </w:r>
      <w:bookmarkEnd w:id="1386"/>
      <w:r w:rsidRPr="0050129A">
        <w:rPr>
          <w:rStyle w:val="TextoNormalCaracter"/>
        </w:rPr>
        <w:t xml:space="preserve">, Sentencia </w:t>
      </w:r>
      <w:hyperlink w:anchor="SENTENCIA_2008_46" w:history="1">
        <w:r w:rsidRPr="0050129A">
          <w:rPr>
            <w:rStyle w:val="TextoNormalCaracter"/>
          </w:rPr>
          <w:t>46/2008</w:t>
        </w:r>
      </w:hyperlink>
      <w:r w:rsidRPr="0050129A">
        <w:rPr>
          <w:rStyle w:val="TextoNormalCaracter"/>
        </w:rPr>
        <w:t>, f. 2.</w:t>
      </w:r>
    </w:p>
    <w:p w:rsidR="0050129A" w:rsidRDefault="0050129A">
      <w:pPr>
        <w:spacing w:after="160" w:line="259" w:lineRule="auto"/>
        <w:rPr>
          <w:rFonts w:ascii="Times New Roman" w:eastAsia="Times New Roman" w:hAnsi="Times New Roman" w:cs="Times New Roman"/>
          <w:sz w:val="24"/>
          <w:szCs w:val="24"/>
          <w:lang w:eastAsia="es-ES"/>
        </w:rPr>
      </w:pPr>
      <w:r>
        <w:br w:type="page"/>
      </w:r>
    </w:p>
    <w:p w:rsidR="0050129A" w:rsidRDefault="0050129A" w:rsidP="0050129A">
      <w:pPr>
        <w:pStyle w:val="TextoNormalSangraFrancesa"/>
      </w:pPr>
    </w:p>
    <w:p w:rsidR="00E26446" w:rsidRDefault="00E26446" w:rsidP="00E26446">
      <w:pPr>
        <w:pStyle w:val="TextoNormalSangraFrancesa"/>
      </w:pPr>
    </w:p>
    <w:p w:rsidR="00E26446" w:rsidRDefault="00E26446" w:rsidP="00E26446">
      <w:pPr>
        <w:pStyle w:val="TextoNormalSangraFrancesa"/>
      </w:pPr>
    </w:p>
    <w:p w:rsidR="00E26446" w:rsidRDefault="00E26446" w:rsidP="00E26446">
      <w:pPr>
        <w:pStyle w:val="TextoNormalSangraFrancesa"/>
      </w:pPr>
    </w:p>
    <w:p w:rsidR="00E26446" w:rsidRDefault="00E26446" w:rsidP="00E26446">
      <w:pPr>
        <w:pStyle w:val="TextoNormalSangraFrancesa"/>
      </w:pPr>
    </w:p>
    <w:p w:rsidR="00E26446" w:rsidRDefault="00E26446" w:rsidP="00E26446">
      <w:pPr>
        <w:pStyle w:val="TextoNormalSangraFrancesa"/>
      </w:pPr>
    </w:p>
    <w:p w:rsidR="00E26446" w:rsidRDefault="00E26446" w:rsidP="00E26446">
      <w:pPr>
        <w:pStyle w:val="TextoNormalSangraFrancesa"/>
      </w:pPr>
    </w:p>
    <w:p w:rsidR="00E26446" w:rsidRDefault="00E26446" w:rsidP="00E26446">
      <w:pPr>
        <w:pStyle w:val="TextoNormalSangraFrancesa"/>
      </w:pPr>
    </w:p>
    <w:p w:rsidR="00E26446" w:rsidRDefault="00E26446" w:rsidP="00E26446">
      <w:pPr>
        <w:pStyle w:val="Ttulondice"/>
      </w:pPr>
      <w:bookmarkStart w:id="1387" w:name="ACRONIMOS"/>
      <w:r>
        <w:t>7. ABREVIATURAS Y ACRÓNIMOS</w:t>
      </w:r>
    </w:p>
    <w:bookmarkEnd w:id="1387"/>
    <w:p w:rsidR="00E26446" w:rsidRDefault="00E26446" w:rsidP="00E26446">
      <w:pPr>
        <w:pStyle w:val="Ttulondice"/>
      </w:pPr>
    </w:p>
    <w:p w:rsidR="00E26446" w:rsidRDefault="00E26446" w:rsidP="00E26446">
      <w:pPr>
        <w:pStyle w:val="Ttulondice"/>
      </w:pPr>
    </w:p>
    <w:p w:rsidR="00E26446" w:rsidRDefault="00E26446" w:rsidP="00E26446">
      <w:pPr>
        <w:pStyle w:val="Ttulondice"/>
      </w:pPr>
    </w:p>
    <w:p w:rsidR="00E26446" w:rsidRDefault="00E26446" w:rsidP="00E26446">
      <w:pPr>
        <w:pStyle w:val="Ttulondice"/>
      </w:pPr>
    </w:p>
    <w:p w:rsidR="00E26446" w:rsidRDefault="00E26446" w:rsidP="00E26446">
      <w:pPr>
        <w:pStyle w:val="TextoAbreviaturas"/>
      </w:pPr>
      <w:r>
        <w:t>ATC</w:t>
      </w:r>
      <w:r>
        <w:tab/>
        <w:t>Auto del Tribunal Constitucional</w:t>
      </w:r>
    </w:p>
    <w:p w:rsidR="00E26446" w:rsidRDefault="00E26446" w:rsidP="00E26446">
      <w:pPr>
        <w:pStyle w:val="TextoAbreviaturas"/>
      </w:pPr>
      <w:r>
        <w:t>AATC</w:t>
      </w:r>
      <w:r>
        <w:tab/>
        <w:t>Autos del Tribunal Constitucional</w:t>
      </w:r>
    </w:p>
    <w:p w:rsidR="00E26446" w:rsidRDefault="00E26446" w:rsidP="00E26446">
      <w:pPr>
        <w:pStyle w:val="TextoAbreviaturas"/>
      </w:pPr>
      <w:r>
        <w:t>BOE</w:t>
      </w:r>
      <w:r>
        <w:tab/>
        <w:t>Boletín Oficial del Estado</w:t>
      </w:r>
    </w:p>
    <w:p w:rsidR="00E26446" w:rsidRDefault="00E26446" w:rsidP="00E26446">
      <w:pPr>
        <w:pStyle w:val="TextoAbreviaturas"/>
      </w:pPr>
      <w:r>
        <w:t>CC</w:t>
      </w:r>
      <w:r>
        <w:tab/>
        <w:t>Código civil</w:t>
      </w:r>
    </w:p>
    <w:p w:rsidR="00E26446" w:rsidRDefault="00E26446" w:rsidP="00E26446">
      <w:pPr>
        <w:pStyle w:val="TextoAbreviaturas"/>
      </w:pPr>
      <w:r>
        <w:t>CCom</w:t>
      </w:r>
      <w:r>
        <w:tab/>
        <w:t>Código de comercio</w:t>
      </w:r>
    </w:p>
    <w:p w:rsidR="00E26446" w:rsidRDefault="00E26446" w:rsidP="00E26446">
      <w:pPr>
        <w:pStyle w:val="TextoAbreviaturas"/>
      </w:pPr>
      <w:r>
        <w:t>CCOO</w:t>
      </w:r>
      <w:r>
        <w:tab/>
        <w:t>Comisiones Obreras</w:t>
      </w:r>
    </w:p>
    <w:p w:rsidR="00E26446" w:rsidRDefault="00E26446" w:rsidP="00E26446">
      <w:pPr>
        <w:pStyle w:val="TextoAbreviaturas"/>
      </w:pPr>
      <w:r>
        <w:t>CD</w:t>
      </w:r>
      <w:r>
        <w:tab/>
        <w:t>Congreso de los Diputados</w:t>
      </w:r>
    </w:p>
    <w:p w:rsidR="00E26446" w:rsidRDefault="00E26446" w:rsidP="00E26446">
      <w:pPr>
        <w:pStyle w:val="TextoAbreviaturas"/>
      </w:pPr>
      <w:r>
        <w:t>CE</w:t>
      </w:r>
      <w:r>
        <w:tab/>
        <w:t>Constitución española</w:t>
      </w:r>
    </w:p>
    <w:p w:rsidR="00E26446" w:rsidRDefault="00E26446" w:rsidP="00E26446">
      <w:pPr>
        <w:pStyle w:val="TextoAbreviaturas"/>
      </w:pPr>
      <w:r>
        <w:t>CEDH</w:t>
      </w:r>
      <w:r>
        <w:tab/>
        <w:t>Convenio europeo para la protección de los derechos humanos y de las libertades fundamentales</w:t>
      </w:r>
    </w:p>
    <w:p w:rsidR="00E26446" w:rsidRDefault="00E26446" w:rsidP="00E26446">
      <w:pPr>
        <w:pStyle w:val="TextoAbreviaturas"/>
      </w:pPr>
      <w:r>
        <w:t>CP</w:t>
      </w:r>
      <w:r>
        <w:tab/>
        <w:t>Código penal</w:t>
      </w:r>
    </w:p>
    <w:p w:rsidR="00E26446" w:rsidRDefault="00E26446" w:rsidP="00E26446">
      <w:pPr>
        <w:pStyle w:val="TextoAbreviaturas"/>
      </w:pPr>
      <w:r>
        <w:t>DOGV</w:t>
      </w:r>
      <w:r>
        <w:tab/>
        <w:t>Diario Oficial de la Generalidad Valenciana</w:t>
      </w:r>
    </w:p>
    <w:p w:rsidR="00E26446" w:rsidRDefault="00E26446" w:rsidP="00E26446">
      <w:pPr>
        <w:pStyle w:val="TextoAbreviaturas"/>
      </w:pPr>
      <w:r>
        <w:t>EAG</w:t>
      </w:r>
      <w:r>
        <w:tab/>
        <w:t>Estatuto de Autonomía para Galicia</w:t>
      </w:r>
    </w:p>
    <w:p w:rsidR="00E26446" w:rsidRDefault="00E26446" w:rsidP="00E26446">
      <w:pPr>
        <w:pStyle w:val="TextoAbreviaturas"/>
      </w:pPr>
      <w:r>
        <w:t>ESO</w:t>
      </w:r>
      <w:r>
        <w:tab/>
        <w:t>Enseñanza Secundaria Obligatoria</w:t>
      </w:r>
    </w:p>
    <w:p w:rsidR="00E26446" w:rsidRDefault="00E26446" w:rsidP="00E26446">
      <w:pPr>
        <w:pStyle w:val="TextoAbreviaturas"/>
      </w:pPr>
      <w:r>
        <w:t>ETA</w:t>
      </w:r>
      <w:r>
        <w:tab/>
        <w:t>Euskadi Ta Askatasuna</w:t>
      </w:r>
    </w:p>
    <w:p w:rsidR="00E26446" w:rsidRDefault="00E26446" w:rsidP="00E26446">
      <w:pPr>
        <w:pStyle w:val="TextoAbreviaturas"/>
      </w:pPr>
      <w:r>
        <w:t>FJ</w:t>
      </w:r>
      <w:r>
        <w:tab/>
        <w:t>Fundamento jurídico</w:t>
      </w:r>
    </w:p>
    <w:p w:rsidR="00E26446" w:rsidRDefault="00E26446" w:rsidP="00E26446">
      <w:pPr>
        <w:pStyle w:val="TextoAbreviaturas"/>
      </w:pPr>
      <w:r>
        <w:t>FFJJ</w:t>
      </w:r>
      <w:r>
        <w:tab/>
        <w:t>Fundamentos jurídicos</w:t>
      </w:r>
    </w:p>
    <w:p w:rsidR="00E26446" w:rsidRDefault="00E26446" w:rsidP="00E26446">
      <w:pPr>
        <w:pStyle w:val="TextoAbreviaturas"/>
      </w:pPr>
      <w:r>
        <w:t>FOGASA</w:t>
      </w:r>
      <w:r>
        <w:tab/>
        <w:t>Fondo de Garantía Salarial</w:t>
      </w:r>
    </w:p>
    <w:p w:rsidR="00E26446" w:rsidRDefault="00E26446" w:rsidP="00E26446">
      <w:pPr>
        <w:pStyle w:val="TextoAbreviaturas"/>
      </w:pPr>
      <w:r>
        <w:t>IAE</w:t>
      </w:r>
      <w:r>
        <w:tab/>
        <w:t>Impuesto sobre actividades económicas</w:t>
      </w:r>
    </w:p>
    <w:p w:rsidR="00E26446" w:rsidRDefault="00E26446" w:rsidP="00E26446">
      <w:pPr>
        <w:pStyle w:val="TextoAbreviaturas"/>
      </w:pPr>
      <w:r>
        <w:t>IBI</w:t>
      </w:r>
      <w:r>
        <w:tab/>
        <w:t>Impuesto sobre bienes inmuebles</w:t>
      </w:r>
    </w:p>
    <w:p w:rsidR="00E26446" w:rsidRDefault="00E26446" w:rsidP="00E26446">
      <w:pPr>
        <w:pStyle w:val="TextoAbreviaturas"/>
      </w:pPr>
      <w:r>
        <w:t>INAEM</w:t>
      </w:r>
      <w:r>
        <w:tab/>
        <w:t>Instituto Nacional de las Artes Escénicas y de la Música</w:t>
      </w:r>
    </w:p>
    <w:p w:rsidR="00E26446" w:rsidRDefault="00E26446" w:rsidP="00E26446">
      <w:pPr>
        <w:pStyle w:val="TextoAbreviaturas"/>
      </w:pPr>
      <w:r>
        <w:t>INSS</w:t>
      </w:r>
      <w:r>
        <w:tab/>
        <w:t>Instituto Nacional de la Seguridad Social</w:t>
      </w:r>
    </w:p>
    <w:p w:rsidR="00E26446" w:rsidRDefault="00E26446" w:rsidP="00E26446">
      <w:pPr>
        <w:pStyle w:val="TextoAbreviaturas"/>
      </w:pPr>
      <w:r>
        <w:t>IRPF</w:t>
      </w:r>
      <w:r>
        <w:tab/>
        <w:t>Impuesto sobre la renta de las personas físicas</w:t>
      </w:r>
    </w:p>
    <w:p w:rsidR="00E26446" w:rsidRDefault="00E26446" w:rsidP="00E26446">
      <w:pPr>
        <w:pStyle w:val="TextoAbreviaturas"/>
      </w:pPr>
      <w:r>
        <w:t>IVA</w:t>
      </w:r>
      <w:r>
        <w:tab/>
        <w:t>Impuesto sobre el valor añadido</w:t>
      </w:r>
    </w:p>
    <w:p w:rsidR="00E26446" w:rsidRDefault="00E26446" w:rsidP="00E26446">
      <w:pPr>
        <w:pStyle w:val="TextoAbreviaturas"/>
      </w:pPr>
      <w:r>
        <w:t>LAJG</w:t>
      </w:r>
      <w:r>
        <w:tab/>
        <w:t>Ley de asistencia jurídica gratuita</w:t>
      </w:r>
    </w:p>
    <w:p w:rsidR="00E26446" w:rsidRDefault="00E26446" w:rsidP="00E26446">
      <w:pPr>
        <w:pStyle w:val="TextoAbreviaturas"/>
      </w:pPr>
      <w:r>
        <w:t>LBRL</w:t>
      </w:r>
      <w:r>
        <w:tab/>
        <w:t>Ley reguladora de las bases de régimen local</w:t>
      </w:r>
    </w:p>
    <w:p w:rsidR="00E26446" w:rsidRDefault="00E26446" w:rsidP="00E26446">
      <w:pPr>
        <w:pStyle w:val="TextoAbreviaturas"/>
      </w:pPr>
      <w:r>
        <w:t>LEC</w:t>
      </w:r>
      <w:r>
        <w:tab/>
        <w:t>Ley de enjuiciamiento civil</w:t>
      </w:r>
    </w:p>
    <w:p w:rsidR="00E26446" w:rsidRDefault="00E26446" w:rsidP="00E26446">
      <w:pPr>
        <w:pStyle w:val="TextoAbreviaturas"/>
      </w:pPr>
      <w:r>
        <w:t>LECrim</w:t>
      </w:r>
      <w:r>
        <w:tab/>
        <w:t>Ley de enjuiciamiento criminal</w:t>
      </w:r>
    </w:p>
    <w:p w:rsidR="00E26446" w:rsidRDefault="00E26446" w:rsidP="00E26446">
      <w:pPr>
        <w:pStyle w:val="TextoAbreviaturas"/>
      </w:pPr>
      <w:r>
        <w:t>LET</w:t>
      </w:r>
      <w:r>
        <w:tab/>
        <w:t>Ley del estatuto de los trabajadores</w:t>
      </w:r>
    </w:p>
    <w:p w:rsidR="00E26446" w:rsidRDefault="00E26446" w:rsidP="00E26446">
      <w:pPr>
        <w:pStyle w:val="TextoAbreviaturas"/>
      </w:pPr>
      <w:r>
        <w:t>LGT</w:t>
      </w:r>
      <w:r>
        <w:tab/>
        <w:t>Ley general tributaria</w:t>
      </w:r>
    </w:p>
    <w:p w:rsidR="00E26446" w:rsidRDefault="00E26446" w:rsidP="00E26446">
      <w:pPr>
        <w:pStyle w:val="TextoAbreviaturas"/>
      </w:pPr>
      <w:r>
        <w:t>LH</w:t>
      </w:r>
      <w:r>
        <w:tab/>
        <w:t>Ley hipotecaria</w:t>
      </w:r>
    </w:p>
    <w:p w:rsidR="00E26446" w:rsidRDefault="00E26446" w:rsidP="00E26446">
      <w:pPr>
        <w:pStyle w:val="TextoAbreviaturas"/>
      </w:pPr>
      <w:r>
        <w:lastRenderedPageBreak/>
        <w:t>LITP</w:t>
      </w:r>
      <w:r>
        <w:tab/>
        <w:t>Ley del impuesto sobre transmisiones patrimoniales y actos jurídicos documentados</w:t>
      </w:r>
    </w:p>
    <w:p w:rsidR="00E26446" w:rsidRDefault="00E26446" w:rsidP="00E26446">
      <w:pPr>
        <w:pStyle w:val="TextoAbreviaturas"/>
      </w:pPr>
      <w:r>
        <w:t>LJCA</w:t>
      </w:r>
      <w:r>
        <w:tab/>
        <w:t>Ley reguladora de la jurisdicción contencioso-administrativa</w:t>
      </w:r>
    </w:p>
    <w:p w:rsidR="00E26446" w:rsidRDefault="00E26446" w:rsidP="00E26446">
      <w:pPr>
        <w:pStyle w:val="TextoAbreviaturas"/>
      </w:pPr>
      <w:r>
        <w:t>LOFCA</w:t>
      </w:r>
      <w:r>
        <w:tab/>
        <w:t>Ley Orgánica de financiación de las Comunidades Autónomas</w:t>
      </w:r>
    </w:p>
    <w:p w:rsidR="00E26446" w:rsidRDefault="00E26446" w:rsidP="00E26446">
      <w:pPr>
        <w:pStyle w:val="TextoAbreviaturas"/>
      </w:pPr>
      <w:r>
        <w:t>LOHC</w:t>
      </w:r>
      <w:r>
        <w:tab/>
        <w:t>Ley Orgánica de regulación del procedimiento de habeas corpus</w:t>
      </w:r>
    </w:p>
    <w:p w:rsidR="00E26446" w:rsidRDefault="00E26446" w:rsidP="00E26446">
      <w:pPr>
        <w:pStyle w:val="TextoAbreviaturas"/>
      </w:pPr>
      <w:r>
        <w:t>LOIMH</w:t>
      </w:r>
      <w:r>
        <w:tab/>
        <w:t>Ley Orgánica para la igualdad efectiva de mujeres y hombres</w:t>
      </w:r>
    </w:p>
    <w:p w:rsidR="00E26446" w:rsidRDefault="00E26446" w:rsidP="00E26446">
      <w:pPr>
        <w:pStyle w:val="TextoAbreviaturas"/>
      </w:pPr>
      <w:r>
        <w:t>LOPJ</w:t>
      </w:r>
      <w:r>
        <w:tab/>
        <w:t>Ley Orgánica del Poder Judicial</w:t>
      </w:r>
    </w:p>
    <w:p w:rsidR="00E26446" w:rsidRDefault="00E26446" w:rsidP="00E26446">
      <w:pPr>
        <w:pStyle w:val="TextoAbreviaturas"/>
      </w:pPr>
      <w:r>
        <w:t>LOPP</w:t>
      </w:r>
      <w:r>
        <w:tab/>
        <w:t>Ley Orgánica de partidos políticos</w:t>
      </w:r>
    </w:p>
    <w:p w:rsidR="00E26446" w:rsidRDefault="00E26446" w:rsidP="00E26446">
      <w:pPr>
        <w:pStyle w:val="TextoAbreviaturas"/>
      </w:pPr>
      <w:r>
        <w:t>LORCA</w:t>
      </w:r>
      <w:r>
        <w:tab/>
        <w:t>Ley de órganos rectores de las cajas de ahorro</w:t>
      </w:r>
    </w:p>
    <w:p w:rsidR="00E26446" w:rsidRDefault="00E26446" w:rsidP="00E26446">
      <w:pPr>
        <w:pStyle w:val="TextoAbreviaturas"/>
      </w:pPr>
      <w:r>
        <w:t>LOREG</w:t>
      </w:r>
      <w:r>
        <w:tab/>
        <w:t>Ley Orgánica del régimen electoral general</w:t>
      </w:r>
    </w:p>
    <w:p w:rsidR="00E26446" w:rsidRDefault="00E26446" w:rsidP="00E26446">
      <w:pPr>
        <w:pStyle w:val="TextoAbreviaturas"/>
      </w:pPr>
      <w:r>
        <w:t>LOTC</w:t>
      </w:r>
      <w:r>
        <w:tab/>
        <w:t>Ley Orgánica del Tribunal Constitucional</w:t>
      </w:r>
    </w:p>
    <w:p w:rsidR="00E26446" w:rsidRDefault="00E26446" w:rsidP="00E26446">
      <w:pPr>
        <w:pStyle w:val="TextoAbreviaturas"/>
      </w:pPr>
      <w:r>
        <w:t>LPC</w:t>
      </w:r>
      <w:r>
        <w:tab/>
        <w:t>Ley de régimen jurídico de las Administraciones públicas y del procedimiento administrativo común</w:t>
      </w:r>
    </w:p>
    <w:p w:rsidR="00E26446" w:rsidRDefault="00E26446" w:rsidP="00E26446">
      <w:pPr>
        <w:pStyle w:val="TextoAbreviaturas"/>
      </w:pPr>
      <w:r>
        <w:t>LPL</w:t>
      </w:r>
      <w:r>
        <w:tab/>
        <w:t>Ley de procedimiento laboral</w:t>
      </w:r>
    </w:p>
    <w:p w:rsidR="00E26446" w:rsidRDefault="00E26446" w:rsidP="00E26446">
      <w:pPr>
        <w:pStyle w:val="TextoAbreviaturas"/>
      </w:pPr>
      <w:r>
        <w:t>LRC</w:t>
      </w:r>
      <w:r>
        <w:tab/>
        <w:t>Ley sobre responsabilidad civil y seguro en la circulación de vehículos a motor (Decreto 632/1968, de 21 de marzo, redactado por la Ley 30/1995, de 8 de noviembre)</w:t>
      </w:r>
    </w:p>
    <w:p w:rsidR="00E26446" w:rsidRDefault="00E26446" w:rsidP="00E26446">
      <w:pPr>
        <w:pStyle w:val="TextoAbreviaturas"/>
      </w:pPr>
      <w:r>
        <w:t>LRL</w:t>
      </w:r>
      <w:r>
        <w:tab/>
        <w:t>Ley de régimen local (Ley de 1955; texto refundido de 1986)</w:t>
      </w:r>
    </w:p>
    <w:p w:rsidR="00E26446" w:rsidRDefault="00E26446" w:rsidP="00E26446">
      <w:pPr>
        <w:pStyle w:val="TextoAbreviaturas"/>
      </w:pPr>
      <w:r>
        <w:t>LSV</w:t>
      </w:r>
      <w:r>
        <w:tab/>
        <w:t>Ley sobre tráfico, circulación de vehículos a motor y seguridad vial</w:t>
      </w:r>
    </w:p>
    <w:p w:rsidR="00E26446" w:rsidRDefault="00E26446" w:rsidP="00E26446">
      <w:pPr>
        <w:pStyle w:val="TextoAbreviaturas"/>
      </w:pPr>
      <w:r>
        <w:t>ONCE</w:t>
      </w:r>
      <w:r>
        <w:tab/>
        <w:t>Organización Nacional de Ciegos Españoles</w:t>
      </w:r>
    </w:p>
    <w:p w:rsidR="00E26446" w:rsidRDefault="00E26446" w:rsidP="00E26446">
      <w:pPr>
        <w:pStyle w:val="TextoAbreviaturas"/>
      </w:pPr>
      <w:r>
        <w:t>ONU</w:t>
      </w:r>
      <w:r>
        <w:tab/>
        <w:t>Organización de Naciones Unidas</w:t>
      </w:r>
    </w:p>
    <w:p w:rsidR="00E26446" w:rsidRDefault="00E26446" w:rsidP="00E26446">
      <w:pPr>
        <w:pStyle w:val="TextoAbreviaturas"/>
      </w:pPr>
      <w:r>
        <w:t>PIDCP</w:t>
      </w:r>
      <w:r>
        <w:tab/>
        <w:t>Pacto internacional de derechos civiles y políticos</w:t>
      </w:r>
    </w:p>
    <w:p w:rsidR="00E26446" w:rsidRDefault="00E26446" w:rsidP="00E26446">
      <w:pPr>
        <w:pStyle w:val="TextoAbreviaturas"/>
      </w:pPr>
      <w:r>
        <w:t>PP</w:t>
      </w:r>
      <w:r>
        <w:tab/>
        <w:t>Partido Popular</w:t>
      </w:r>
    </w:p>
    <w:p w:rsidR="00E26446" w:rsidRDefault="00E26446" w:rsidP="00E26446">
      <w:pPr>
        <w:pStyle w:val="TextoAbreviaturas"/>
      </w:pPr>
      <w:r>
        <w:t>PSOE</w:t>
      </w:r>
      <w:r>
        <w:tab/>
        <w:t>Partido Socialista Obrero Español</w:t>
      </w:r>
    </w:p>
    <w:p w:rsidR="00E26446" w:rsidRDefault="00E26446" w:rsidP="00E26446">
      <w:pPr>
        <w:pStyle w:val="TextoAbreviaturas"/>
      </w:pPr>
      <w:r>
        <w:t>RAM</w:t>
      </w:r>
      <w:r>
        <w:tab/>
        <w:t>Reglamento de la Asamblea de Madrid</w:t>
      </w:r>
    </w:p>
    <w:p w:rsidR="00E26446" w:rsidRDefault="00E26446" w:rsidP="00E26446">
      <w:pPr>
        <w:pStyle w:val="TextoAbreviaturas"/>
      </w:pPr>
      <w:r>
        <w:t>RH</w:t>
      </w:r>
      <w:r>
        <w:tab/>
        <w:t>Reglamento hipotecario</w:t>
      </w:r>
    </w:p>
    <w:p w:rsidR="00E26446" w:rsidRDefault="00E26446" w:rsidP="00E26446">
      <w:pPr>
        <w:pStyle w:val="TextoAbreviaturas"/>
      </w:pPr>
      <w:r>
        <w:t>ROFEL</w:t>
      </w:r>
      <w:r>
        <w:tab/>
        <w:t>Reglamento de organización, funcionamiento y régimen jurídico de las entidades locales</w:t>
      </w:r>
    </w:p>
    <w:p w:rsidR="00E26446" w:rsidRDefault="00E26446" w:rsidP="00E26446">
      <w:pPr>
        <w:pStyle w:val="TextoAbreviaturas"/>
      </w:pPr>
      <w:r>
        <w:t>RP</w:t>
      </w:r>
      <w:r>
        <w:tab/>
        <w:t>Reglamento penitenciario</w:t>
      </w:r>
    </w:p>
    <w:p w:rsidR="00E26446" w:rsidRDefault="00E26446" w:rsidP="00E26446">
      <w:pPr>
        <w:pStyle w:val="TextoAbreviaturas"/>
      </w:pPr>
      <w:r>
        <w:t>RPV</w:t>
      </w:r>
      <w:r>
        <w:tab/>
        <w:t>Reglamento del Parlamento Vasco</w:t>
      </w:r>
    </w:p>
    <w:p w:rsidR="00E26446" w:rsidRDefault="00E26446" w:rsidP="00E26446">
      <w:pPr>
        <w:pStyle w:val="TextoAbreviaturas"/>
      </w:pPr>
      <w:r>
        <w:t>STC</w:t>
      </w:r>
      <w:r>
        <w:tab/>
        <w:t>Sentencia del Tribunal Constitucional</w:t>
      </w:r>
    </w:p>
    <w:p w:rsidR="00E26446" w:rsidRDefault="00E26446" w:rsidP="00E26446">
      <w:pPr>
        <w:pStyle w:val="TextoAbreviaturas"/>
      </w:pPr>
      <w:r>
        <w:t>SSTC</w:t>
      </w:r>
      <w:r>
        <w:tab/>
        <w:t>Sentencias del Tribunal Constitucional</w:t>
      </w:r>
    </w:p>
    <w:p w:rsidR="00E26446" w:rsidRDefault="00E26446" w:rsidP="00E26446">
      <w:pPr>
        <w:pStyle w:val="TextoAbreviaturas"/>
      </w:pPr>
      <w:r>
        <w:t>STEDH</w:t>
      </w:r>
      <w:r>
        <w:tab/>
        <w:t>Sentencia del Tribunal Europeo de Derechos Humanos</w:t>
      </w:r>
    </w:p>
    <w:p w:rsidR="00E26446" w:rsidRDefault="00E26446" w:rsidP="00E26446">
      <w:pPr>
        <w:pStyle w:val="TextoAbreviaturas"/>
      </w:pPr>
      <w:r>
        <w:t>SSTEDH</w:t>
      </w:r>
      <w:r>
        <w:tab/>
        <w:t>Sentencias del Tribunal Europeo de Derechos Humanos</w:t>
      </w:r>
    </w:p>
    <w:p w:rsidR="00E26446" w:rsidRDefault="00E26446" w:rsidP="00E26446">
      <w:pPr>
        <w:pStyle w:val="TextoAbreviaturas"/>
      </w:pPr>
      <w:r>
        <w:t>STJCE</w:t>
      </w:r>
      <w:r>
        <w:tab/>
        <w:t>Sentencia del Tribunal de Justicia de las Comunidades Europeas</w:t>
      </w:r>
    </w:p>
    <w:p w:rsidR="00E26446" w:rsidRDefault="00E26446" w:rsidP="00E26446">
      <w:pPr>
        <w:pStyle w:val="TextoAbreviaturas"/>
      </w:pPr>
      <w:r>
        <w:t>STS</w:t>
      </w:r>
      <w:r>
        <w:tab/>
        <w:t>Sentencia del Tribunal Supremo</w:t>
      </w:r>
    </w:p>
    <w:p w:rsidR="00E26446" w:rsidRDefault="00E26446" w:rsidP="00E26446">
      <w:pPr>
        <w:pStyle w:val="TextoAbreviaturas"/>
      </w:pPr>
      <w:r>
        <w:t>SSTS</w:t>
      </w:r>
      <w:r>
        <w:tab/>
        <w:t>Sentencias del Tribunal Supremo</w:t>
      </w:r>
    </w:p>
    <w:p w:rsidR="00E26446" w:rsidRDefault="00E26446" w:rsidP="00E26446">
      <w:pPr>
        <w:pStyle w:val="TextoAbreviaturas"/>
      </w:pPr>
      <w:r>
        <w:t>TGSS</w:t>
      </w:r>
      <w:r>
        <w:tab/>
        <w:t>Tesorería General de la Seguridad Social</w:t>
      </w:r>
    </w:p>
    <w:p w:rsidR="00E26446" w:rsidRDefault="00E26446" w:rsidP="00E26446">
      <w:pPr>
        <w:pStyle w:val="TextoAbreviaturas"/>
      </w:pPr>
      <w:r>
        <w:t>USO</w:t>
      </w:r>
      <w:r>
        <w:tab/>
        <w:t>Unión Sindical Obrera</w:t>
      </w:r>
    </w:p>
    <w:p w:rsidR="00E26446" w:rsidRDefault="00E26446" w:rsidP="00E26446">
      <w:pPr>
        <w:pStyle w:val="TextoAbreviaturas"/>
      </w:pPr>
    </w:p>
    <w:sectPr w:rsidR="00E26446" w:rsidSect="009259C8">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3FA" w:rsidRDefault="00CF03FA" w:rsidP="0052098F">
      <w:pPr>
        <w:spacing w:after="0" w:line="240" w:lineRule="auto"/>
      </w:pPr>
      <w:r>
        <w:separator/>
      </w:r>
    </w:p>
  </w:endnote>
  <w:endnote w:type="continuationSeparator" w:id="0">
    <w:p w:rsidR="00CF03FA" w:rsidRDefault="00CF03FA" w:rsidP="00520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9C8" w:rsidRDefault="009259C8" w:rsidP="009259C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D67AB">
      <w:rPr>
        <w:rStyle w:val="Nmerodepgina"/>
        <w:noProof/>
      </w:rPr>
      <w:t>1394</w:t>
    </w:r>
    <w:r>
      <w:rPr>
        <w:rStyle w:val="Nmerodepgina"/>
      </w:rPr>
      <w:fldChar w:fldCharType="end"/>
    </w:r>
  </w:p>
  <w:p w:rsidR="00CF03FA" w:rsidRDefault="00CF03FA" w:rsidP="009259C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9C8" w:rsidRDefault="009259C8" w:rsidP="009259C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D67AB">
      <w:rPr>
        <w:rStyle w:val="Nmerodepgina"/>
        <w:noProof/>
      </w:rPr>
      <w:t>1395</w:t>
    </w:r>
    <w:r>
      <w:rPr>
        <w:rStyle w:val="Nmerodepgina"/>
      </w:rPr>
      <w:fldChar w:fldCharType="end"/>
    </w:r>
  </w:p>
  <w:p w:rsidR="00CF03FA" w:rsidRDefault="00CF03FA" w:rsidP="009259C8">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FA" w:rsidRDefault="00CF03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3FA" w:rsidRDefault="00CF03FA" w:rsidP="0052098F">
      <w:pPr>
        <w:spacing w:after="0" w:line="240" w:lineRule="auto"/>
      </w:pPr>
      <w:r>
        <w:separator/>
      </w:r>
    </w:p>
  </w:footnote>
  <w:footnote w:type="continuationSeparator" w:id="0">
    <w:p w:rsidR="00CF03FA" w:rsidRDefault="00CF03FA" w:rsidP="005209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FA" w:rsidRDefault="00CF03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FA" w:rsidRDefault="009259C8" w:rsidP="009259C8">
    <w:pPr>
      <w:pStyle w:val="Cabecera"/>
    </w:pPr>
    <w:r>
      <w:t>JURISPRUDENCIA CONSTITUCIONAL - Tomo: enero a abril 2008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FA" w:rsidRDefault="00CF03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E40"/>
    <w:rsid w:val="00187155"/>
    <w:rsid w:val="001901E6"/>
    <w:rsid w:val="001A1050"/>
    <w:rsid w:val="00245980"/>
    <w:rsid w:val="002748CA"/>
    <w:rsid w:val="003D67AB"/>
    <w:rsid w:val="0050129A"/>
    <w:rsid w:val="0052098F"/>
    <w:rsid w:val="005657F2"/>
    <w:rsid w:val="00591781"/>
    <w:rsid w:val="007E7E20"/>
    <w:rsid w:val="009259C8"/>
    <w:rsid w:val="00994314"/>
    <w:rsid w:val="009E005A"/>
    <w:rsid w:val="00A657C3"/>
    <w:rsid w:val="00A860DC"/>
    <w:rsid w:val="00BF77E9"/>
    <w:rsid w:val="00C12216"/>
    <w:rsid w:val="00C14221"/>
    <w:rsid w:val="00C744E3"/>
    <w:rsid w:val="00CF03FA"/>
    <w:rsid w:val="00DF1B09"/>
    <w:rsid w:val="00DF2E40"/>
    <w:rsid w:val="00E1151E"/>
    <w:rsid w:val="00E26446"/>
    <w:rsid w:val="00E53A6E"/>
    <w:rsid w:val="00E6197C"/>
    <w:rsid w:val="00F104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7CC0714F-0645-4822-B2F3-203614D4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E40"/>
    <w:pPr>
      <w:spacing w:after="200" w:line="276" w:lineRule="auto"/>
    </w:pPr>
  </w:style>
  <w:style w:type="paragraph" w:styleId="Ttulo1">
    <w:name w:val="heading 1"/>
    <w:basedOn w:val="Normal"/>
    <w:next w:val="Normal"/>
    <w:link w:val="Ttulo1Car"/>
    <w:uiPriority w:val="9"/>
    <w:rsid w:val="00DF2E40"/>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DF2E40"/>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DF2E40"/>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DF2E40"/>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F2E40"/>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F2E40"/>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2E40"/>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DF2E40"/>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DF2E40"/>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DF2E40"/>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F2E40"/>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F2E40"/>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F2E40"/>
    <w:pPr>
      <w:spacing w:after="0" w:line="240" w:lineRule="auto"/>
    </w:pPr>
  </w:style>
  <w:style w:type="paragraph" w:styleId="Textocomentario">
    <w:name w:val="annotation text"/>
    <w:basedOn w:val="Normal"/>
    <w:link w:val="TextocomentarioCar"/>
    <w:uiPriority w:val="99"/>
    <w:semiHidden/>
    <w:rsid w:val="00DF2E40"/>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F2E40"/>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DF2E40"/>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F2E40"/>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F2E40"/>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F2E40"/>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DF2E40"/>
    <w:rPr>
      <w:rFonts w:ascii="Times New Roman" w:hAnsi="Times New Roman"/>
      <w:i w:val="0"/>
      <w:sz w:val="24"/>
    </w:rPr>
  </w:style>
  <w:style w:type="character" w:customStyle="1" w:styleId="TtuloBOECar">
    <w:name w:val="Título BOE Car"/>
    <w:basedOn w:val="Fuentedeprrafopredeter"/>
    <w:link w:val="TtuloBOE"/>
    <w:rsid w:val="00DF2E40"/>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DF2E40"/>
    <w:rPr>
      <w:rFonts w:ascii="Times New Roman" w:hAnsi="Times New Roman"/>
      <w:i/>
      <w:sz w:val="24"/>
    </w:rPr>
  </w:style>
  <w:style w:type="paragraph" w:customStyle="1" w:styleId="Extracto">
    <w:name w:val="Extracto"/>
    <w:basedOn w:val="Normal"/>
    <w:link w:val="ExtractoCar"/>
    <w:qFormat/>
    <w:rsid w:val="00DF2E40"/>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F2E40"/>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DF2E40"/>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F2E40"/>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F2E40"/>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DF2E40"/>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DF2E40"/>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F2E40"/>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DF2E40"/>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F2E40"/>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DF2E40"/>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F2E40"/>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DF2E40"/>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DF2E40"/>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F2E40"/>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DF2E40"/>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DF2E40"/>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F2E40"/>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DF2E40"/>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F2E40"/>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F2E40"/>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DF2E40"/>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F2E40"/>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F2E40"/>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DF2E40"/>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F2E40"/>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DF2E40"/>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F2E40"/>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DF2E40"/>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F2E40"/>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F2E40"/>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DF2E40"/>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DF2E40"/>
  </w:style>
  <w:style w:type="paragraph" w:customStyle="1" w:styleId="SntesisAnaltica">
    <w:name w:val="Síntesis Analítica"/>
    <w:basedOn w:val="ParrafoNormal"/>
    <w:link w:val="SntesisAnalticaCar"/>
    <w:qFormat/>
    <w:rsid w:val="00DF2E40"/>
    <w:rPr>
      <w:i/>
    </w:rPr>
  </w:style>
  <w:style w:type="character" w:customStyle="1" w:styleId="ParrafoNormalCar">
    <w:name w:val="Parrafo Normal Car"/>
    <w:basedOn w:val="Fuentedeprrafopredeter"/>
    <w:link w:val="ParrafoNormal"/>
    <w:rsid w:val="00DF2E40"/>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DF2E40"/>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DF2E40"/>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DF2E40"/>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F2E40"/>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DF2E40"/>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F2E4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F2E40"/>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F2E40"/>
    <w:rPr>
      <w:rFonts w:ascii="Tahoma" w:eastAsia="Times New Roman" w:hAnsi="Tahoma" w:cs="Tahoma"/>
      <w:sz w:val="16"/>
      <w:szCs w:val="16"/>
      <w:lang w:eastAsia="es-ES"/>
    </w:rPr>
  </w:style>
  <w:style w:type="paragraph" w:customStyle="1" w:styleId="Portada1">
    <w:name w:val="Portada 1"/>
    <w:basedOn w:val="Normal"/>
    <w:link w:val="Portada1Car"/>
    <w:qFormat/>
    <w:rsid w:val="00DF2E40"/>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F2E40"/>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F2E40"/>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DF2E40"/>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F2E40"/>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DF2E40"/>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DF2E40"/>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F2E40"/>
    <w:rPr>
      <w:rFonts w:ascii="Times New Roman" w:hAnsi="Times New Roman"/>
      <w:sz w:val="24"/>
    </w:rPr>
  </w:style>
  <w:style w:type="paragraph" w:customStyle="1" w:styleId="Prueba">
    <w:name w:val="Prueba"/>
    <w:basedOn w:val="Normal"/>
    <w:link w:val="PruebaCar"/>
    <w:qFormat/>
    <w:rsid w:val="00DF2E40"/>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F2E40"/>
    <w:rPr>
      <w:rFonts w:ascii="Times New Roman" w:hAnsi="Times New Roman" w:cs="Times New Roman"/>
      <w:sz w:val="24"/>
      <w:szCs w:val="24"/>
    </w:rPr>
  </w:style>
  <w:style w:type="paragraph" w:customStyle="1" w:styleId="Paginas">
    <w:name w:val="Paginas"/>
    <w:basedOn w:val="Prueba"/>
    <w:link w:val="PaginasCar"/>
    <w:qFormat/>
    <w:rsid w:val="00DF2E40"/>
  </w:style>
  <w:style w:type="character" w:customStyle="1" w:styleId="PaginasCar">
    <w:name w:val="Paginas Car"/>
    <w:basedOn w:val="PruebaCar"/>
    <w:link w:val="Paginas"/>
    <w:rsid w:val="00DF2E40"/>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DF2E40"/>
    <w:pPr>
      <w:ind w:left="568" w:hanging="284"/>
    </w:pPr>
  </w:style>
  <w:style w:type="paragraph" w:customStyle="1" w:styleId="SangriaIzquierdaArticulo">
    <w:name w:val="Sangria Izquierda Articulo"/>
    <w:basedOn w:val="SangriaFrancesaArticulo"/>
    <w:link w:val="SangriaIzquierdaArticuloCar"/>
    <w:qFormat/>
    <w:rsid w:val="00DF2E40"/>
    <w:pPr>
      <w:ind w:firstLine="0"/>
    </w:pPr>
  </w:style>
  <w:style w:type="character" w:customStyle="1" w:styleId="SangriaFrancesaArticuloCar">
    <w:name w:val="Sangria Francesa Articulo Car"/>
    <w:basedOn w:val="ParrafoNormalCar"/>
    <w:link w:val="SangriaFrancesaArticulo"/>
    <w:rsid w:val="00DF2E40"/>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DF2E40"/>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DF2E40"/>
    <w:pPr>
      <w:tabs>
        <w:tab w:val="left" w:pos="1134"/>
      </w:tabs>
      <w:ind w:left="-567"/>
    </w:pPr>
  </w:style>
  <w:style w:type="character" w:customStyle="1" w:styleId="DescriptoresJerarquicoNegritaCar">
    <w:name w:val="Descriptores Jerarquico Negrita Car"/>
    <w:basedOn w:val="TextoNormalNegritaCar"/>
    <w:link w:val="DescriptoresJerarquicoNegrita"/>
    <w:rsid w:val="00DF2E40"/>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DF2E40"/>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F2E40"/>
    <w:rPr>
      <w:rFonts w:ascii="Times New Roman" w:hAnsi="Times New Roman"/>
      <w:b/>
      <w:i/>
      <w:sz w:val="24"/>
    </w:rPr>
  </w:style>
  <w:style w:type="paragraph" w:customStyle="1" w:styleId="EntradandiceSumario">
    <w:name w:val="Entrada Índice Sumario"/>
    <w:basedOn w:val="EntradandiceSentencia"/>
    <w:qFormat/>
    <w:rsid w:val="00DF2E40"/>
    <w:pPr>
      <w:tabs>
        <w:tab w:val="clear" w:pos="8080"/>
        <w:tab w:val="right" w:leader="dot" w:pos="7371"/>
      </w:tabs>
      <w:spacing w:line="260" w:lineRule="exact"/>
      <w:ind w:right="0"/>
    </w:pPr>
  </w:style>
  <w:style w:type="paragraph" w:customStyle="1" w:styleId="FechasPortadaGaceta">
    <w:name w:val="Fechas Portada Gaceta"/>
    <w:basedOn w:val="Normal"/>
    <w:qFormat/>
    <w:rsid w:val="00DF2E40"/>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F2E40"/>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F2E40"/>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F2E40"/>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F2E40"/>
    <w:rPr>
      <w:rFonts w:ascii="Times New Roman" w:hAnsi="Times New Roman"/>
      <w:i w:val="0"/>
      <w:color w:val="A7599E"/>
      <w:sz w:val="24"/>
    </w:rPr>
  </w:style>
  <w:style w:type="paragraph" w:customStyle="1" w:styleId="CabeceraGaceta">
    <w:name w:val="Cabecera Gaceta"/>
    <w:next w:val="Normal"/>
    <w:link w:val="CabeceraGacetaCar"/>
    <w:qFormat/>
    <w:rsid w:val="00DF2E40"/>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F2E40"/>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F2E40"/>
    <w:pPr>
      <w:spacing w:after="1800"/>
    </w:pPr>
  </w:style>
  <w:style w:type="character" w:styleId="nfasis">
    <w:name w:val="Emphasis"/>
    <w:basedOn w:val="Fuentedeprrafopredeter"/>
    <w:uiPriority w:val="20"/>
    <w:qFormat/>
    <w:rsid w:val="00DF2E40"/>
    <w:rPr>
      <w:i/>
      <w:iCs/>
    </w:rPr>
  </w:style>
  <w:style w:type="character" w:styleId="Hipervnculo">
    <w:name w:val="Hyperlink"/>
    <w:basedOn w:val="Fuentedeprrafopredeter"/>
    <w:uiPriority w:val="99"/>
    <w:unhideWhenUsed/>
    <w:rsid w:val="00DF2E40"/>
    <w:rPr>
      <w:b w:val="0"/>
      <w:color w:val="000000" w:themeColor="text1"/>
      <w:u w:val="none"/>
    </w:rPr>
  </w:style>
  <w:style w:type="paragraph" w:customStyle="1" w:styleId="SntesisDescriptivaConSeparacion">
    <w:name w:val="Síntesis Descriptiva Con Separacion"/>
    <w:basedOn w:val="SntesisDescriptiva"/>
    <w:qFormat/>
    <w:rsid w:val="00DF2E40"/>
    <w:pPr>
      <w:spacing w:after="600"/>
    </w:pPr>
  </w:style>
  <w:style w:type="paragraph" w:customStyle="1" w:styleId="SntesisAnalticaConSeparacin">
    <w:name w:val="Síntesis Analítica Con Separación"/>
    <w:basedOn w:val="SntesisAnaltica"/>
    <w:qFormat/>
    <w:rsid w:val="00DF2E40"/>
    <w:pPr>
      <w:spacing w:after="600"/>
    </w:pPr>
  </w:style>
  <w:style w:type="paragraph" w:customStyle="1" w:styleId="TtuloListado">
    <w:name w:val="Título Listado"/>
    <w:basedOn w:val="TextoNormal"/>
    <w:qFormat/>
    <w:rsid w:val="00DF2E40"/>
    <w:pPr>
      <w:spacing w:line="360" w:lineRule="auto"/>
      <w:jc w:val="center"/>
    </w:pPr>
    <w:rPr>
      <w:b/>
      <w:u w:val="single"/>
    </w:rPr>
  </w:style>
  <w:style w:type="paragraph" w:customStyle="1" w:styleId="TextoNormalCentradoCursiva">
    <w:name w:val="Texto Normal Centrado Cursiva"/>
    <w:basedOn w:val="TextoNormalCentrado"/>
    <w:qFormat/>
    <w:rsid w:val="00DF2E40"/>
    <w:rPr>
      <w:i/>
    </w:rPr>
  </w:style>
  <w:style w:type="paragraph" w:customStyle="1" w:styleId="TextoConBorde">
    <w:name w:val="Texto Con Borde"/>
    <w:qFormat/>
    <w:rsid w:val="00DF2E40"/>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DF2E40"/>
    <w:rPr>
      <w:sz w:val="148"/>
    </w:rPr>
  </w:style>
  <w:style w:type="paragraph" w:customStyle="1" w:styleId="TextoNormalNegritaCentradoSubrayado">
    <w:name w:val="Texto Normal Negrita Centrado Subrayado"/>
    <w:basedOn w:val="TextoNormalNegritaCentrado"/>
    <w:qFormat/>
    <w:rsid w:val="00DF2E40"/>
    <w:rPr>
      <w:sz w:val="28"/>
      <w:u w:val="single"/>
    </w:rPr>
  </w:style>
  <w:style w:type="paragraph" w:customStyle="1" w:styleId="TextoIndiceNivel2">
    <w:name w:val="TextoIndice Nivel2"/>
    <w:basedOn w:val="TextoNormalNegritaCentrado"/>
    <w:qFormat/>
    <w:rsid w:val="00DF2E40"/>
    <w:rPr>
      <w:sz w:val="36"/>
    </w:rPr>
  </w:style>
  <w:style w:type="character" w:customStyle="1" w:styleId="TextoNormalNegritaCentradoSombreado">
    <w:name w:val="Texto Normal Negrita Centrado Sombreado"/>
    <w:basedOn w:val="TextoNormalNegritaCaracter"/>
    <w:uiPriority w:val="1"/>
    <w:qFormat/>
    <w:rsid w:val="00DF2E40"/>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DF2E40"/>
    <w:rPr>
      <w:sz w:val="26"/>
    </w:rPr>
  </w:style>
  <w:style w:type="character" w:customStyle="1" w:styleId="ndiceJerrquicoDescriptor">
    <w:name w:val="Índice Jerárquico Descriptor"/>
    <w:basedOn w:val="TextoNormalCar"/>
    <w:uiPriority w:val="1"/>
    <w:qFormat/>
    <w:rsid w:val="00DF2E40"/>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DF2E40"/>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DF2E40"/>
    <w:pPr>
      <w:ind w:left="0"/>
    </w:pPr>
    <w:rPr>
      <w:sz w:val="28"/>
    </w:rPr>
  </w:style>
  <w:style w:type="character" w:styleId="Hipervnculovisitado">
    <w:name w:val="FollowedHyperlink"/>
    <w:basedOn w:val="Fuentedeprrafopredeter"/>
    <w:uiPriority w:val="99"/>
    <w:semiHidden/>
    <w:unhideWhenUsed/>
    <w:rsid w:val="00DF2E40"/>
    <w:rPr>
      <w:color w:val="auto"/>
      <w:u w:val="none"/>
    </w:rPr>
  </w:style>
  <w:style w:type="paragraph" w:customStyle="1" w:styleId="EntradandiceSumarioNivel2">
    <w:name w:val="Entrada Índice Sumario Nivel2"/>
    <w:basedOn w:val="EntradandiceSumario"/>
    <w:qFormat/>
    <w:rsid w:val="00DF2E40"/>
    <w:pPr>
      <w:spacing w:line="240" w:lineRule="exact"/>
      <w:ind w:firstLine="113"/>
    </w:pPr>
    <w:rPr>
      <w:sz w:val="23"/>
    </w:rPr>
  </w:style>
  <w:style w:type="paragraph" w:customStyle="1" w:styleId="TtuloSumariondices">
    <w:name w:val="Título Sumario Índices"/>
    <w:basedOn w:val="TextoNormal"/>
    <w:qFormat/>
    <w:rsid w:val="00DF2E40"/>
    <w:pPr>
      <w:ind w:firstLine="0"/>
      <w:jc w:val="center"/>
    </w:pPr>
    <w:rPr>
      <w:sz w:val="32"/>
    </w:rPr>
  </w:style>
  <w:style w:type="paragraph" w:styleId="Cierre">
    <w:name w:val="Closing"/>
    <w:basedOn w:val="Normal"/>
    <w:link w:val="CierreCar"/>
    <w:uiPriority w:val="99"/>
    <w:unhideWhenUsed/>
    <w:rsid w:val="00DF2E40"/>
    <w:pPr>
      <w:spacing w:after="0" w:line="240" w:lineRule="auto"/>
      <w:ind w:left="4252"/>
    </w:pPr>
  </w:style>
  <w:style w:type="character" w:customStyle="1" w:styleId="CierreCar">
    <w:name w:val="Cierre Car"/>
    <w:basedOn w:val="Fuentedeprrafopredeter"/>
    <w:link w:val="Cierre"/>
    <w:uiPriority w:val="99"/>
    <w:rsid w:val="00DF2E40"/>
  </w:style>
  <w:style w:type="paragraph" w:styleId="Cita">
    <w:name w:val="Quote"/>
    <w:basedOn w:val="Normal"/>
    <w:next w:val="Normal"/>
    <w:link w:val="CitaCar"/>
    <w:uiPriority w:val="29"/>
    <w:qFormat/>
    <w:rsid w:val="00DF2E40"/>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F2E40"/>
    <w:rPr>
      <w:i/>
      <w:iCs/>
      <w:color w:val="404040" w:themeColor="text1" w:themeTint="BF"/>
    </w:rPr>
  </w:style>
  <w:style w:type="paragraph" w:customStyle="1" w:styleId="Cabecera">
    <w:name w:val="Cabecera"/>
    <w:link w:val="CabeceraCar"/>
    <w:qFormat/>
    <w:rsid w:val="00DF2E40"/>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DF2E40"/>
    <w:rPr>
      <w:rFonts w:ascii="Arial" w:hAnsi="Arial"/>
      <w:b/>
      <w:iCs/>
      <w:color w:val="538135"/>
      <w:sz w:val="20"/>
    </w:rPr>
  </w:style>
  <w:style w:type="paragraph" w:customStyle="1" w:styleId="TtuloSumarioResoluciones">
    <w:name w:val="Título Sumario Resoluciones"/>
    <w:basedOn w:val="TextoNormal"/>
    <w:link w:val="TtuloSumarioResolucionesCar"/>
    <w:qFormat/>
    <w:rsid w:val="00DF2E40"/>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F2E40"/>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DF2E40"/>
    <w:rPr>
      <w:rFonts w:ascii="Times New Roman" w:hAnsi="Times New Roman"/>
      <w:b/>
      <w:color w:val="538135"/>
      <w:sz w:val="32"/>
    </w:rPr>
  </w:style>
  <w:style w:type="paragraph" w:styleId="Encabezado">
    <w:name w:val="header"/>
    <w:basedOn w:val="Normal"/>
    <w:link w:val="EncabezadoCar"/>
    <w:uiPriority w:val="99"/>
    <w:unhideWhenUsed/>
    <w:rsid w:val="005209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2098F"/>
  </w:style>
  <w:style w:type="paragraph" w:styleId="Piedepgina">
    <w:name w:val="footer"/>
    <w:basedOn w:val="Normal"/>
    <w:link w:val="PiedepginaCar"/>
    <w:uiPriority w:val="99"/>
    <w:unhideWhenUsed/>
    <w:rsid w:val="005209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2098F"/>
  </w:style>
  <w:style w:type="character" w:styleId="Nmerodepgina">
    <w:name w:val="page number"/>
    <w:basedOn w:val="Fuentedeprrafopredeter"/>
    <w:uiPriority w:val="99"/>
    <w:semiHidden/>
    <w:unhideWhenUsed/>
    <w:rsid w:val="00925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695053</Words>
  <Characters>3822797</Characters>
  <Application>Microsoft Office Word</Application>
  <DocSecurity>0</DocSecurity>
  <Lines>31856</Lines>
  <Paragraphs>9017</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4508833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2019-03-08T08:24:00Z</cp:lastPrinted>
  <dcterms:created xsi:type="dcterms:W3CDTF">2017-03-27T10:06:00Z</dcterms:created>
  <dcterms:modified xsi:type="dcterms:W3CDTF">2019-03-08T08:25:00Z</dcterms:modified>
</cp:coreProperties>
</file>