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por providencia de la Sección 4ª de 13 de noviembre de 1985, en relación con la Ley 5/1983, de 29 de junio, de Medidas Urgentes en Materia Presupuestaria, Financiera y Tributaria, en su disposición adicional 6ª núm. 3, en cuanto crea un gravamen complementario para 1983 a la tasa de juego sobre máquinas de azar, por poder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46 y 447, todas ellas de 1985, fueron acumuladas por Auto del Pleno de 16 de julio del pasado, por darse los presupuestos previstos en el artículo 83 de la Ley Orgánica del Tribunal Constitucional (LOTC), habiéndose formulado en las mismas alegaciones por el Fiscal General del Estado y por el Letrado del Estado, en representación del Gobierno, en solicitud de que el Tribunal dicte en su día Sentencia. Se hallan, pues, conclusas, pendientes de señalamiento para deliberación y votación. En las registradas con los números 578, 579, 580, 581, 642, 643, 644, 645, 646, 685 y 704,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9 de diciembre de 1985, en el que reproduce las alegaciones formuladas en la cuestión número 377/85, e interesa asimismo la suspensión de la tramitación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12 de diciembre de 1985 y formula alegaciones en solicitud de que en su día se dicte Sentencia y, por otrosí que se acumule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excesivaemtne la conclusión de los ya acumulados, porque cada incidente de acumulación que se inicia supone la paralización de las cuestiones implicadas en tanto se sustancia el mismo, y a que la Sentencia que recaiga surtirá efectos en las demás cuestiones, obliga en el presente caso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956/85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