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13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planteó la presente cuestión de inconstitucionalidad, admitida a trámite por providencia de la Sec ción Tercera de 18 de diciembre de 1985, en relación con la Ley 5/ /1983, de 29 de junio, de Medidas Urgentes en Materia Presupuestaria, Financiera y Tributaria, en su disposición adicional 6ª, núm. 3, en cuanto crea un gravamen complementario para 1983 a la Tasa de juego sobre máquinas de azar, por poder infringir la misma los</w:t>
      </w:r>
    </w:p>
    <w:p w:rsidRPr="00C21FFE" w:rsidR="00AD51A7" w:rsidRDefault="008777C4">
      <w:pPr>
        <w:rPr/>
      </w:pPr>
      <w:r w:rsidRPr="&lt;w:rPr xmlns:w=&quot;http://schemas.openxmlformats.org/wordprocessingml/2006/main&quot;&gt;&lt;w:lang w:val=&quot;es-ES_tradnl&quot; /&gt;&lt;/w:rPr&gt;">
        <w:rPr/>
        <w:t xml:space="preserve">artículos 134.7, 9.3 y 14, en relación con el 33.3 de la Constitución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órgano jurisdiccional ha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por darse los presupuestos previstos en el artículo 83 de la Ley Orgánica del Tribunal Constitucional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 685, 704, 923 y 1033,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Letrado del Estado se persona mediante escrito presentado el 22 de enero de 1986, en el que formula alegaciones en solicitud de que en su día se dicte Sentencia, e interesa asimismo la acumulación de la presente cuestión a las ya acumuladas por Auto de 16 de julio de 1985.</w:t>
      </w:r>
    </w:p>
    <w:p w:rsidRPr="00C21FFE" w:rsidR="00AD51A7" w:rsidRDefault="008777C4">
      <w:pPr>
        <w:rPr/>
      </w:pPr>
      <w:r w:rsidRPr="&lt;w:rPr xmlns:w=&quot;http://schemas.openxmlformats.org/wordprocessingml/2006/main&quot;&gt;&lt;w:lang w:val=&quot;es-ES_tradnl&quot; /&gt;&lt;/w:rPr&gt;">
        <w:rPr/>
        <w:t xml:space="preserve">El Fiscal General del Estado, se persona mediante escrito presentado el 24 de enero de 1986 y, solicita la suspensión de la tramitación de la presente cuestión, como se ha acordado en otras similares, hasta que recaiga sentencia en las ya acumuladas, reproduciendo las alegaciones efectuadas en relación con la cuestión 377/85.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articulo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ya que la Sentencia que recaiga surtirá efectos en las demás cuestiones, obliga en el presente caso a mantener el mismo criterio .</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1139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