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9 de diciembre de 1985 tuvo entrada en este Tribunal Constitucional la demanda de amparo interpuesta por D. Manuel Guirado Gómez, representado por el Procurador D. José Sánchez Jáuregui, contra la Sentencia dictada por la Sala Especial de Peligrosidad y Rehabilitación Social de la Audiencia Nacional en el Recurso de Apelación Nº 94/85, que no dio lugar a la apelación contra la dictada por el Juzgado de Peligrosidad y Rehabilitación Social de Málaga, de 15 de marzo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demanda se funda en la vulneración del derecho a la presunción de inocencia (art. 24.2 de la Constitución Española -CE-) y del derecho a la determinación precisa de la ley penal (art. 25.1 CE.) y fue admitida a trámite por Providencia de 19 de febrero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misma fecha anterior, la Sección Segunda dispuso formar con los antecedentes correspondientes la presente pieza separada de suspensión y acordar el plazo de tres días al Ministerio Fiscal y al recurrente para que aleguen lo que estimen procedente en orden a la suspensión solicitada. El Ministerio Fiscal se pronunció en favor de la suspensión de las medidas que imponen internación, prohibición de residir en la provincia de Málaga y sumisión a la vigilacia de delegados. Por el contrario estimó que la suspensión de las otras medidas no era procedente. Por su parte el recurrente reiteró sus alegaciones ya contenidas en la demanda invocando el art. 56 de la Ley Orgánica del Tribunal Constitucional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LOTC autoriza a la Sala que conozca de un recurso de amparo a suspender la ejecución del acto o actos a los que dicho recurso se refiere, en el caso de que, de no hacerse así, pudiera el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Teniendo en cuenta que reiteradamente este Tribunal Constitucional ha sostenido que la ejecución de medidas que imponen privación de libertad harían perder al amparo su finalidad, pues no resultaría adecuadamente reparable la pérdida del bien jurídico si más tarde se concediera el amparo, corresponde decretar la suspensión de la medida del internamiento en un establecimiento de trabajo y de sumisión a la vigilancia de Delegados de la Autoridad.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mismas razones aconsejan idéntico proceder respecto de la medida de prohibición de residir en la Provincia de Málaga, pues importa una pérdida difícilmente reparable de los bienes jurídicos afectados.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 contrario, la ejecución de la multa y la incautación de los efectos son perfectamente reparables y en consecuencia no harían perder al amparo su finalidad, razón por la cual no debe accederse a su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ha acordado suspenderla ejecución del internamiento en un establecimiento de trabajo, de la sumisión a la vigilancia de los Delegados de la Autoridad y de la prohibición de residir en la Provincia de Málaga impuesta a D. Manuel Guirado Gómez por la Sentencia nº 51, de 15 de marzo de 1985, del Juzgado de Peligrosidad y Rehabilitación Social de Málaga, y comunicarlo a éste a sus efectos.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