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Marcén Carbó fue condenado como autor responsable de un delito de depósito de armas del artículo 258 del Código Penal por sentencia de 20 de junio de 1983, dictada por la Audiencia Provincial de Teruel en causa 14/1982 procedente del Juzgado de Instrucción de Alcañiz, alcanzando firmeza dicha sentencia al desestimar la Sala Segunda del Tribunal Supremo, en la suya de 28 de octubre de 1985, el recurso de casación interpuesto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condenado interpone el 8 de diciembre siguiente recurso de amparo contra las citadas sentencias, alegando la presunción de inocencia proclamada en el artículo 24.2 de la CE., con el fundamento de que no se aportó al proceso penal actividad probatoria alguna para demostrar el hecho de que el recurrente fuera depositante o depositario de las armas encontradas, pues únicamente se trajo al juicio un atestado policial no ratificado ante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15 de enero de 1986 la Sección dictó providencia, poniendo de manifiesto la posible existencia de la causa de inadmisibilidad prevista en el artículo 50.2.b) de la LOTC y concediendo al recurrente y al Ministerio Fiscal plazo común de diez días para alegaciones, siendo este trámite cumplido por ambos en sendos escritos en los cuales respectivamente alegaron, el recurrente, el mero valor de denuncia que tiene el atestado policial, cuya simple reproducción en el juicio oral no le otorga valor de prueba que desvirtúe la presunción de inocencia, suplicando la admisión del recurso y, el Ministerio Fiscal, que el Tribunal de lo Penal contó con pruebas de cargo suficientes para formar su convicción y que en consecuencia no vulneró la presunción invocada por el demandante, solicitando con base en ello la inadmisión del art. 50.2.b) 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actividad probatoria de cargo que este Tribunal Constitucional exige como condición necesaria para que la presunción de inocencia del artículo 24.2 de la Constitución se tenga por legalmente desvirtuada o destruida aparece plenamente satisfecha en el caso presente, pues al proceso penal se aportaron medios de prueba tan variados como son la declaración del propio recurrente confirmada ante el Juzgado, las declaraciones ante el mismo y la Guardia Civil de otro procesado en situación de rebeldía, el careo entre ambos, las actas de entrada y registro del domicilio del recurrente, la ocupación de cinco pistolas,informes periciales, fotografías y otras, las cuales constituyen en conjunto probatorio suficiente que autoriza al órgano judicial para declarar probada la autoría responsable del demandante en uso de su facultad de valorar las pruebas conforme a su libre convicción y ello hace manifiesto que el recurso de amparo carece de contenido constitucional en cuanto que el recurrente, bajo esa totalmente infundada alegación de falta de actividad probatoria mínima, lo que en realidad pretende es sustituir la apreciación del juez penal por la suya propia, planteando así una cuestión, no de condena sin prueba, sino de juicio valorativo de ésta, que excede del ámbito de la justicia constitucional al venir atribuido su conocimiento exclusivamente a la potestad jurisdiccional por el artículo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razones expuestas conducen a la inadmisión del recurso por la causa establecida en el artículo 50.2.b) de la LOTC con la consecuencia de privar de contenido la pretensión incidental de suspensión formulada en el otrosí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inadmisible el presente recurso de amparo, sin haber lugar a pronunciarse sobre dicha petición de suspensión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