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170/85, planteó la presente cuestión de inconstitucionalidad, admitida a trámite por providencia de la Sección Primera de 8 de enero de 1986, en relación con la Ley 5/1983, de 29 de junio, de Medidas Urgentes en Materia Presupuestaria, Financiera y Tributaria, en su disposición adicional 6ª, núm. 3, en cuanto crea un gravamen complementario para 1983 a la Tasa de juego sobre máquinas de 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de lo Contencioso-Administrativo de la Audiencia Territorial de Pamplona,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(L0TC),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y 1033,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24 de enero último reproduciendo las alegaciones formuladas en la cuestión de inconstitucionalidad número 377/85.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30 de enero de 1986,en el que formula alegaciones en solicitud de que en su día se dicte Sentencia, e interesa asimismo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 :</w:t>
      </w:r>
    </w:p>
    <w:p w:rsidRPr="" w:rsidR="00AD51A7" w:rsidRDefault="008777C4">
      <w:pPr>
        <w:rPr/>
      </w:pPr>
      <w:r w:rsidRPr="&lt;w:rPr xmlns:w=&quot;http://schemas.openxmlformats.org/wordprocessingml/2006/main&quot;&gt;&lt;w:szCs w:val=&quot;24&quot; /&gt;&lt;/w:rPr&gt;">
        <w:rPr/>
        <w:t xml:space="preserve">1º.- Denegar la acumulación de la cuestión número 1178/85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