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Cáceres, en su recurso número 42/85, planteó la presente cuestión de inconstitucionalidad, admitida a trámite por providencia de la Sección Segunda de 29 de enero de 1986, en relación con la Ley 5/1.983, de 29 de junio, de Medidas Urgentes en Materia Presupuestaria, Financiera y Tributaria, en su disposición adicional 6ª, número 3, en cuanto crea un gravamen complementario para 1983 a la Tasa de juego sobre máquinas de azar, por poder infringir la misma los artículos 134.7, 9.3</w:t>
      </w:r>
    </w:p>
    <w:p w:rsidRPr="00C21FFE" w:rsidR="00AD51A7" w:rsidRDefault="008777C4">
      <w:pPr>
        <w:rPr/>
      </w:pPr>
      <w:r w:rsidRPr="&lt;w:rPr xmlns:w=&quot;http://schemas.openxmlformats.org/wordprocessingml/2006/main&quot;&gt;&lt;w:lang w:val=&quot;es-ES_tradnl&quot; /&gt;&lt;/w:rPr&gt;">
        <w:rPr/>
        <w:t xml:space="preserve">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(L0TC),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1019, 1033, 1061, 1088, 1139, 1159, 1177, 1178, 1182, 1203, 1204 y 1205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mediante escrito presentado el 5 de Marzo último y, solicita la suspensión de la tramitación de la presente cuestión, como se ha acordado en otras similares, hasta que recaiga sentencia en las ya acumuladas, reproduciendo las alegaciones efectuadas en relación con la cuestión 1.178/85.</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6 de marzo de 1986, en el que formula alegaciones en solicitud de que en su día se dicte Sentencia, e interesa asimismo la acumulación de la presente cuestión a las ya acumuladas por Auto de 16 de julio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y las enumeradas en el Antecedente 22, aparecen promovidas en relación con el mismo precepto de la Ley 5/1983, de 29 de junio, dándose por lo tanto los</w:t>
      </w:r>
    </w:p>
    <w:p w:rsidRPr="00C21FFE" w:rsidR="00AD51A7" w:rsidRDefault="008777C4">
      <w:pPr>
        <w:rPr/>
      </w:pPr>
      <w:r w:rsidRPr="&lt;w:rPr xmlns:w=&quot;http://schemas.openxmlformats.org/wordprocessingml/2006/main&quot;&gt;&lt;w:lang w:val=&quot;es-ES_tradnl&quot; /&gt;&lt;/w:rPr&gt;">
        <w:rPr/>
        <w:t xml:space="preserve">presupuestos de conexión objetiva que permiten, de acuerdo con el articulo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razon a no retardar excesivamente la conclusión de los ya acumulados, porque cada incidente de acumulación que se inicia supone la paralización de las cuestiones implicadas en tanto se sustancia el mismo, obliga en la presente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76/85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tentó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