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número 454/84, plantea cuestión de inconstitucionalidad, admitida a trámite por providencia de 9 de abril de 1986 de la Sección Tercera de este Tribunal, en relación con la Disposición adicional 6a,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también cuestiones de inconstitucionalidad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y 248,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25 de abril último y solicita de este Tribunal que, a semejanza de lo acordado en otras similares, suspenda la tramitación de la misma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alegaciones en escrito presentado el 8 de mayo último, interesando la acumulación de la cuestión a las ya acumuladas por auto de 16 de julio de 1985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311/86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