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 Administrativo de la Audiencia Territorial de Cáceres, en su recurso número 171/85,planteó la presente cuestión de inconstitucionalidad, admitida a trámite por providencia de la Sección Tercera de 30 de abril de 1986, en relación con la Ley 5/1983, de 29 de junio, de Medidas Urgentes en Materia Presupuestaria, Financiera y Tributaria, en su disposición adicional 6ª, número 3, en cuanto crea un gravamen comlementario para 1983 a la Tasa de juego sobre máquinas de azar, por poder infringir la misma los articulos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646,685, 704, 1019, 1033, 1061, 1088, 1139, 1159, 1177, 1178, 1182, 1203, 1204, 1205 de 1985, y 75, 76, 77, 78, 79, 80, 81, 93, 94, 95, 145, 146, 246, 248 y 311, de 1986,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28 de mayo último y, solicita la suspensión de la tramitación de la presente cuestión, como se ha acordado en otras similares,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31 de mayo último, y solicita que en su día se dicte Sentencia y por otrosí interesa la suspensión 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434/86 a las ya acumuladas señaladas en el Antecedente segundo.</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