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24/85, plantea cuestión de inconstitucionalidad, admitida a trámite por providencia de 7 de mayo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también cuestiones de inconstitucionalidad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y 311,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28 de mayo último y solicita de este Tribunal que, a semejanza de lo acordado en otras similares, suspenda la tramitación de la misma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31 de mayo último, y solicita que en su día se dicte Sentencia y por otrosí interesa la suspensión 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lº. Denegar la acumulación de la cuestión 459/86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