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dia 14 de abril, Doña AURORA GARCÍA NERO, actuando por turno de oficio en nombre y represen tación de Don JUAN MANUEL ESQUINAS SÁNCHEZ en virtud de designación hecha por la Sección Segunda de este Tribunal el pasado día 12 de marzo, presenta demanda de justicia gratuita en favor de su representado.</w:t>
      </w:r>
    </w:p>
    <w:p w:rsidRPr="00C21FFE" w:rsidR="00AD51A7" w:rsidRDefault="008777C4">
      <w:pPr>
        <w:rPr/>
      </w:pPr>
      <w:r w:rsidRPr="&lt;w:rPr xmlns:w=&quot;http://schemas.openxmlformats.org/wordprocessingml/2006/main&quot;&gt;&lt;w:lang w:val=&quot;es-ES_tradnl&quot; /&gt;&lt;/w:rPr&gt;">
        <w:rPr/>
        <w:t xml:space="preserve">Segundo.- Por providencia de fecha 21 de mayo último la Sección Segunda acordó formar la correspondiente Pieza Separada para la sustanciación del incidente, otorgando el plazo de diez dias al Letrado del Estado y al Ministerio Fiscal para que manifiesten si se oponen o no a la concesión del indicado beneficio.</w:t>
      </w:r>
    </w:p>
    <w:p w:rsidRPr="00C21FFE" w:rsidR="00AD51A7" w:rsidRDefault="008777C4">
      <w:pPr>
        <w:rPr/>
      </w:pPr>
      <w:r w:rsidRPr="&lt;w:rPr xmlns:w=&quot;http://schemas.openxmlformats.org/wordprocessingml/2006/main&quot;&gt;&lt;w:lang w:val=&quot;es-ES_tradnl&quot; /&gt;&lt;/w:rPr&gt;">
        <w:rPr/>
        <w:t xml:space="preserve">Dentro del plazo concedido, tanto el Ministerio Fiscal como el Letrado del Estado, han manifestado que no se oponen a la concesión del beneficio de gratuidad.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practicadas y de los documentos acompañados a la inicial solicitud de amparo, aparece que el demandante Don JUAN MANUEL ESQUINAS SÁNCHEZ, de profesión Marinero, carece de ingresos en la actualidad, no constando que posea bienes, rentas y usufructos de clase alguna, habiendo sido declarado insolvente en el proceso penal del que el presente constitucional trae causa, por lo que se halla comprendido en el supuesto previsto en el articulo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JUAN MANUEL ESQUINAS SÁNCHEZ, el beneficio de justicia gratuita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