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número 120/85, planteó la presente cuestión de inconstitucionalidad, admitida a trámite por providencia de 28 de mayo de 1986 de la Sección Tercera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y 475,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junio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28 de junio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