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abril de 1.986 tuvo entrada en este Tribunal Constitucional la demanda de amparo interpuesta por Don José Bretones Domenech, representado por el Procurador Don Alfonso Palma González, contra la Sentencia de la Sala Segunda del Tribunal Supremo de 7 de marzo de 1.986 que desestimó el primer motivo de casación formalizado contra la dictada por la Audiencia Provincial de Córdoba de 27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última sentencia condenó al recurrente como autor responsable del delito de encubrimiento con ánimo de lucro (art. 546 bis.a) CP) a la pena de seis meses de arresto mayor y sus accesorias legales así como a indemnizar civilmente el daño causado.</w:t>
      </w:r>
    </w:p>
    <w:p w:rsidRPr="00C21FFE" w:rsidR="00AD51A7" w:rsidRDefault="008777C4">
      <w:pPr>
        <w:rPr/>
      </w:pPr>
      <w:r w:rsidRPr="&lt;w:rPr xmlns:w=&quot;http://schemas.openxmlformats.org/wordprocessingml/2006/main&quot;&gt;&lt;w:lang w:val=&quot;es-ES_tradnl&quot; /&gt;&lt;/w:rPr&gt;">
        <w:rPr/>
        <w:t xml:space="preserve">Según el resultando de hechos probados, el demandante de amparo, de acuerdo con Ildefonso Luis Duque, recibió, por lo menos desde 1.975, residuos de mineral que contenían plata fina, sustraídos por el último de los nombrados de la empresa en que trabajaba. El recurrente, según la sentencia, se ocupaba de la fundición del metal, la obtención de la plata y posterior venta en provecho propio y del otro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interpuso recurso de casación, cuyo primer motivo se formalizó al amparo del nº 1 del art. 849 por la aplicación indebida del art. 546 bis.a) CP. De acuerdo con el recurrente, la infracción de ley sería consecuencia por un lado, de la estructura del tipo del delito de receptación, que exige el conocimiento del autor del origen delictivo de la cosa receptada, y por otro , de los hechos que la sentencia tuvo por probados. En el resultando de hechos probados no se habría hecho constar -sostuvo el recurrente ante el Tribunal Supremo- que el acusado haya tenido conocimiento del origen delictivo de la cosa receptada.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 la Sala Segunda del Tribunal Supremo, de 7 de marzo de 1.986, sostuvo que, "la Audiencia de origen, ni en el factum de la sentencia impugnada, ni en los fundamentos jurídicos de la misma, afirma, expresa y explícitamente, el previo o coetáneo conocimiento, de la perpetración del delito base, por parte del presunto receptador, pero, a lo largo de dicha declaración de hechos probados, mana, aflora, resplandece y se transparenta la concurrencia de tal capital y esencial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invoca la violación del derecho a la presunción de inocencia, sosteniendo que, "si es principio general de derecho penal que la culpabilidad tiene que deducirse de bases de hecho sólidamente establecidas, y las presunciones, en caso de establecerse, por el principio in dubio pro reo deben favorecer siempre al procesado, es evidente que el Tribunal Supremo en su sentencia ha quebrantado ese principio constitucional de la presunción de inocencia, y ha creado una situación de indefensión dado el carácter firme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7 de mayo de 1.986 la Sección concedió al Ministerio Fiscal y al demandante un plazo común de diez días para que dentro del mismo aleguen lo que estimen pertinente respecto del motivo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se pronunció por la inadmisión a trámite de la presente demanda. Desde su punto de vista inferir la existencia del elemento subjetivo del delito de los "actos exteriorizativos del agente" no importa una vulneración de la presunción de inocencia, ya que sólo importaría una "lícita exposición de los elementos de juicio en virtud de los cuales se forma la convicción tanto de la Audiencia como del propio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fundó la existencia de contenido que justifique el pronunciamiento de parte del Tribunal Constitucional en el hecho de haber invocado el art. 24.2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de contenido que justifique un pronunciamiento de parte del Tribunal Constitucional. En verdad, no se discute en esta demanda si la condena está respaldada por prueba de cargo, sino una cuestión diferente</w:t>
      </w:r>
    </w:p>
    <w:p w:rsidRPr="00C21FFE" w:rsidR="00AD51A7" w:rsidRDefault="008777C4">
      <w:pPr>
        <w:rPr/>
      </w:pPr>
      <w:r w:rsidRPr="&lt;w:rPr xmlns:w=&quot;http://schemas.openxmlformats.org/wordprocessingml/2006/main&quot;&gt;&lt;w:lang w:val=&quot;es-ES_tradnl&quot; /&gt;&lt;/w:rPr&gt;">
        <w:rPr/>
        <w:t xml:space="preserve">Se trata, en realidad de la manera en que el Tribunal de instancia debe poner de manifiesto, al reseñar los hechos probados en la sentencia, los elementos subjetivos del delito. En este sentido la Sentencia del Tribunal Supremo recurrida establece un principio por el que, si el elemento subjetivo del delito se deduce en forma implícita, pero clara, del comportamiento que se atribuye al acusado en el resultando de hechos probados, el pronunciamiento del Tribunal de instancia no resultará objetable en casación. Esta cuestión, como puede verse, no contiene materia constitucional alguna, y constituye, simplemente, una interpretación del derecho ordinario en lo referente a qué debe entenderse por cuestión de hecho en la casación. Como tal es ajena a la materia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a trámite la presente demanda de amparo y archivarlas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