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683</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30 de julio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Registro de Entrada de este Tribunal en 23 de junio de 1986, D. Santiago Garcia Pérez solicita nombramiento de Abogado y Procurador del turno de oficio a fin de poder entablar recurso de amparo contra Auto del Tribunal Supremo, Sala 2ª, que acordaba el archivo de actuaciones, seguidas en virtud de denuncia del actor.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 de julio siguiente la Sección 4ª de este Tribunal acuerda tener por recibido el anterior escrito y requerir al recurrente para que en el plazo de 10 dias presente una relación circunstanciada de los hechos en que pretende fundamentar la demanda y al propio tiempo acredite que se encuentra actualmente comprendido dentro de los requisitos establecidos en la L.E.C. y Normas de este Tribunal para gozar del beneficio de justicia gratuita.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 fecha 16 de julio de 1986 el actor presentó escrito en el que dice enumerar los hechos en que funda el recurso y del que únicamente puede, con gran esfuerzo, deducirse que el Ministerio de Industria y Energía, al que acusa de incumplimiento contractual sin especificar en qué consiste el mismo ni acreditar la existencia de contrato alguno, no ha tomado en consideración supuestos inventos técnicos del recurrente, denunciando "expropiación de sus valiosas patentes" sin precisión ni justificación alguna, y acaba solicitando el nombramiento de Abogado y Procurador del turno de oficio (para lo que acompaña certificación de la Delegación de Hacienda de Madrid en la que se da fé de que no consta que pague contribución alguna) para interponer recurso de amparo contra Auto de la Sala 2ª del Tribunal Supremo de 2 de junio de 1986. El mencionado Auto,del que se acompaña fotocopia,acuerda el archivo de denuncia del ahora recurrente contra los Excmos. Sres. Presidente del Gobierno, Ministro de Justicia y Presidente de la Comunidad de Madrid, a los que acusa de su situación de marginación, arbitrario atropello y desposesión de sus patentes de inventor. El Tribunal Supremo fundamenta el archivo de actuaciones en los arts. 269 y 313 de la L. E.Crim. que facultan a los Tribunales para rechazar las denuncias o querellas cuando los hechos objeto de las mismas no fuesen constitutivos de delito ó fuesen manifiestamente falsos,lo que autoriza a no proseguir la investigación para comprobar la realidad de la "noticia criminis" cuando su manifiesta improcedencia resulte como en este caso del relato de hechos formulado por el denunciante.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cuestión que plantea el recurrente es su queja, por lo demás imprecisa y sin justificar, contra la conducta de la Administración respecto de sus inventos tecnológicos, pretendiendo impugnar en amparo un Auto del Tribunal Supremo que archiva las denuncias presentadas ante dicho Tribunal contra el Presidente del Gobierno, el Ministro de Justicia y el Presidente de la Comunidad de Madrid, como consecuencia de las quejas aludidas, citando genéricamente como vulnerados la Ley Constitucional y los Derechos Humanos.</w:t>
      </w:r>
    </w:p>
    <w:p w:rsidRPr="00C21FFE" w:rsidR="00AD51A7" w:rsidRDefault="008777C4">
      <w:pPr>
        <w:rPr/>
      </w:pPr>
      <w:r w:rsidRPr="&lt;w:rPr xmlns:w=&quot;http://schemas.openxmlformats.org/wordprocessingml/2006/main&quot;&gt;&lt;w:lang w:val=&quot;es-ES_tradnl&quot; /&gt;&lt;/w:rPr&gt;">
        <w:rPr/>
        <w:t xml:space="preserve">Tal cuestión es ajena a la jurisdicción de este Tribunal, que en vía de amparo, como dispone el artículo 53 de la Constitución y el 41 de la Ley Orgánica del Tribunal Constitucional (LOTC), sólo puede entender de la violación de los derechos y libertades fundamentales reconocidos en los artículos 14 a 29 y en el 30, por lo que se refiere a la objeción de conciencia, de la Constitución, derechos cuya concreción debe realizarse por el recurrente.</w:t>
      </w:r>
    </w:p>
    <w:p w:rsidRPr="00C21FFE" w:rsidR="00AD51A7" w:rsidRDefault="008777C4">
      <w:pPr>
        <w:rPr/>
      </w:pPr>
      <w:r w:rsidRPr="&lt;w:rPr xmlns:w=&quot;http://schemas.openxmlformats.org/wordprocessingml/2006/main&quot;&gt;&lt;w:lang w:val=&quot;es-ES_tradnl&quot; /&gt;&lt;/w:rPr&gt;">
        <w:rPr/>
        <w:t xml:space="preserve">Procede, por tanto, de conformidad con lo dispuesto en el artículo 4.2 de la LOTC declarar la falta de jurisdicción de este Tribunal Constitucional para conocer en vía de amparo de la cuestión suscitada, por lo que no procede llevar a cabo las designaciones solicitadas.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Sala acuerda no admitir a trámite los escritos presentados por D. Santiago García Pérez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julio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