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752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138/85, planteó la presente cuestión de inconstitucionalidad, admitida a trámite por providencia de 16 de julio de 1986, de la Sección tercera de este Tribunal, en relación con la disposición adicional 6º,número 3, de la Ley 5/1983, de 29 de junio, de Medidas Urgentes en Materia Presupuestaria, Financiera y Tributaria, en cuanto crea un gravamen complementario para  1983 a la Tasa de juego sobre máquinas de azar, por estimar que puede infringir los artículos 9.3 y 137.7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de Pamplona, Cáceres, Valencia y Santa Cruz de Tenerife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377,378,379,380,381,389,390,395,396,397,398,400,430,431,444,445,446 y 447, todas ellas de 1985, fueron acumuladas por auto del Pleno de 16 de julio del pasado año, por darse los presupuestos previstos en elartículo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1202, 1204, 1205, de 1985, y 75, 76, 77, 78, 79, 80, 81, 93, 94, 95, 145, 146, 246, 248, 311, 424, 475, 550, 568, 572, 664, y 718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escritos de 28 de julio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10 de septiembre último y solicita también,por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