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830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recurso de amparo se dirige contra la Sentencia de 22 de noviembre de 1985, dictada por el Juzgado de Instrucción de Cazorla gue condenó a cada uno de los recurrentes como autores responsables de un delito del artículo 42.1.e) de la Ley de Caza, a la pena de multa de cinco mil pesetas y privación de la licencia de caza o del derecho a obtenerla por dos años; y contra la Sentencia de 11 de abril de 1986 dictada por la Audiencia Provincial de Jaén gue confirmó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8 de agosto de 1986, una vez designados Abogado y Procurador de oficio a los recurrentes, se presentó la demanda de amparo fundada en el artículo 25.1 de la Constitución, solicitándose en ella por medio de otrosí la suspensión de la ejecución de la sentencia recurrida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Admitida a trámite la demanda, la Sección Tercera acordó formar la pieza separada de suspensión y otorgar al Ministerio Fiscal y a los recurrentes, conforme a lo dispuesto en el artículo 56.2 de la L.O.T.C., el plazo de tres días para formular alegaciones en orden a la suspensión solicitada.</w:t>
      </w:r>
    </w:p>
    <w:p w:rsidRPr="00C21FFE" w:rsidR="00AD51A7" w:rsidRDefault="008777C4">
      <w:pPr>
        <w:rPr/>
      </w:pPr>
      <w:r w:rsidRPr="&lt;w:rPr xmlns:w=&quot;http://schemas.openxmlformats.org/wordprocessingml/2006/main&quot;&gt;&lt;w:lang w:val=&quot;es-ES_tradnl&quot; /&gt;&lt;/w:rPr&gt;">
        <w:rPr/>
        <w:t xml:space="preserve">El Ministerio Fiscal por escrito presentado el 2 de octubre de 1986, se opuso a la suspensión por lo siguiente: en cuanto al pago de la multa el recurso no perdería su finalidad "pues está asegurada su devolución"; y en lo relativo a la privación de obtener la licencia de caza durante dos años, debe prevalecer el interés público implícito en el cumplimiento de las resoluciones judiciales.</w:t>
      </w:r>
    </w:p>
    <w:p w:rsidRPr="00C21FFE" w:rsidR="00AD51A7" w:rsidRDefault="008777C4">
      <w:pPr>
        <w:rPr/>
      </w:pPr>
      <w:r w:rsidRPr="&lt;w:rPr xmlns:w=&quot;http://schemas.openxmlformats.org/wordprocessingml/2006/main&quot;&gt;&lt;w:lang w:val=&quot;es-ES_tradnl&quot; /&gt;&lt;/w:rPr&gt;">
        <w:rPr/>
        <w:t xml:space="preserve">Los recurrentes gue en la demanda se limitaron a solicitar la suspensión, no presentaron escrito alguno en el trámite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56.1 de la L.O.T.C.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Y en el mismo precepto se añade que podrá denegarse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Con arreglo a este precepto, para el otorgamiento o denegación de la suspensión hay que ponderar el interés del recurrente en que no pierda el recurso la finalidad que se pretende y el interés público que comporta la ejecución de las resoluciones judiciales. En el presente caso debe prevalecer el interés público o general de ejecución de las Sentencias judiciales; de una parte, porque el pago de la multa no hace perder al recurso su finalidad, toda vez que, como dice el Ministerio Fiscal, está garantizada la devolución caso de anularse la Sentencia recurrida; y de otra, porque la demora en el uso o la obtención de la licencia de caza durante el tiempo en que se sustancie este recurso que ha de ser inferior, al plazo de dos años que la Sentencia establece, no tiene entidad suficiente para oponerse al interés público de la ejecutoriedad de 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resuelve que no procede acordar la suspensión de la ejecución de la Sentencia dictada el 22 de noviembre de 1985 por el Juzgado de Instrucción de Cazorla, objeto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