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Sevilla, en su recurso 493/85, planteó la presente cuestión de inconstitucionalidad, admitida a trámite por providencia de 24 de septiembre de 1986, de la Sección 2ª de este Tribunal, en relación con la disposición adicional 63, número 3, de la Ley 5/1983, de 29 de junio, de Medidas Urgentes en Materia Presupuestaria, Financiera y Tributaria, en cuanto crea un gravamen complementario para 1983 a la Tasa de juego sobre máquinas de azar, por estimar que puede infringir los artículos 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 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715, 753, 754, 864, 865 y 929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13 de octubre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16 de octubre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proceden a su acumulación, con el fin de no retardar excesivamente la conclusión de los ya acumulados dado que cada incidetente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