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975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mayo pasado tuvo entrada en este Tribunal un escrito de doña Isabel Fernández Gómez solicicitando amparo frente al Auto del Juzgado de Instrucción de Berja, de fecha 10 de marzo anterior, dictado en diligencias previas número 1195/85, confirmado en apelación. En el referido escrito se pedía la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julio se acordó recabar de los respectivos Colegios la designación solicitada, hecha la cual, se acordó por providencia de 24 de septiembre otorgar a los designados un plazo de veinte días para que formalizasen las demandas de amparo y de justicia gratuita, habiendo transcurrido dicho plazo sin que se haya presentado escrito alguno, ni siquiera de excusa de la defensa.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No habiéndose cumplimentado el trámite conferido dentro del plazo otorgado, procede declarar caducado dicho trámite; caducidad que en este caso comporta la del recurso mismo ya que la carencia de demanda implica la carencia de objeto del proceso en aquella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la caducidad del recurso de amparo promovido por doña Isabel Fernández Gómez y comunicarlo así al Ilustre Colegio de Abogados de Madrid al que se remitirá qopia de este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