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998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nº 649/85, planteó la presente cuestión de inconstitucionalidad, admitida a trámite por providencia de 22 de octubre de 1986, de la Sección Tercera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de Pamplona, Cáceres, Valencia y Santa Cruz de Tenerife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475, 550, 568, 572, 664, 718, 753, 754, 864, 865, 929 y 933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cuesitón, el Fiscal General del Estado se persona, mediante escrito de 13 de noviembre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14 de noviembre último y solicita también,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la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 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que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