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27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131/85, planteó la presente cuestión de inconstitucionalidad, admitida a trámite por providencia de 29 de octubre de 1986, de la Sec- -ción Segunda de este Tribunal, en relación con la disposición adicional 6ª, número 3, de la Ley 5/1983, de 29 de junio, de Medidas Urgentes en Materia Presupuestaria, Financiera y Tributaria, en cuanto crea un gravamen complementario para 1983 a la Tasa de juego sobre máguinas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729, 753, 754, 864, 865, 993 y 1082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18 de noviembre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22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 que cada incidente de acumulación supone la paralización de las cuestiones implicadas en tanto se sustancia, obliga en la presenté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