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Burgos, en su recurso 176/85, planteó la presente cuestión de inconstitucionalidad, admitida a trámite por providencia de 26 de noviembre de 1986, de la Sección Segunda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gue puede infringir los articulos 1.1, 9.3, 14, 17.1, 31 (1 y 2) y 134.7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distintas Audiencias,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 377, 378, 379, 380, 381, 389, 390, 395, 396, 397, 398, 399, 400, 430, 431, 444, 445, 446 y 447, todas ellas de 1985, fueron acumuladas por auto del Pleno de 16 de julio del pasado año, por darse los presupuestos previstos en el articulo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956, 1019, 1033, 1061, 1088, 1139, 1159, 1177, 1178, 1182, 1203, 1204 y 1205 de 1985, y 75, 76, 77, 78, 79, 80, 81, 93, 94, 95, 145, 146, 246, 248, 311, 424, 432, 433, 434, 455, 459, 460, 475, 550, 568, 572, 644, 664, 698, 718, 753, 754, 864, 865, 929, 993, 1082, 1094, 1115, 1116, 1117, 1118 y 1119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Letrado del Estado se persona, mediante escrito de 17 de diciembre último, en el que solicita se dicte sentencia por la que se declare la plena constitucionalidad de la Disposición Adicional 6a.3 de la Ley 5/1983, de 29 de junio, de medidas urgentes en Materia Presupuestaria, Financiera y Tributaria.</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de 18 de diciembre último y solicita la suspensión de la presente cuestión hasta que recaiga sentencia en las varias acumuladas que están en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 suspender la tramita 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