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Burgos, en su recurso 243/85, planteó la presente cuestión de inconstitucionalidad, admitida a trámite por providencia de 29 de octubre de 1986, de la Sección Tercera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1.1, 9.3, 14, 17.1, 31 (1 y 3) y 134.7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distintas Audiencias,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 1985, por darse los presupuestos previstos en el artículo 83 de la Ley Orgánica del Tribunal Constitu— 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956, 1019, 1033, 1061, 1088, 1139, 1159, 1177, 1178, 1182, 1203, 1204, y 1205 de 1985, y 75, 76, 77, 78, 79, 80, 81, 93, 94, 95, 145, 146, 246, 248, 311, 424, 432, 433, 434, 455, 459, 460, 475, 550, 568, 572, 644, 664, 698, 718, 753, 754, 864, 865, 929, 993, 1082, 1094, 1115, 1116, 1117, 1118 y 1119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presentado el 20 de noviembre de 1986, en solicitud de que se suspenda la tramitación de la presente cuestión hasta que recaiga sentencia en aquellas acumuladas que se hallan en trámite.</w:t>
      </w:r>
    </w:p>
    <w:p w:rsidRPr="00C21FFE" w:rsidR="00AD51A7" w:rsidRDefault="008777C4">
      <w:pPr>
        <w:rPr/>
      </w:pPr>
      <w:r w:rsidRPr="&lt;w:rPr xmlns:w=&quot;http://schemas.openxmlformats.org/wordprocessingml/2006/main&quot;&gt;&lt;w:lang w:val=&quot;es-ES_tradnl&quot; /&gt;&lt;/w:rPr&gt;">
        <w:rPr/>
        <w:t xml:space="preserve">El Letrado del Estado por escrito de 21 de noviembre último, se persona y solicita se dicte sentencia en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acuerde con el artículo 83 de ls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