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Rafael Martínez Castiblanque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agosto de 1986, tuvo entrada en este Tribunal Constitucional la demanda de amparo interpuesta por don Rafael Martínez Castiblanque y otros, representados por el Procurador de los Tribunales don José Granados Weil, contra los .Autos del Juzgado de Instrucción Especial con Jurisdicción Nacional de 7, 21, 30 y 31 de enero de 1986, dictados en el procedimiento de ejecución de Sentencia correspondiente al sumario núm. 430/67 (Juzgado de Instrucción número 1 de Valencia), y el Auto de la Sección Primera de la Audiencia Provincial de Madrid, de 11 de julio de 1986, que no hizo lugar al recurso de queja interpuesto contra los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fueron adquirientes de viviendas subvencionadas construidas por la Entidad «Construcciones Nueva Esperanza, Sociedad Limitada» en Valencia. Como consecuencia de las relaciones jurídicas entre ellos y esta Empresa dieron comienzo en 1967 las actuaciones del sumario núm. 430/67, que tramitó ante el Juzgado de Instrucción núm. 1 de Valencia referido al delito de estafa imputado a Joaquín Beltrán Estelles y veinte personas más. En dichas actuaciones los recurrentes prestaron declaración, entre los meses de agosto y septiembre de aquel año, como testigos damnificados. El sumario núm. 430/67 dio fundamentalmente lugar a la Sentencia de la Sección Primera de la Audiencia Provincial de Madrid de 1 de julio de 1976, condenatoria por el delito de estafa por una cuantía superior a los 200.000.000 de pesetas para una parte de los procesados y absolutoria para el resto de los mismos. La Sentencia fue confirmada por el Tribunal Supremo en fecha que no puede determinarse. La ejecución de esta Sentencia fue encomendada al Juzgado de Instrucción Especial con Jurisdicción Nacional, el que, en el curso del procedimiento correspondiente, dispuso, con fecha 1 de febrero de 1984, una serie de medidas tendentes a hacer efectivo lo decidido en aquella respecto a la liquidación de la masa de bienes, créditos y deudas de «Construcciones Nueva Esperanza, Sociedad Limitada» y su posterior reparto en metálico entre todos los promotores estafados en forma proporcional a lo que cada uno hubiere entregado a dicha Entidad comercial. Esta resolución judicial fue recibida en el mismo mes de febrero por los recurrentes, según lo expresan en la demanda, a través del Presidente de la Comunidad de Propietarios de los edificios en los que se encuentran los pisos por ellos adquiridos. Con fecha 12 de diciembre de 1985 el Juzgado de Instrucción Especial les notificó que la prohibición de enajenar oportunamente dispuesta no podría ser levantada si no constaba «haberse satisfecho lo adeudado a la masa del sumario para su reparto ulterior entre todos los perjudicados». Los demandantes expresan haber recibido esta notificación en la misma forma que la anterior. El 23 de diciembre de 1985 los recurrentes se presentaron ante el Juzgado de Instrucción cuestionando la procedencia de la resolución del mismo de 1 de febrero de 1984 y solicitando, en consecuencia, el levantamiento de la prohibición de enajenar, dispuesta, como surge de la resolución de 1 de febrero de 1984, ya con anterioridad a la misma. El Juzgado de Instrucción dictó entonces el Auto de 7 de enero de 1986, por el que no se hizo lugar a lo requerido por los demandantes, haciendo en los fundamentos jurídicos del mismo una intepretación de lo dispuesto por la Sentencia en ejecución que apoya su punto de vista. Contra este Auto los demandantes interpusieron recurso de reforma subsidiariamente y de apelación. El recurso de reforma fue resuelto en Auto de 21 de enero de 1986 negativamente por el Juzgado de Instrucción, razón por la cual se admitió el recurso de apelación en un solo efecto. En los fundamentos jurídicos el Juzgado se remite a lo ya dicho en el Auto de 7 de enero de 1986. Los recurrentes volvieron a interponer recurso de reforma contra el Auto de 21 de enero de 1986 que, a su vez, había desestimado el recurso de reforma contra el Auto de 7 de enero de 1986. Dicho recurso fue inadmitido por haber sido. presentado sin firma de Letrado mediante el Auto de 30 de enero de 1986. Con fecha 31 de enero de 1986 el Juzgado de Instrucción dictó consecuentemente otro Auto declarando firme el de 21 de enero, confirmatorio del de 7 de enero de 1986, por haber transcurrido más de cinco días desde la notificación sin que se haya solicitado por los recurrentes el testimonio para el trámite de la apelación. El Juzgado de Instrucción fundó su decisión en el art. 391.3 y 4 de la Ley de Enjuiciamiento Civil, que había sido declarada aplicable al caso en el Auto de 21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21 de marzo de 1986 los recurrentes dedujeron, entonces, recurso de queja contra los Autos de 21, 30 y 31 de enero de 1986, manifestando asimismo que por medio de ello «se desvía el procedimiento del recurso de apelación interpuesto contra el Auto del mismo Juzgado de fecha 7 de enero de 1986». Con respecto a la admisión del recurso, los demandantes alegaron en el escrito correspondiente que la apelación declarada desierta, en realidad, por el Auto de 31 de enero de 1986, no dependía de su solicitud del testimonio, pues debía haberse procedido en la forma prevista en el art. 225 de la Ley de Enjuiciamiento Criminal, y no de acuerdo con la Ley de Enjuiciamiento Civil. Con respecto al fondo, los demandantes insistieron en su punto de vista respecto de su derecho al levantamiento de la prohibición de enajenar. La Audiencia Provincial admitió el recurso a trámite en el Auto de 11 de julio de 1986, sosteniendo que la amplitud del recurso de queja en el proceso penal permitía convertir en apelables todos los Autos. Con respecto al fondo del asunto, el Auto de la Audiencia Provincial sostuvo que la decisión del Juzgado de Instrucción recurrida no era sino consecuencia de lo dispuesto en resoluciones de 10 de noviembre, 13 y 29 de diciembre de 1982, conocidas por los apelantes, razón por la cual «no es procesalmente correcto pretender ahora con este recurso deshacer una línea de actuación». En consecuencia, el Auto no dio lugar al recurso de queja y confirmó los Autos recurridos del Juzgado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la vulneración del art. 24.1 y 2 de la Constitución. En su argumentación jurídica se refiere, en primer lugar, a una vulneración de su derecho a la defensa en juicio, que habría resultado lesionado por la forma de la notificación de la resolución de 1984 y porque el Juzgado de Instrucción habría inducido a confusión a los demandantes al afirmar «que se halla en ejecución la Sentencia del Tribunal Supremo de la Nación, cuando realmente la Sentencia del Tribunal Supremo agota su eficacia al conferir firmeza a la de la Audiencia Provincial». Tal confusión se habría producido también porque la notificación de 1984 se refería al sumario 430/67, como incoado contra «Construcciones Nueva Esperanza, Sociedad Limitada», cuando en realidad dicho sumario estaba dirigido contra el señor Estelles y veinte más. Asimismo alegan los demandantes que se les ha privado del derecho al Juez predeterminado en la Ley porque no consideran que el Juez de Instrucción en el curso de la ejecución de una Sentencia condenatoria por el delito de estafa pueda determinar quienes adeudan y cuanto adeudan, cuando tales sumas no estarían aún determinadas.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29 de octubre de 1986, la Sección acordó poner de manifiesto la posible existencia de las causas de inadmisión del art. 50.1 b), en relación al 44.1 c), ambos de la Ley Orgánica del Tribunal Constitucional, por no aparecer invocado en el previo proceso judicial el derecho constitucional que se dice vulnerado, y la del art. 50.2 b) de la misma Ley, por cuanto la demanda pudiera carecer de contenido constitucional, concediendo un plazo común de diez días a la parte recurrente y al Ministerio Fiscal, para la formulación de alegaciones. Dentro de dicho plazo, la parte recurrente alega que en numerosas ocasiones ha invocado en el proceso inicial ante el Juzgado especial a quo la indefensión, pues ya se afirmó allí que se había decidido sin citar antes a los interesados en preceptivos recursos y se había solicitado que tendrían que ser oídos todos los afectados, citándose expresamente «el principio de que nadie puede ser condenado sin ser oído y vencido en juicio». En cuanto a la segunda causa de inadmisión, se afirma que la demanda no carece de contenido constitucional, pues las resoluciones del Juzgado especial, confirmadas por la Sección Primera de la Audiencia Provincial, han impuesto una prohibición de enajenar, inscrita en el Registro de la Propiedad, sobre pisos propiedad de los recurrentes, con unos intereses fijados arbitrariamente sin oír a los mismos, y han dispuesto también de una subvención propia de 30.000 pesetas por piso y vivienda. Se habría además producido también una violación del art. 14 de la Constitución, por haber sido discriminados los recurrentes respecto a los compradores de las plantas bajas del edificio. El Ministerio Fiscal, en su escrito, indica que no se ha demostrado que los derechos del párrafo segundo del art. 24 hayan sido previamente alegados en el proceso judicial, faltando en consecuencia el requisito previsto en el art. 44.1 c) de la Ley Orgánica del Tribunal Constitucional, o, debido a la falta de concrección, la causa de inadmisión del art. 50.1. b) por incumplimiento de lo exigido en el 49.1 de la misma Ley Orgánica del Tribunal Constitucional. En cuanto al fondo, la demanda de amparo demuestra diferencias de criterio entre la parte interesada y el Juzgado en la ejecución de la Sentencia, pero el Tribunal Constitucional no es una tercera instancia revisora, y únicamente es competente para conocer de las posibles vulneraciones de derechos constitucionales. La posible indefensión tendría su razón en una falta de acceso del interesado al proceso de ejecución, y que sus peticiones no hubieran obtenido respuesta motivada, o en una falta de ejecución de la Sentencia firme (Sentencia del Tribunal Constitucional 77/1984). Pero en el presente asunto las extensas discrepancias respecto a la ejecución han sido hechas valer en su recurso presentado y han obtenido respuesta fundada del órgano judicial, por tanto no se ha causado indefensión. Por todo lo anterior, solicita en consecuencia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afirma en su demanda y reitera en su escrito de alegaciones el que «en numerosas ocasiones ha invocado en el proceso inicial ante el Juzgado especial a quo la indefensión», sin embargo las citas que alega se refieren a negar su carácter de «perjudicado», a sostener la necesidad de oír en la medida de ejecución de la Sentencia a los interesados de acuerdo al principio «nadie puede ser condenado sin ser oído»», así como alegaciones de que tendría que decidirse la cantidad «en el juicio correspondiente», denunciándose «la ausencia de juicio contradictorio». Aunque este Tribunal ha intepretado la exigencia del art. 44.1 c) de su Ley Orgánica de una manera abierta, que no impone la referencia al precepto concreto de la Constitución, sí requiere en todo caso el planteamiento explícito de la cuestión jurídico-constitucional, para hacer posible dentro de la propia jurisdicción ordinaria el restablecimiento del derecho constitucional vulnerado.  Este planteamiento constitucional no ha existido en ninguno de los escritos de recurso del recurrente, ni, lógicamente y en consecuencia, en ninguna de las resoluciones judiciales. Aún más, ello se evidencia porque en el recurso de amparo se mencionan el art. 24.2 de la Constitución, en el de alegaciones se invoca el art. 14, y se trata de justificar, en cuanto invocada, la denuncia de indefensión.  Falta en consecuencia el requisito previsto en el art. 44.1 c)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la parte demandante centra su alegato en la supuesta conculcación de los derechos fundamentales contenidos en el art. 24.  1 y 2 de la Constitución, añadiendo a lo largo de la demanda, de forma no muy clara, el haber sufrido indefensión, y el haber lesionado el derecho a Juez ordinario predeterminado por la Ley. En el escrito de alegaciones se invoca además el art. 14, en relación con una presunta discriminación, pero la imposibilidad en ese trámite de una ampliación sustancial de la demanda nos impide examinar siquiera esa presunta vulneración.  Debe tenerse en cuenta que la posible lesión de derechos fundamentales se imputa a unas resoluciones judiciales recaídas respecto a la ejecución de una Sentencia de 1 de julio de 1976, dictada por la Sección Primera de la Audiencia Provincial de Madrid y confirmada por el Tribunal Supremo en su Sentencia de 21 de noviembre de 1977.  Fueron estas últimas Sentencias las que trataron de resolver el complejo problema de un fraude inmobiliario mediante una fórmula equitativa que trataba de compensar los beneficios de los «promotores» que habían obtenido vivienda, frente a los «promotores» perjudicados que no disfrutaron de los bienes de la masa, y también fueron dichas Sentencias las que identificaron a unos y a otros. Debe ser tenido en cuenta este dato temporal en cuanto que los Autos que ahora se impugnan se limitan a ejecutar el contenido de la Sentencia de 1 de julio de 1976. La discusión sobre esta solución, la discusión de la consideración de «perjudicado», que entra por ello dentro del sistema de compensación establecido por la Sentencia de la Audiencia Provincial, la propia existencia del Juzgado especial, etc., son temas sobre los que existe la certeza de cosa juzgada y sobre los que, lógicamente, no puede entrar este Tribunal, teniendo en cuenta además la fecha, anterior a la vigencia de la Constitución en que, de haber existido lesión de derechos fundamentales, la misma se hubiera producido.  El tema constitucional queda así reducido a si la liquidación practicada por el Juzgado de Instrucción Especial en febrero de 1984 y la comunicación, ante la falta de abono, de que.  de no haberse liquidado lo adeudado a la masa del sumario, «se impondrá de nuevo o prorrogará la prohibición de enajenar como previa a ulterior procedimiento y subasta pública del piso», comunicada el 12 de diciembre de 1985, ha supuesto una violación de derechos reconocidos en los núms.  1 y 2 del art. 24 de la Constitución, que además habría sido desconocido por los sucesivos Autos que confirmaron aquellas resoluciones.  No cabe admitir, en primer lugar, que la notificación de la decisión de 1 de febrero de 1984 haya obstaculizado el derecho de defensa de los recurrentes, por la forma en que se practicó, pues éstos no niegan haber tenido conocimiento de la misma, y una notificación que llega a conocimiento de las partes no puede obstaculizar la defensa porque, conocida la pretensión que se exigía contra éstos, hubieran podido interponer todos los recursos pertinentes. Si los recurrentes no lo hicieron ha sido exclusivamente por su inactividad consciente, y por ello la resolución adquirió firmeza, siendo así que la acción de amparo presupone una lesión jurídica imputable a una decisión de la autoridad que no haya devenido firme por la inactividad del recurrente, requisito que en este caso no se cumple de forma manifiesta. Carece absolutamente de justificación la alegación de inducción a error, porque la Sentencia de ejecución no seria la del Tribunal Supremo que confirmó la de la Audiencia, sino la dictada por este último Tribunal, puesto que los demandantes pudieron conocer, de todos modos, que se le imponían una serie de restricciones y obligaciones, en base a una decisión judicial, que había sido confirmada por el Tribunal Supremo. El derecho de defensa en lo que aquí importa requiere que la parte afectada haya podido conocer la pretensión que se dirige contra ella y podido interponer los recursos previstos por la Ley, y tales extremos han sido cumplidos, evidentemente, en la resolución de 1 de febrero de 1984, cuyo conocimiento reconocen los propios demandantes que, sólo por su falta de diligencia, permitieron que aquella adquiriera firmeza.  Las resoluciones judiciales posteriores no han hecho otra cosa que confirmar la resolución de 1 de febrero de 1984, por lo que, como tales, no han producido la indefensión denunciada.  La indefensión había de tener su razón de ser o en una falta de acceso de los interesados al proceso de ejecución o que sus peticiones no hubieran obtenido respuesta motivada, o una falta de ejecución de la Sentencia firme, sin desconocer que corresponde al órgano jurisdiccional hacer ejecutar lo juzgado.  En el presente asunto, como subraya el Ministerio Fiscal, las extensas discrepancias respecto a la ejecución han sido hechas valer por los interesados en los diversos recursos presentados y han obtenido respuestas fundadas por parte de los órganos judiciales, de ahí que no se haya producido indefensión alguna.  Tampoco tiene fundamento la alegación de que el Juez de Instrucción no sea el predeterminado por la Ley. Los recurrentes parecen cuestionar que en la ejecución de la Sentencia penal puedan adoptarse decisiones sobre las cuestiones civiles de reparación del daño causado por el delito. Sin embargo, el art. 101 del Código Penal establece que la responsabilidad civil por el delito se extiende a «la restitución, la reparación del daño causado y la reparación del perjuicio», y el art. 142.4 de la Ley de Enjuiciamiento Criminal establece que esta materia debe ser resuelta en la Sentencia penal. En la medida en que la ejecución de la Sentencia por el Juez penal se ajuste a lo dispuesto por el derecho ordinario y al contenido de una Sentencia firme, no cabe objetarla como vulneradora del derecho al Juez predeterminado por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