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145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12 de junio de 1986 tuvo entrada en este Tribunal Constitucional la demanda de amparo interpuesta por don Miguel Vecino Cordero y doña María Teresa González Martínez, contra la sentencia del Juzgado de Distrito número 2 de Zamora, de 28 de diciembre de 1985, dictada en el proceso de cogninición número 197/85 y contra la dictada por la Audiencia Provincial de Zamora con fecha 28 de mayo de 1986.</w:t>
      </w:r>
    </w:p>
    <w:p w:rsidRPr="00C21FFE" w:rsidR="00AD51A7" w:rsidRDefault="008777C4">
      <w:pPr>
        <w:rPr/>
      </w:pPr>
      <w:r w:rsidRPr="&lt;w:rPr xmlns:w=&quot;http://schemas.openxmlformats.org/wordprocessingml/2006/main&quot;&gt;&lt;w:lang w:val=&quot;es-ES_tradnl&quot; /&gt;&lt;/w:rPr&gt;">
        <w:rPr/>
        <w:t xml:space="preserve">El recurso fue declarado inadmisible por Auto de 26 de noviembre de 1986, en el cual se acordó además imponer a los recurrentes las costas y una sanción pecuniaria de veinticinco mil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el referido Auto dedujo la parte demandante recurso de súplica por cuanto en el mismo se imponen las referidas costas (que entiende no pueden imponerse al ser gratuito el procedimiento) y la multa (que a su entender sólo puede imponerse por sentencia en aplicación de los preceptos de la casación civil que regulan el depósito previo a la interposición de aquélla).</w:t>
      </w:r>
    </w:p>
    <w:p w:rsidRPr="00C21FFE" w:rsidR="00AD51A7" w:rsidRDefault="008777C4">
      <w:pPr>
        <w:rPr/>
      </w:pPr>
      <w:r w:rsidRPr="&lt;w:rPr xmlns:w=&quot;http://schemas.openxmlformats.org/wordprocessingml/2006/main&quot;&gt;&lt;w:lang w:val=&quot;es-ES_tradnl&quot; /&gt;&lt;/w:rPr&gt;">
        <w:rPr/>
        <w:t xml:space="preserve">Del recurso de súplica se dio traslado al Ministerio Fiscal, que se ha opuesto a su estimación,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articulo 95.1 de la Ley Orgánica de este Tribunal establece la regla general de que el proceso en nuestra jurisdicción es gratuito, disponiendo seguidamente las excepciones a esa regla en los apartados 2 y 3 al establecer que podrán imponerse las costas y hasta una sanción pecuniaria si se apreciase temeridad en la interposición y mantenimiento del recurso. Asi, pues, por lo que respecta a lo primero son compatibles la gratuidad y las costas en calidad de regla y de excepción; y en cuanto a la sanción pecuniaria derivada de la apreciación de temeridad ninguna relación guarda con la pérdida del depósito para recurrir en casación, dada su diferente naturaleza y presupuestos, sin que tampoco pueda forzarse una remisión normativa que el articulo 80 de la Ley Orgánica de este Tribunal no autoriza.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no haber lugar al recurso de súplica deducido contra nuestro Auto de 26 de noviembre pasado; debiendo procederse a la tasación de las costas y al requerimiento de pago de la sanción.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