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26 de enero de 1987, el Procurador Don Francisco Alvarez del Valle García, en nombre de Don Francisco Muñoz Seda, interpone recurso de amparo contra el Auto de fecha 8 de enero de 1987, dictado por la Sala Tercera de lo Contencioso-Administrativo de la Audiencia Territorial de Barcelona, en los autos número 249/86.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 hecho se alega en la demanda que el recurrente, Cabo de la Guardia Urbana del Ayuntamiento de Santa Coloma de Gramanet (Barcelona), fue sancionado por la Corporación Municipal con suspensión de funciones por tres años, a causa de una supuesta venta fraudulenta de un piso. Interpuesto recurso contencioso-administrativo contra la resolución sancionadora, se pone de relieve que el Ayuntamiento compareció mediante Procurador que no le representaba, por actuar con poder conferido por Alcalde preconstitucional, así como que la Sala decidió no suspender las actuaciones, pese a que el recurrente subsanó la falta de documentación que se le imputaba. Concluido el procedimiento, sin que se aduzca la fecha ni contenido de la correspondiente sentencia, dictó la Sala el Auto ahora recurrido, en 8 de enero de 1987, por el que, como se desprende de la copia que se aporta, se confirma una providencia anterior que inadmitía recurso de apelación, fundamentándose el Auto en lo dispuesto en el art. 94 de la Ley Jurisdiccional, que establece que no cabe recurso de apelación en cuestiones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amparo por el actor en que el Auto impugnado vulnera sus derechos constitucionales "y sobre todo los artículos 14 a 29 de la Constitución Española", solicitando de este Tribunal que acuerde reponerle como Cabo de la Guardia Urbana del Ayuntamiento mencionado, con abono de sus haberes, desde el día en que fue sancionado.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restablecer o preservar los derechos o libertades por razón de los cuales se formuló el recurso. Pues bien, el actor, aunque invoca "sobre todo los arts. 14 a 29 de la Constitución", lo que solicita es que se ampare al mismo reponiéndole como Cabo de la Guardia Urbana del Ayuntamiento de Santa Coloma de Gramanet (Barcelona), con abono de sus haberes, desde el día de imposición de la sanción, petición que queda claramente fuera del ámbito del amparo constitucional. Al no solicitarse, pues, la reparación de vulneraciones de derechos susceptibles de amparo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