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agosto de 1986 tuvo entrada en este Tribunal Constitucional escrito de don Manuel Martínez Benague, detenido en el Centro Provincial de Detención de Hombres de Zaragoza, por el que solicitaba la designación de Abogado y Procurador del Turno de Oficio para interponer recurso de amparo contra las sentencias por las que había sido condenado, por entender que dichas sentencias (al parecer dos) habían vulnerado los artículos 9, 10, 14, 17, 18, 24, 25 de la Constitución Española y manifiesta ser indigente.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Designados que fueron Procurador y Abogado del turno de oficio, se requirió a los nombrados para que formalizasen las demandas de amparo y de justicia gratuita, presentando aquéllos sendos escritos correspondientes al requerimiento.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que la representación del recurrente ha formalizado no expresa la fecha de las sentencias impugnadas, ni expone qué hechos han sido imputados al recurrente, por qué delitos fue condenado, de qué manera se habrían producido las lesiones de los derechos fundamentales que alega. Finalmente pide que este Tribunal "pronuncie en su día sentencia cuyo fallo de lugar al otorgamiento del amparo", no precisando, como dispone el artículo 49.1 de nuestra Ley Orgánica, la consistencia de ese amparo que solicita, a fin de preservar o restablecer los derechos o libertades que considera vulnerados.</w:t>
      </w:r>
    </w:p>
    <w:p w:rsidRPr="00C21FFE" w:rsidR="00AD51A7" w:rsidRDefault="008777C4">
      <w:pPr>
        <w:rPr/>
      </w:pPr>
      <w:r w:rsidRPr="&lt;w:rPr xmlns:w=&quot;http://schemas.openxmlformats.org/wordprocessingml/2006/main&quot;&gt;&lt;w:lang w:val=&quot;es-ES_tradnl&quot; /&gt;&lt;/w:rPr&gt;">
        <w:rPr/>
        <w:t xml:space="preserve">Todo ello nos lleva a apreciar sustanciales omisiones en la defensa del recurrente que, en lógica consecuencia, nos impiden el enjuiciamiento del caso, estándose en el supuesto previsto por el artículo 85 de la referida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otorgar a la representación del recurrente un plazo de diez dias para que subsane los defectos de la demanda de amparo recabando del démante los elementos precisos.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