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28 de octubre de 1986 la Sala de lo Contencioso-Administrativo de la Audiencia Territorial de Valencia acordó plantear Cuestión de Inconstitucionalidad del artículo 13, párrafos primero y tercero, de la Ley 24/1983 de 21 de diciembre de Medidas Urgentes de Saneamiento y Regulación de las Haciendas Locales. El planteamiento de la cuestión de inconstitucionalidad mencionada tuvo entrada en este Tribunal el día 13 de noviembre de 1986,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noviembre de 1986 la Sección la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por escrito de 9 de diciembre de 1986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Fiscal General del Estado por escrito de 11 de diciembre de 1986, y a la vista de las numerosas cuestiones de inconstitucionalidad planteadas sobre el mismo punto, solicitó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El Presidente del Senado, por su parte, manifestó que se le tuviera por personado mediante escrito de 11 de diciembre de 1986,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Letrado del Estado, mediante escrito de 19 de diciembre, y en función de una interpretación del principio de legalidad en materia tributaria mucho menos estricta de la que rige en el campo penal, termina solicitando que se dicte Sentencia declarando la conformidad con la Constitución del artículo 13 de la Ley 24 de 21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22 de enero de 1987, y pese a la conexión objetiva que la cuestión propuesta tenía con otras que se estaban tramitando, se acordó suspender la tramitación de la cuestión hasta tanto recayera Sentencia en alguna de las ya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Auto de la Sala de Valencia, que plantea la cuestión de inconstitucionalidad que se examina, alcanza al párrafo primero y tercero del artículo 13 de la Ley 24/1983. Las determinaciones contenidas en el párrafo tercero no quedan afectadas por la fundamentación del auto de remisión. Se limita así la cuestión exclusivamente a lo previsto en el nº 1 del referido artículo 13, pues nada dice el auto de remisión sobre la conformidad o disconformidad con la Constitución de lo prevenido en el tercer apartado del mismo precepto legal, sin que sea posible, por lo demás, apreciar la relevancia de una hipotética duda de constitucionalidad de tal apartado, en el proceso del que la cuestión deriva. Por ello, este proceso constitucional tiene por objeto enjuiciar la constitucionalidad de la norma contenida en el apartado 1º del artículo 13 de la tantas veces mencionada Ley 24/1983.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Haciedas Locales, declaración que afecta a tal precepto en su enunciado y no en una interpretación determinada del mismo, es claro que ese precepto ha quedado privado de todo efecto. Esta decisión y su necesaria consecuencia priva así de objeto la cuestión que en su auto de 28 de octubre de 1986 nos planteaba la Sala de lo Contencioso-Administrativo de la Audiencia Territorial de Valencia.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