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26 de noviembre de 1986 la Sala de lo Contencioso-Administrativo de la Audiencia Provincial de Santa Cruz de Tenerife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13 de diciembre de 1986 y se formuló previo cumplimiento de los reguisitos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enero de 1987 la Sección 2ª de este Tribunal acordó admitir a trámite la Cuestión de Inconstitucionalidad propuesta y dar traslado de las actuaciones, en cumplimiento de lo dispuesto en el artículo 37.2 de la LOTC, al Congreso de los Diputados, al Senado, al Gobierno y al Fiscal General del Estado, por los conductos legales, a fin de que en el improrrogable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26 de enero de 1987, y a la vista de las numerosas cuestiones de inconstitucionalidad planteadas sobre el mismo punto, solicitó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Presidente del Senado, por su parte, manifestó que se le tuviera por personado mediante escrito de 28 de enero de 1987,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29 de enero de 1987 expuso su deseo de ofrecer la colabora 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6 de febrero de 1987,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ésta queda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26 de noviembre de 1986 nos planteaba la Sala de lo Contencioso-Administrativo de la Audiencia Provincial de Santa Cruz de Tenerife.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a todo ello,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