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Cuarta de lo Contencioso-Administrativo de la Audiencia Territorial de Madrid, en su recurso 1404/84, planteó la presente cuestión de inconstitucionalidad, admitida a trámite por providencia de 18 de marzo de 1987, de la Sección Segunda del Pleno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14 y 17, en conexión con los artículos 11, 9.3, 31.1 y 3, 33.1 y 3 y 38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 1985,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1119, 1190, 1236, 1249 y 1303 de 1986 y 116 y 188 de 1987,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3 de abril último, en solicitud de que se suspenda la tramitación de la presente cuestión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13 de abril último, suplicando se dicte sentencia por la que se desestime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