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Valiente Pulido, por escrito que ha tenido entrada en este Tribunal, el día 6 de febrero de 1987, y a efectos de interponer recurso de amparo contra las resoluciones de los Juzgados de Instrucción número 8 de Barcelona, de 28 de abril de 1983, que admitió la querella contra la citada persona por presunto delito de calumnia, y del Juzgado de Instrucción número 13 de la misma ciudad, de 26 de abril de 1986, que decretó el archivo de Diligencias incoadas por querella por presunto delito de falsedad a instancia igualmente de la persona antes citada, solicita, tras una cierta relación circunstanciada de los hechos, la designación de Abogado y Procurador del turno de oficio, si ello fuese preciso.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11 de marzo pasado se declaró la falta de jurisdicción de este Tribunal para conocer de las pretensiones del solicitante del amparo, el cual exponía el Auto pretendía que este Tribunal dictase sentencia decretando el sobreseimiento y archivo de las actuaciones de la querella por injurias que le interpuso don Pedro Aymar Llagostera el 22 de abril] de 1983, Sumario 86/86 del Juzgado de Instrucción número ocho de los de Barcelona por haber sido incoada sin ningún documento que pruebe los hechos imputados ni haber el recurrente reconocido que la fotocopia sin legalizar ni legitimar sea de un escrito del recurrente; pidiendo además que se dirija "Suplicatorio al Juzgado de Instrucción número Trece de los de Barcelona para que continúe la instrucción de la querella interpuesta contra don Pedro Aymar Llagostera, Previas 970/86 para obligarle a tener que probar que dicha fotocopia sin legalizar ni legitimar es de un escrito del recurrente y en el caso de que no lo pueda hacer imputarle el haber incurrido en el presunto delito de falsedad. "En estas expresiones -exponía el referido Auto- aparece que el recurrente pretende de este Tribunal que dictemos unas resoluciones, de sobreseimiento de un proceso penal y reapertura de otro, para las que carecemos de jurisdicción por estar encomendadas a los órganos judiciales por el artículo 117.3 de la Constitución, correspondiendo a la Jurisdicción Constitucional únicamente el conocimiento de las violaciones de derechos fundamentales a que se refiere el artículo 53.2 de la propia Constitución, siendo procedente, en consecuencia, aplicar a este caso lo dispuesto en el artículo 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Valiente Pulido presentó sendos escritos interponiendo recursos de revisión y de súplica contra el referido Auto, invocando los artículos 15, 17, 18 y 24 de la Constitución y pidiendo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Por providencia de 22 de abril se acordó no admitir a trámite el recurso de revisión y dar traslado del de súplica al Ministerio Fiscal para alegaciones. Dicho Ministerio ha expuesto, sustancialmente, que la pretensión del recurrente es a todas luces ajena a la función del Tribunal Constitucional, debiendo mantenerse el Auto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contenido constitucional de una pretensión de amparo no puede quedar determinada por la sola invocación de unos preceptos de la Constitución sino por el contenido real de la pretensión deducida; atendido lo cual, es visto que este Tribunal carece de jurisdicción para resolver lo que el recurrente pretende, debiendo estarse a lo razonado y resuelto en el Auto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recurso de súplica deducido contra el Auto de 11 de marzo pasado,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