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624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mayo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día 7 de marzo pasado tuvo entrada en este Tribunal demanda de amparo formulada por don Pablo, don Luis, doña Agripina, don Enrique, doña María Piedad y doña Palmira Domínguez Domínguez exponiéndose en ella, sustancialmente, que en proceso de interdicto de obra nueva número 287/86 seguido a instancia de los demandantes de amparo frente a don Atilano Gago Tundidor, el Juzgado de Primera Instancia número 1 de Zamora dictó Sentencia el 24 de septiembre de 1986 desestimando la demanda interdictal, alzando la suspensión de la obra, condenando en costas a la parte demandante y desestimando su petición de indemnización de daños y perjuicios.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Interpuesto recurso de apelación por los demandantes y comparecidas las partes ante la Audiencia Provincial el demandado no se adhirió a la apelación al devolver los autos en el trámite de instrucción conforme al articulo 858 de la Ley de Enjuiciamiento Civil.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En el acto de la vista del recurso los apelantes pidieron la total revocación de la Sentencia apelada, y el demandado apelado su confirmación, quedando excluido del debate la pretensión del demandado de indemnización de los daños y perjuicios que la paralización de la obra le hubiese producido.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Con fecha 12 de febrero de 1987 la Audiencia de Zamora dictó Sentencia revocando parcialmente la de instancia y condenando a los demandantes al pago de las costas y a abonar a los demandados los daños y perjuicios causados por la paralización de la obra.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Los demandantes acuden al amparo constitucional invocando el artículo 24.2 de la Constitución por entender que se les ha causado indefensión.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En otrosí de la demanda de amparo se pedía la suspensión de la ejecución la Sentencia impugnada alegando los perjuicios que tal ejecución podría producir a los demandantes, personas todas ellas profesionalmente modestas y sin medios económicos.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Para sustanciar dicha pretensión se formó pieza separada en la que han sido oidos la parte demandante, nuevamente, el Ministerio Fiscal.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representación demandante ha puntualizado que los perjuicios podrían superar las 1.667.584 pesetas.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Ministerio Fiscal ha manifestado su oposición a la suspension.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Único.- Si la sentencia se ejecutase los demandantes tendrían que abonar la cantidad a que se refieren en sus alegaciones y si el amparo prosperase les habría de ser reintegrada, dicha cantidad, por lo que el amparo no habría perdido su finalidad. Por otra parte, y haciendo abstracción del contenido patrimonial de la indemnización regida por normas de Derecho privado, los demandantes no han aportado justificación alguna de las invocadas dificultades económicas.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Sala ha acordado no suspender la ejecución de la Sentencia de la Audiencia de Zamora impugnada en este proceso.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veinte de mayo de mil novecientos ochenta y siete.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