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676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gue tuvo entrada en el Registro de este Tribunal, el día 10 de noviembre de 1986, D. Domingo Companys Pérez, interpuso en nombre propio, recurso de amparo contra la sentencia del Tribunal Supremo de 6 de octubre de 1986, y solicitó que se le designase Procurador de oficio.</w:t>
      </w:r>
    </w:p>
    <w:p w:rsidRPr="00C21FFE" w:rsidR="00AD51A7" w:rsidRDefault="008777C4">
      <w:pPr>
        <w:rPr/>
      </w:pPr>
      <w:r w:rsidRPr="&lt;w:rPr xmlns:w=&quot;http://schemas.openxmlformats.org/wordprocessingml/2006/main&quot;&gt;&lt;w:lang w:val=&quot;es-ES_tradnl&quot; /&gt;&lt;/w:rPr&gt;">
        <w:rPr/>
        <w:t xml:space="preserve">Por providencia de 10 de diciembre de 1986 la Sección Primera de este Tribunal, acordó despachar oficio al Decano del Colegio de Procuradores y requerir al Abogado D. Luis del Castillo Aragón para que manifieste si acepta la defensa del solicitante de amparo.</w:t>
      </w:r>
    </w:p>
    <w:p w:rsidRPr="00C21FFE" w:rsidR="00AD51A7" w:rsidRDefault="008777C4">
      <w:pPr>
        <w:rPr/>
      </w:pPr>
      <w:r w:rsidRPr="&lt;w:rPr xmlns:w=&quot;http://schemas.openxmlformats.org/wordprocessingml/2006/main&quot;&gt;&lt;w:lang w:val=&quot;es-ES_tradnl&quot; /&gt;&lt;/w:rPr&gt;">
        <w:rPr/>
        <w:t xml:space="preserve">Por nueva providencia de 21 de enero de 1987, la Sección tuvo por designada como Procuradora por el turno de oficio a Dª Carmen Arnaiz Sanz, y como Abogado al profesional anteriormente citado, y otorgó un plazo de veinte días al objeto de formular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con fecha 20 de febrero la mencionada Procuradora formuló, en nombre del recurrente, su escrito de demanda fundamentado en los hechos siguientes:</w:t>
      </w:r>
    </w:p>
    <w:p w:rsidRPr="00C21FFE" w:rsidR="00AD51A7" w:rsidRDefault="008777C4">
      <w:pPr>
        <w:rPr/>
      </w:pPr>
      <w:r w:rsidRPr="&lt;w:rPr xmlns:w=&quot;http://schemas.openxmlformats.org/wordprocessingml/2006/main&quot;&gt;&lt;w:lang w:val=&quot;es-ES_tradnl&quot; /&gt;&lt;/w:rPr&gt;">
        <w:rPr/>
        <w:t xml:space="preserve">a) El actor fue condenado por sentencia de la Audiencia Provincial de Barcelona, de 13 de mayo de 1985, como autor responsable, junto con otras dos personas más, de dos delitos de robo con intimidación, a la pena de cuatro años, dos meses y un día de prisión menor, suspensión de derecho de sufragio, gastos e indemnización a los perjudicados, y como autor responsable de un delito de robo de uso, a la pena de dos meses de arresto mayor, suspensión de derecho de sufragio, privación del permiso de conducir o derecho a obtenerlo por un año, y costas.</w:t>
      </w:r>
    </w:p>
    <w:p w:rsidRPr="00C21FFE" w:rsidR="00AD51A7" w:rsidRDefault="008777C4">
      <w:pPr>
        <w:rPr/>
      </w:pPr>
      <w:r w:rsidRPr="&lt;w:rPr xmlns:w=&quot;http://schemas.openxmlformats.org/wordprocessingml/2006/main&quot;&gt;&lt;w:lang w:val=&quot;es-ES_tradnl&quot; /&gt;&lt;/w:rPr&gt;">
        <w:rPr/>
        <w:t xml:space="preserve">b) Interpuesto recurso de casación por infracción de Ley, con base en el artículo 849.2º de la Ley de Enjuiciamiento Criminal, por error de hecho en la apreciación de las pruebas, fue desestimado por sentencia del Tribunal Supremo, de 6 de octubre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solicita de este Tribunal que acuerde concederle amparo frente a las sentencias impugnadas. Aduce como violado el artículo 24.2 CE. Funda su queja en que la actividad probatoria realizada para demostrar la participación en el atraco del recurrente es nula porque se apoya en simples reconocimientos fotográficos, en declaraciones que desmienten quienes las hicieron en base a que la identificación se produjo en fotografías de archivo policial y el reconocimiento en una rueda de presos llevada a cabo sin ajustarse a Derecho y sin adoptar las medidas y garantías que protegen al justiciable. Todo ello determina una vulneración del derecho a la presunción de inocencia por inexistencia de pruebas de las que se deduzca la participación del recurrente en la comisión del hecho punible.</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8 de abril, la Sección Segunda puso de manifiesto la posible existencia de la causa de inadmisión a que se refiere al artículo 50.2.b) LOTC por falta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Dentro del plazo concedido al efecto, reitera la representación del recurrente que la falta de actividad probatoria que se invoca no afirma que hubiese una carencia absoluta de pruebas sino que la que sirvió de base a la sentencia resulta inválida, bien por haberse aplicado sin garantías procesales, bien por el hecho de haber utilizado como prueba elementos que no constituyen en sí mismos sino un medio para alguna prueba posterior.</w:t>
      </w:r>
    </w:p>
    <w:p w:rsidRPr="00C21FFE" w:rsidR="00AD51A7" w:rsidRDefault="008777C4">
      <w:pPr>
        <w:rPr/>
      </w:pPr>
      <w:r w:rsidRPr="&lt;w:rPr xmlns:w=&quot;http://schemas.openxmlformats.org/wordprocessingml/2006/main&quot;&gt;&lt;w:lang w:val=&quot;es-ES_tradnl&quot; /&gt;&lt;/w:rPr&gt;">
        <w:rPr/>
        <w:t xml:space="preserve">El Ministerio Fiscal, por su parte, solicita la inadmisión de la demanda que -dice- lo que hace es contrastar la prueba de cargo con la de descargo para descalificar la primera. El Fundamento primero de la sentencia de casación, añade, pormenoriza las pruebas que existen en las actuaciones que son muy abundantes y en lo que se refiere a la diligencia de reconocimiento en rueda, que no fue sino una de las utilizadas, hay que añadir que ni fue impugnada en su momento, ni la objeción que ahora se le hace permite considerarla irregular y muchos menos aún lesiva de los derechos fundamentales.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Tras lo alegado en este trámite es forzoso concluir que la presente demanda es inadmisible por concurrencia de la causa que en nuestra providencia se señalaba.</w:t>
      </w:r>
    </w:p>
    <w:p w:rsidRPr="00C21FFE" w:rsidR="00AD51A7" w:rsidRDefault="008777C4">
      <w:pPr>
        <w:rPr/>
      </w:pPr>
      <w:r w:rsidRPr="&lt;w:rPr xmlns:w=&quot;http://schemas.openxmlformats.org/wordprocessingml/2006/main&quot;&gt;&lt;w:lang w:val=&quot;es-ES_tradnl&quot; /&gt;&lt;/w:rPr&gt;">
        <w:rPr/>
        <w:t xml:space="preserve">En efecto, la queja del actor consiste en afirmar vulnerado el artículo 24.2 por la inexistencia de pruebas de cargo que desvirtúen la presunción de inocencia del mismo. Sin embargo dicha queja no puede prosperar, ya que de acuerdo con una extensísima doctrina constitucional al respecto, el cometido de este Tribunal en la valoración de una posible infracción del derecho de presunción de inocencia consiste en principio en la comprobación de la existencia de material probatorio suficiente, constitucionalmente legítimo.</w:t>
      </w:r>
    </w:p>
    <w:p w:rsidRPr="00C21FFE" w:rsidR="00AD51A7" w:rsidRDefault="008777C4">
      <w:pPr>
        <w:rPr/>
      </w:pPr>
      <w:r w:rsidRPr="&lt;w:rPr xmlns:w=&quot;http://schemas.openxmlformats.org/wordprocessingml/2006/main&quot;&gt;&lt;w:lang w:val=&quot;es-ES_tradnl&quot; /&gt;&lt;/w:rPr&gt;">
        <w:rPr/>
        <w:t xml:space="preserve">En el presente caso, la lectura de la sentencia del Tribunal Supremo acredita la suficiencia de dicho material probatorio al relacionarse en la citada sentencia las numerosas pruebas sumariales, así como las declaraciones de inculpados y testigos en el juicio oral, al objeto de que la Sala sentenciadora "pudiera hacer sobre ellos la valoración en conciencia a que le obliga la ley", siendo de destacar que las afirmaciones del recurrente en orden a considerar nulo parte del material probatorio no expresa más que una discrepancia con la valoración judicial en la que no corresponde entrar a este Tribunal. En particular esta argumentación del recurrente sobre los efectos que pudieron producirse en la diligencia del reconocimiento en rueda, carecen en absoluto de la transcendencia que se les atribuye, tanto, cuanto que dichas diligencias sólo fueron una parte de los elementos de que el Tribunal sentenciador dispuso para formar su convicción.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