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55</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14 de enero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21 de enero de 1987, la Abogada de la Generalidad de Cataluña, doña Inmaculada Folchi i Bonafonte, en nombre del Consejo Ejecutivo de la misma, promovió conflicto positivo de competencia frente al Gobierno del Estado, en relación con el Convenio de financiación para operaciones de rehabilitación de viviendas de promoción pública concertado entre el Director General de la Vivienda del Ministerio de Obras Públicas y Urbanismo y el Concejal-Presidente del Patronato Municipal de la Vivienda del Ayuntamiento de Barcelona. Solicitaba la Abogada de la Generalidad de este Tribunal que declare que la titularidad de la competencia controvertida corresponde a la Generalidad de Catalauña y que anule y deje sin efecto el Convenio impugnado únicamente en lo que concierne al extremo relativo al abono directo por el Ministerio de Obras Públicas y Urbanismo de la subvención al Ayuntamiento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Admitido a trámite el conflicto de competencia por providencia de la Sección Segunda de 28 de enero de 1987, y publicada su incoación en el «Boletin Oficial del Estado» del día 5 de febrero siguiente, el Letrado del Estado formuló sus alegaciones el 12 de marzo de este mismo año, oponiéndose a la estimación del conflicto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11 de noviembre de 1987 se recibió un escrito por el que el Procurador don Juan Ignacio Avila del Hierro, en nombre del Ayuntamiento de Barcelona, solicitaba se le tuviera por personado y parte en concepto de coadyuvante en el presente conflicto de competencia y que se entendieran con él las sucesivas diligencias.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noviembre de 1987, la Sección acordó dar traslado del anterior escrito al Letrado del Estado y a la representación procesal del Consejo Ejecutivo de la Generalidad de Cataluña para que alegasen sobre la solicitud contenida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Estado alega que, según el ATC 173/1986, la figura del coadyuvante es admisible en el conflicto de competencia cuando, además de la titularidad de la competencia controvertida, haya que decidir sobre actos y situaciones creadas por el acto determinante del conflicto, en las que existan intereses concretos y directos de terceras personas. Así ocurre en el presente caso, pues el Ayuntamiento de Barcelona tiene un interés directo en el Convenio que ha desencadenado el conflicto de competencia. Por ello solicita el Letrado del Estado que se admita la personación de dicho Ayuntamiento en concepto de coadyuvante.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 la Generalidad de Cataluña, que manifiesta su sorpresa por el tardío interés mostrado por el Ayuntamiento de Barcelona en el asunto, hace constar que la acción emprendida por la Generalidad no tiene por objeto privar al Ayuntamiento compareciente de los recursos económicos percibidos mediante el Convenio impugnado, sino que sólo ha puesto en cuestión la titularidad de la competencia para la firma del mismo, así como el procedimiento y trámite seguidos para su celebración. Solicita se tenga por evacuado el traslado conferido en los término expuestos.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reiterada doctrina de este Tribunal, establecida en los AATC 124/1981, de 19 de noviembre; 459/1985, de 4 de julio; 173/1986, de 20 de febrero, si bien la figura del coadyuvante no se encuentra prevista en los conflictos de competencia entre el Estado y las Comunidades Autónomas, en que el debate de la titularidad de la competencia controvertida afecta exclusivamente a los intereses públicos de uno u otras, la intervención de coadyuvantes puede admitirse en aquellos casos en que, de acuerdo con lo dispuesto en el art. 66 de la LOTC, en el proceso constitucional haya que decidir además sobre actos y situaciones de hecho o Derecho creadas por el acto determinante del conflicto, en las que existan intereses concretos y directos de terceros que pretenden comparecer como tales coadyuvantes.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objeto del conflicto de competencia es un Convenio celebrado entre la Administración del Estado y el Ayuntamiento de Barcelona, del que derivan concretos derechos subvencionales en favor de este último.  Aunque la parte actora, que no se opone expresamente a la personación del Ayuntamiento de Barcelona como coadyuvante, manifiesta en su último escrito que no pretende privar al mismo de los recursos económicos percibidos mediante el Convenio, lo cierto es que solicita en la demanda no sólo que se declare su titularidad sobre la competencia controvertida, sino también que se anule y deje sin efecto el acto impugnado en lo que concierne al abono directo por el MOPU de la subvención al Ayuntamiento de Barcelona. Si a ello se suma que el acto impugnado es un Convenio del que el propio Ayuntamiento ha sido parte, no se puede negar que existen intereses directos y concretos del mismo que pudieran verse afectados por la resolución del conflicto y que legitiman su intervención como coadyuvante en el proceso constitucional. Bien entendido que, como declaramos en el citado ATC 459/1985, la personación de los coadyuvantes no autoriza para retrotraer las actuaciones a un momento anterior a aquel en que se encuentren, y, por consiguiente, al período de alegaciones, que en este caso quedó cerrado desde que el Letrado del Estado formuló las suyas, con mucha anterioridad a la comparecencia del Ayuntamiento de Barcelona.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el Pleno del Tribunal acuerda tener por personado al Procurador don Juan Ignacio Avila del Hierro, en nombre del Ayuntamiento de Barcelona, disponiendo que se entiendan con él las sucesivas diligencias.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