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12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de conformidad con el art. 50.3 LOTC,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 de febrero tiene entrada en el Juzgado de Guardia demanda de amparo formulada por la representación procesal de doña Juana de la Cruz Carneros Moreno y doña Adelaida Sordo Carneros, contra la Sentencia de 7 de enero de 1993 de la Audiencia Provincial de Logroño.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Don Angel Estepa López dedujo demanda de juicio verbal contra las ahora recurrentes y otro solicitando la declaración de libertad de la propiedad del actor de cualquier tipo de servidumbres o gravámenes, y que se condenara a los demandados a retirar una caja de PVC instalada en un muro propiedad del actor. </w:t>
      </w:r>
    </w:p>
    <w:p w:rsidRPr="00C21FFE" w:rsidR="00AD51A7" w:rsidRDefault="008777C4">
      <w:pPr>
        <w:rPr/>
      </w:pPr>
      <w:r w:rsidRPr="&lt;w:rPr xmlns:w=&quot;http://schemas.openxmlformats.org/wordprocessingml/2006/main&quot;&gt;&lt;w:lang w:val=&quot;es-ES_tradnl&quot; /&gt;&lt;/w:rPr&gt;">
        <w:rPr/>
        <w:t xml:space="preserve">b) Admitida la demanda, dio lugar al juicio verbal civil 170/92 del Juzgado de Primera Instancia núm. 7 de Logroño, y convocadas las partes al juicio los demandados se opusieron mediante escrito de contestación en el que, entre otros extremos, alegaron la excepción de inadecuación del procedimiento, que fue rechazada por el Juzgado, haciendo constar los demandados su protesta por la inadmisión de esta excepción procesal. </w:t>
      </w:r>
    </w:p>
    <w:p w:rsidRPr="00C21FFE" w:rsidR="00AD51A7" w:rsidRDefault="008777C4">
      <w:pPr>
        <w:rPr/>
      </w:pPr>
      <w:r w:rsidRPr="&lt;w:rPr xmlns:w=&quot;http://schemas.openxmlformats.org/wordprocessingml/2006/main&quot;&gt;&lt;w:lang w:val=&quot;es-ES_tradnl&quot; /&gt;&lt;/w:rPr&gt;">
        <w:rPr/>
        <w:t xml:space="preserve">c) Seguido el procedimiento, el Juzgado dictó Sentencia con fecha de 5 de octubre de 1992 en la que después de desestimar la citada excepción de inadecuación del procedimiento estimó parcialmente la demanda y condenó a los demandados a retirar a su costa del muro medianero la caja de PVC instalada por éstos sin el consentimiento del actor. </w:t>
      </w:r>
    </w:p>
    <w:p w:rsidRPr="00C21FFE" w:rsidR="00AD51A7" w:rsidRDefault="008777C4">
      <w:pPr>
        <w:rPr/>
      </w:pPr>
      <w:r w:rsidRPr="&lt;w:rPr xmlns:w=&quot;http://schemas.openxmlformats.org/wordprocessingml/2006/main&quot;&gt;&lt;w:lang w:val=&quot;es-ES_tradnl&quot; /&gt;&lt;/w:rPr&gt;">
        <w:rPr/>
        <w:t xml:space="preserve">d) Apelada la Sentencia de instancia, la Audiencia constituida con un solo Magistrado conforme al art. 737 L.E.C. (en su redacción tras la Ley 10/1992) volvió a examinar la excepción de inadecuación del procedimiento alegada por los demandados y apelantes, recibiendo una respuesta del órgano judicial que consistió en aceptar la fundamentación jurídica del Juez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mayo de 1993 esta Sección acordó tener por interpuesto el recurso de amparo y conceder un plazo común de diez días a las recurrentes y al Ministerio Fiscal para que formulasen las alegaciones que tuvieran por conveniente sobre la posible falta de contenido constitucional de la demanda [arts. 5.1 c) y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las recurrentes reiteran su petición de amparo centrada básicamente en la falta de obtención de una resolución judicial congruente donde se expongan los motivos de inadmisión de la excepción de inadecuación de procedimiento alegada, tanto en la primera como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interesa la inadmisión del recurso por carecer la demanda de contenido que justifique una decisión en forma de Sentencia, pues la falta de razonamiento de la resolución judicial sobre la excepción alegada por los recurrentes y la indefensión que su no estimación les habría producido al seguirse el procedimiento del juicio verbal en lugar del de menor cuantía no ha causado ningún perjuicio material, real y efectivo, sin que sea suficiente la alegación de que la apelación pudiera haber sido conocida por tres Magistrados en lugar de uno, como tampoco la genérica de que este procedimiento ofrece más garantías o medios de defensa. Además, para el Fiscal, de estimarse el amparo, el único efecto práctico que conllevaría sería una dilatación en el tiempo de la resolución del pleito que no alteraría la decisión en cuanto al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denuncia la infracción del art. 24 de la Constitución que se basa fundamentalmente en «no haber sido contestada la excepción de inadecuación de procedimiento tanto durante el juicio verbal, como en la apelación», es decir, en que no se ha conseguido de los órganos judiciales «que fundamenten de alguna forma la desestimación de su pretensión en este caso excepción por inadecuación de procedimiento». En definitiva, lo que se denuncia es la lesión del art. 24.1 C.E. en cuanto que el derecho a la tutela judicial efectiva comprende el derecho a obtener una resolución fundada en Derecho.</w:t>
      </w:r>
    </w:p>
    <w:p w:rsidRPr="00C21FFE" w:rsidR="00AD51A7" w:rsidRDefault="008777C4">
      <w:pPr>
        <w:rPr/>
      </w:pPr>
      <w:r w:rsidRPr="&lt;w:rPr xmlns:w=&quot;http://schemas.openxmlformats.org/wordprocessingml/2006/main&quot;&gt;&lt;w:lang w:val=&quot;es-ES_tradnl&quot; /&gt;&lt;/w:rPr&gt;">
        <w:rPr/>
        <w:t xml:space="preserve">Esta infracción constitucional determina, según las recurrentes, otras dos.  En primer lugar, la vulneración del derecho al Juez predeterminado por la Ley, pues, de haberse apreciado la excepción de inadecuación del procedimiento alegada, el asunto se habría seguido por el trámite de menor cuantía, y de la apelación habría conocido la Audiencia con su composición ordinaria integrada por tres Magistrados y no la Audiencia constituida con un solo Magistrado como establece el art. 737 tras la Ley 10/1992. En segundo lugar, se aduce que la resolución recurrida produce además indefensión pues al tramitarse el asunto como un verbal civil, los medios de defensa y la posibilidad de recurso no son los mismos que los de menor cuantía, que es el procedimiento que, según las recurrentes, procedía.</w:t>
      </w:r>
    </w:p>
    <w:p w:rsidRPr="00C21FFE" w:rsidR="00AD51A7" w:rsidRDefault="008777C4">
      <w:pPr>
        <w:rPr/>
      </w:pPr>
      <w:r w:rsidRPr="&lt;w:rPr xmlns:w=&quot;http://schemas.openxmlformats.org/wordprocessingml/2006/main&quot;&gt;&lt;w:lang w:val=&quot;es-ES_tradnl&quot; /&gt;&lt;/w:rPr&gt;">
        <w:rPr/>
        <w:t xml:space="preserve">Examinadas estas dos últimas infracciones constitucionales (Juez predeterminado e indefensión), carecen manifiestamente de contenido. El derecho al Juez predeterminado por la Ley no ha sido lesionado, ya que la finalidad de este derecho, que no es otra que garantizar la independencia e imparcialidad del Juez mediante su determinación por la Ley con arreglo a criterios generales y anteriores al proceso concreto que eviten la designación de Jueces ad hoc (STC 101/1984), se ha respetado. Por su parte, la alegación de la indefensión padecida es puramente retórica al no señalarse ni acreditarse en qué se ha visto mermado el derecho de defensa de las recurrentes que, por el contrario, han intervenido en el juicio verbal y en la apelación sin limitación alguna en la alegación y prueba de lo que a sus intereses convenía.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por tanto, por analizar la base principal del amparo solicitado, que igualmente debe ser rechazado, pues el examen de la Sentencia de apelación revela que el Juez ad quem, frente a la omisión que se denuncia en la demanda de amparo, se pronunció sobre la excepción de inadecuación del procedimiento del juicio verbal para conocer de las pretensiones ejercitadas en la demanda rectora de la litis, resolviéndola en sentido desestimatorio mediante un razonamiento que si bien fue escueto en su redacción, consistió en hacer propia la solución del juzgador a quo, aceptando expresamente el primer fundamento jurídico de la Sentencia apelada, en el que se trataba y desestimaba dicha excepción. Forma de proceder por remisión que satisface la exigencia constitucional de motivar las resoluciones judiciales que deriva del art. 24 C.E. en relación con el art. 120.3 de la misma norma fundamental, de acuerdo con la doctrina de este Tribunal que admite la motivación por remisión o realizada mediante razonamientos escuetos o concisos (SSTC 55/1987, 184/1988, 74/1990 y 146/1990), sin que el otorgamiento del amparo por falta de motivación que en este caso no se ha producido produjera otro efecto que la necesidad de que se dictara una nueva resolución judicial suficientemente motivada o razonada. En todo caso, la corrección jurídica de la fundamentación de la decisión judicial o la aplicación e interpretación de la legalidad ordinaria sobre la que se base ésta, es materia que no puede ser revisada por este Tribunal salvo que afecte a un derecho fundamental (SSTC 55/1987 y 146/1990, citadas), circunstancia que no concurre en el presente caso, según ha quedado razonado.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presente recurso de amparo por falta de contenido que justifique una decisión sobre el fondo en forma de Sentencia [art. 50.1 c) LOTC], y el archivo de las actuaciones.</w:t>
      </w:r>
    </w:p>
    <w:p w:rsidRPr="" w:rsidR="00AD51A7" w:rsidRDefault="008777C4">
      <w:pPr>
        <w:rPr/>
      </w:pPr>
      <w:r w:rsidRPr="&lt;w:rPr xmlns:w=&quot;http://schemas.openxmlformats.org/wordprocessingml/2006/main&quot;&gt;&lt;w:szCs w:val=&quot;24&quot; /&gt;&lt;/w:rPr&gt;">
        <w:rPr/>
        <w:t xml:space="preserve">Al inadmitirse el recurso no ha lugar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