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reclamación del mismo, la cual tenía como antecedentes los hechos que a continuación se describen.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Raúl Ricardo Lameiro Antón fue sancionado administrativamente en virtud de las Resoluciones de fechas 17 de marzo de 1992 y 14 de octubre de dicho año, por la Consellería de Pesca, Marisqueo y Acuicultura de la Xunta de Galicia, en virtud de expediente núm. PO-317/91, iniciado por la denuncia cursada por el Servicio de Vigilancia de la misma consistente en «entorpecer la labor de vigilancia y realizar faenas de arrastre en zona no autorizada a bordo de la embarcación "Volador II", matricula 3 a VI-2-2269, al sureste de Punta Galera (ría de Pontevedra; Longitud 08 55'2; latitud 42 19'4, el día 8 de mayo de 1991, a sus veinte treinta y cinco horas», por el que se calificaron las infracciones cometidas como muy graves con arreglo a la Ley 5/1985, de 11 de junio, y como grave y muy grave, respectivamente, en aplicación de la Ley 6/1991, de 15 de mayo, imponiéndosele la sanción de multa de 1.100.002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Seguido el correspondiente procedimiento contencioso-administrativo ante la Sala correspondiente del Tribunal Superior de Justicia de Galicia -recurso núm. 5.101/92-, por la misma se denegó la solicitud del recurrente relativa al recibimiento del juicio a prueba, impidiéndosele por ello la práctica de pruebas que pudieran acreditar su inocencia respecto a las imputaciones contra él mismo efectuadas en virtud de la denuncia cursada por el mentado Servicio de Vigilancia de la citada Consellería de Pesca.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diciembre de 1995, se acordó formar pieza separada de suspensión con el precedente testimonio, así como y a tenor de lo dispuesto en el art. 56 de la LOTC, conceder un plazo de tres días al Ministerio Fiscal, y al solicitante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se opuso a la suspensión solicitada fundamentalmente en base al carácter de las propias decisiones administrativas confirmadas judicialmente, cuando su contenido, como ocurre en el presente caso, es estrictamente económico, no apreciándose a primera vista, que la propia cuantía de las sanciones impuestas, sean de tal entidad que aconsejen la suspensión, máxime cuando el solicitante de amparo no aporta elementos de prueba acreditativos de las circunstancias que deban llevar aparejada la suspensión de la ejecución de la mencionada sanción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solicitante de amparo se reiteró en las manifestaciones contenidas en su demanda de amparo, mostrándose favorable a la suspensión de dichas sanciones administrativas, en virtud tanto de que de la misma no se sigue perturbación grave a los intereses generales o a los derechos fundamentales o libertades públicas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integra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cuya ejecución se pretende suspender tiene un contenido exclusivamente económico, por lo que, de conformidad con la doctrina antes expuesta, ha de entenderse que su restitución, en el caso de la eventual estimación del recurso de amparo formulado, no resulta imposible; y ello determina la procedencia de denegar la suspensión solicitada, conforme interesa el Ministerio Fiscal, con independencia de cuál sea el resultado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