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380</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25 de noviembre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abierta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10 de abril de 1997, tuvo entrada en el Registro General de este Tribunal escrito de la representación procesal de «Aegon, Unión Aseguradora, S.A.», por medio del cual interpone recurso de amparo frente a la Sentencia de 6 de marzo de 1997 de la Audiencia Provincial de Alicante, dictada en rollo de apelación 1.436-C/96, dimanante de los autos de juicio verbal 461/95 del Juzgado de Primera Instancia núm. 6 de Orihuela.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del paro, brevemente expuestos, son los siguientes: </w:t>
      </w:r>
    </w:p>
    <w:p w:rsidRPr="00C21FFE" w:rsidR="00AD51A7" w:rsidRDefault="008777C4">
      <w:pPr>
        <w:rPr/>
      </w:pPr>
      <w:r w:rsidRPr="&lt;w:rPr xmlns:w=&quot;http://schemas.openxmlformats.org/wordprocessingml/2006/main&quot;&gt;&lt;w:lang w:val=&quot;es-ES_tradnl&quot; /&gt;&lt;/w:rPr&gt;">
        <w:rPr/>
        <w:t xml:space="preserve">a) Entablada demanda en juicio verbal por accidente de tráfico, la demandante de amparo fue condenada al pago de 2.290.000 ptas. más intereses, en virtud de Sentencia del Juzgado de Primera Instancia núm. 6 de Orihuela, de 24 de julio de 1996. </w:t>
      </w:r>
    </w:p>
    <w:p w:rsidRPr="00C21FFE" w:rsidR="00AD51A7" w:rsidRDefault="008777C4">
      <w:pPr>
        <w:rPr/>
      </w:pPr>
      <w:r w:rsidRPr="&lt;w:rPr xmlns:w=&quot;http://schemas.openxmlformats.org/wordprocessingml/2006/main&quot;&gt;&lt;w:lang w:val=&quot;es-ES_tradnl&quot; /&gt;&lt;/w:rPr&gt;">
        <w:rPr/>
        <w:t xml:space="preserve">b) Interpuesto por los codemandados recurso de apelación el día 3 de septiembre de 1996, el día 5 siguiente, presentaron copia del resguardo de depósito por importe de 4.137.056 ptas. Por providencia de 16 de octubre de 1996, se tuvo por interpuesto en tiempo y forma el recurso. </w:t>
      </w:r>
    </w:p>
    <w:p w:rsidRPr="00C21FFE" w:rsidR="00AD51A7" w:rsidRDefault="008777C4">
      <w:pPr>
        <w:rPr/>
      </w:pPr>
      <w:r w:rsidRPr="&lt;w:rPr xmlns:w=&quot;http://schemas.openxmlformats.org/wordprocessingml/2006/main&quot;&gt;&lt;w:lang w:val=&quot;es-ES_tradnl&quot; /&gt;&lt;/w:rPr&gt;">
        <w:rPr/>
        <w:t xml:space="preserve">c) La parte demandante impugnó el recurso, denunciando que no constaba que se hubiera verificado el depósito preceptuado en la disposición adicional primera. 4, de la Ley Orgánica 3/1989. </w:t>
      </w:r>
    </w:p>
    <w:p w:rsidRPr="00C21FFE" w:rsidR="00AD51A7" w:rsidRDefault="008777C4">
      <w:pPr>
        <w:rPr/>
      </w:pPr>
      <w:r w:rsidRPr="&lt;w:rPr xmlns:w=&quot;http://schemas.openxmlformats.org/wordprocessingml/2006/main&quot;&gt;&lt;w:lang w:val=&quot;es-ES_tradnl&quot; /&gt;&lt;/w:rPr&gt;">
        <w:rPr/>
        <w:t xml:space="preserve">d) Por providencia de 28 de octubre de 1996, el Juzgado acordó remitir los Autos a la Audiencia Provincial. </w:t>
      </w:r>
    </w:p>
    <w:p w:rsidRPr="00C21FFE" w:rsidR="00AD51A7" w:rsidRDefault="008777C4">
      <w:pPr>
        <w:rPr/>
      </w:pPr>
      <w:r w:rsidRPr="&lt;w:rPr xmlns:w=&quot;http://schemas.openxmlformats.org/wordprocessingml/2006/main&quot;&gt;&lt;w:lang w:val=&quot;es-ES_tradnl&quot; /&gt;&lt;/w:rPr&gt;">
        <w:rPr/>
        <w:t xml:space="preserve">e) La Audiencia dictó Sentencia el día 6 de marzo de 1997, desestimando el recurso por cuanto no se había cumplido con el requisito de la consignación.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 vulneración del art. 24.1 de la Constitución, por la existencia de un error patente determinante del sentido del fallo, producido a consecuencia de no haberse incorporado a las actuaciones remitidas a la Audiencia los documentos acreditativos del cumplimiento del requisito de la consignación. </w:t>
      </w:r>
    </w:p>
    <w:p w:rsidRPr="00C21FFE" w:rsidR="00AD51A7" w:rsidRDefault="008777C4">
      <w:pPr>
        <w:rPr/>
      </w:pPr>
      <w:r w:rsidRPr="&lt;w:rPr xmlns:w=&quot;http://schemas.openxmlformats.org/wordprocessingml/2006/main&quot;&gt;&lt;w:lang w:val=&quot;es-ES_tradnl&quot; /&gt;&lt;/w:rPr&gt;">
        <w:rPr/>
        <w:t xml:space="preserve">Mediante otrosí, se solicita la suspensión de la ejecución de la Sentencia impugnada, expresando que de la misma se podría derivar un perjuicio irreparable derivado de continuar con la ejecución de la Sentencia,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 de noviembre de 1997, la Sección Segunda de este Tribunal acordó admitir a trámite la demanda de amparo y, a tenor de lo dispuesto en el art. 51 LOTC, requerir a los órganos judiciales que conocieron del asunto para que remitan testimonio de las actuaciones, interesando, asimismo, el emplazamiento de cuantos fueron parte en el proceso judicial antecedente, excepto el recurrente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esa misma fecha, se acordó tener por formada la pieza de suspensión y, a tenor de lo dispuesto en el art. 56 LOTC, conceder un plazo de tres días al Ministerio Fiscal y al solicitante del amparo para que formulen las alegaciones que estimen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8 de noviembre de 1997, la demandante de amparo formuló alegaciones en las que sostenía que la Sentencia de primera instancia no era firme al haberse admitido a trámite el presente recurso de amparo, por lo que no procede su ejecución, salvo que se acordase la provisional, previa imposición de la correspondiente fianza.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12 de noviembre de 1997, el Fiscal interesó la no suspensión de la resolución impugnada, por referirse únicamente al pago de una cantidad dineraria, sin que se aprecie ninguna dificultad para su devolución en caso de que tuviese éxito el presente recurso de amparo, toda vez que no aparece en las actuaciones dato alguno que permita suponer la posible insolvencia de la persona que recibe la indemnización.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el art. 56 LOTC, procede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aún en este caso, condicionado a que la suspensión no produzca las perturbaciones aludidas en el mismo» (ATC 35/1996). Tenemos, pues, que para justificar la suspensión, no es suficiente cualquier tipo de perjuicio, molestia o dificultad, por lo que se ha estimado que, como las resoluciones judiciales con efectos meramente económicos, en principio, no causan ningún perjuicio irreparable, no procede su suspensión (ATC 275/1990).</w:t>
      </w:r>
    </w:p>
    <w:p w:rsidRPr="00C21FFE" w:rsidR="00AD51A7" w:rsidRDefault="008777C4">
      <w:pPr>
        <w:rPr/>
      </w:pPr>
      <w:r w:rsidRPr="&lt;w:rPr xmlns:w=&quot;http://schemas.openxmlformats.org/wordprocessingml/2006/main&quot;&gt;&lt;w:lang w:val=&quot;es-ES_tradnl&quot; /&gt;&lt;/w:rPr&gt;">
        <w:rPr/>
        <w:t xml:space="preserve">Junto a ello, debe tenerse en cuenta que el interés general ínsito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en por del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no puede acogerse la alegación relativa a la inejecutabilidad de la Sentencia recurrida motivada por su falta de firmeza, derivada, precisamente, de la admisión a trámite del presente recurso de amparo. En este sentido, la reciente Sentencia del Pleno de este Tribunal, núm. 159/1997, ha declarado que «sin necesidad de hacer aquí pronunciamiento alguno sobre la naturaleza del recurso de amparo que, en todo caso, "no constituye una nueva instancia judicial, sino que se trata de un proceso autónomo, sustantivo y distinto" (STC 78/1988, fundamento jurídico lo), resulta indudable que un proceso judicial concluido por Sentencia firme (art.  245.3 L.O.P.J.)  es, a los fines de lo dispuesto en el art. 40.1 LOTC, un "proceso fenecido mediante Sentencia con fuerza de cosa juzgada", aún cuando dicha Sentencia haya sido objeto de un ulterior recurso de amparo» (fundamento jurídico 70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presente caso de la doctrina expuesta debe conducir a la desestimación de la solicitud de suspensión, toda vez que la resolución impugnada se refiere únicamente a la confirmación de otra que condena al pago de una cantidad dineraria, y no se ha justificado la concurrencia de ningún elemento del que pueda derivarse razonablemente la aparición de algún perjuicio que pudiese hacer perder al amparo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