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Único. En las presentes actuaciones se ha practicado, a instancia de la representación procesal de doña Montserrat Carreras García, por la Sra. Secretario Tasación de las costas causadas, de la que se ha dado vista de la misma por plazo de tres días, a las partes personadas y al Ministerio Fiscal, habiendo transcurrido el plazo concedido sin que ninguna de ellas haya formulado impugnación a la tasación practicada.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No habiéndose formulado por ninguna de las partes impugnación de la tasación de costas practicada y estimando la misma ajustada a derecho procede, de conformidad con lo dispuesto en el artículo 428 de la Ley Procesal Civil su aprobación.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aprobar definitivamente la tasación de costas practicada en los presentes autos por importe de ciento cincuenta y ocho mil ciento noventa y una (15 8.191 pesetas).</w:t>
      </w:r>
    </w:p>
    <w:p w:rsidRPr="" w:rsidR="00AD51A7" w:rsidRDefault="008777C4">
      <w:pPr>
        <w:rPr/>
      </w:pPr>
      <w:r w:rsidRPr="&lt;w:rPr xmlns:w=&quot;http://schemas.openxmlformats.org/wordprocessingml/2006/main&quot;&gt;&lt;w:szCs w:val=&quot;24&quot; /&gt;&lt;/w:rPr&gt;">
        <w:rPr/>
        <w:t xml:space="preserve">Contra la presente resolución no cabe recurso alguno.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