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3 de febrero de 2000 la Procuradora de los Tribunales doña Sofía Pereda Gil, en nombre de doña Carmen Rodríguez Navarro, interpuso recurso de amparo contra el Auto dictado por la Sala de lo Penal de la Audiencia Nacional (Sección Segunda) de fecha 20 de enero de 2000, desestimatorio del recurso de súplica deducido contra el de 23 de diciembre de 1999 que rechazó la oposición de la demandante de amparo en el procedimiento de jura de cuentas seguido en la ejecutoria 11/93 del referido órgano jurisdiccional. En este último Auto se acordó requerir nuevamente a la demandante de amparo para que abonase el importe de la cuenta jurada (8.420.077 pesetas), así como 200.000 pesetas para costas, habiéndose posteriormente rebajado el importe de la cuenta jurada a satisfacer en 100.000 pesetas en el Auto resolutorio del recurso de súplica. </w:t>
      </w:r>
    </w:p>
    <w:p w:rsidRPr="00C21FFE" w:rsidR="00AD51A7" w:rsidRDefault="008777C4">
      <w:pPr>
        <w:rPr/>
      </w:pPr>
      <w:r w:rsidRPr="&lt;w:rPr xmlns:w=&quot;http://schemas.openxmlformats.org/wordprocessingml/2006/main&quot;&gt;&lt;w:lang w:val=&quot;es-ES_tradnl&quot; /&gt;&lt;/w:rPr&gt;">
        <w:rPr/>
        <w:t xml:space="preserve">En el escrito de demanda se interesa de este Tribunal que acuerde la suspensión del Auto recurrido por los perjuicios que se le derivan a su representada (hecho quinto, in fine), así como por el perjuicio irreparable y la pérdida de finalidad del recurso de amparo (otrosí primero) que la ejecución comportaría.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alegaba, en esencia, la vulneración del art. 24.1 CE por entender que se había lesionado su derecho a la defensa, lo que fundaba en que la resolución judicial había remitido al procedimiento declarativo ordinario la totalidad de las excepciones opuestas en la jura de cuentas, en particular la inadecuación del procedimiento de jura de cuentas para la reclamación de los honorarios de abogado debido a que no se acreditaba que el Procurador los hubiera satisfecho al Letrado, la prescripción de la deuda y el pago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septiembre de 2000 la Sala Segunda de este Tribunal acordó admitir a trámite el presente recurso de amparo y abrir la correspondiente pieza de suspensión, dando traslado por tres días a la parte demandante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formuló sus alegaciones el 3 de octubre de 2000. En ellas pone de manifiesto que al tiempo de formularlas ya se ha cumplido la resolución recurrida en amparo y de cuya suspensión se trata, pues ha ingresado en la cuenta de consignaciones del órgano judicial la suma reclamada en el procedimiento de jura de cuentas y dicha cantidad ha sido ya entregada al Procurador que lo instó. Por ello solicita que, para garantizar su derecho, sea este Tribunal el que acuerde cautelarmente que la Procuradora instante del procedimiento de jura de cuentas consigne la cantidad recibida como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5 de octubre de 2000, solicita la denegación de la suspensión instada por la demandante. Recuerda la doctrina jurisprudencial de este Tribunal en torno a la suspensión del acto recurrido en amparo y concluye que, atendido el carácter económico y por tanto plenamente reparable del perjuicio que se derivaría de la ejecución, así como la circunstancia de que no queda acreditado que de no otorgarse la suspensión el recurso perdiese su finalidad, no es procedente la suspensión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del acto de los poderes públicos por razón del cual se reclama el amparo constitucional procede, de conformidad con el art. 56.1 LOTC, cuando la ejecución hubiere de ocasionar un perjuicio que haría perder al amparo su finalidad. Al interpretar ese precepto este Tribunal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 de 12 de febrero). Por tanto, para justificar la suspensión no es suficiente cualquier tipo de perjuicio, molestia o dificultad, sino las que harían devenir inútil el proceso constitucional de amparo (AATC 51/1989, de 30 de enero, 75/1996, de 25 de marzo y 107/1998, de 4 de mayo).</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hemos venido declarando desde el Auto 17/1980, conduce a que, cuando el recurso se dirige frente a ellas,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 de 26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Estos criterios conducen a la denegación de la solicitud de suspensión. En efecto, de una parte la ejecución de la resolución judicial ha tenido ya lugar, por lo que acordar la suspensión de la resolución judicial carecería de eficacia práctica. De otro, el carácter puramente económico del perjuicio hace que este sea plenamente reparable y, en consecuencia, que el amparo no pierda su finalidad por el hecho de que se haya ejecutado la resolución a la que se imputa la lesión. En tercer lugar, la eventual estimación de las quejas podría dar lugar a que este Tribunal anulase la resolución judicial con retroacción de las actuaciones para que el órgano judicial se pronunciara, en el procedimiento de jura de cuentas sobre determinadas cuestiones que dicho órgano entendía propias de un proceso declarativo, declaración que tendría un contenido siempre incierto en cuanto a la estimación de las excepciones aducidas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denegar la suspensión interesada en el recurso de amparo núm. 572/2000.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once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