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3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695/94 planteado por “Inversiones Rambla, S.A” contra la Resolución de 18 de febrero de 1994 del Tribunal Económico-Administrativo Regional de Cataluña, desestimatoria de la reclamación económico-administrativa instada contra la liquidación de un recargo del 50 por 100 por el ingreso fuera de plazo de la cuota tributaria del IVA correspondiente al cuarto trimestre de 1990, dictada por la Agencia Estatal de Administración Tributaria (Administración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443/94 por el ingreso extemporáneo del IVA correspondiente al cuarto trimestre de 1990,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1997, la Sección Cuarta de este Tribunal acordó admitir a trámite la cuestión registrada con el núm. 3919/97;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t>
      </w:r>
    </w:p>
    <w:p w:rsidRPr="00810A1A" w:rsidR="00AD51A7" w:rsidRDefault="008777C4">
      <w:pPr>
        <w:rPr/>
      </w:pPr>
      <w:r w:rsidRPr="&lt;w:rPr xmlns:w=&quot;http://schemas.openxmlformats.org/wordprocessingml/2006/main&quot;&gt;&lt;w:szCs w:val=&quot;24&quot; /&gt;&lt;w:lang w:val=&quot;es-ES_tradnl&quot; /&gt;&lt;/w:rPr&gt;">
        <w:rPr/>
        <w:t xml:space="preserve">	</w:t>
      </w:r>
    </w:p>
    <w:p w:rsidRPr="00810A1A" w:rsidR="00AD51A7" w:rsidRDefault="008777C4">
      <w:pPr>
        <w:rPr/>
      </w:pPr>
      <w:r w:rsidRPr="&lt;w:rPr xmlns:w=&quot;http://schemas.openxmlformats.org/wordprocessingml/2006/main&quot;&gt;&lt;w:szCs w:val=&quot;24&quot; /&gt;&lt;w:lang w:val=&quot;es-ES_tradnl&quot; /&gt;&lt;/w:rPr&gt;">
        <w:rPr/>
        <w:t xml:space="preserve">	</w:t>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3919/97,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