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1630/93 planteado por “Espai Urbá, S.L.” contra la Resolución de 27 de mayo de 1993 del Tribunal Económico-Administrativo Regional de Cataluña, desestimatoria de la reclamación económico-administrativa instada contra la liquidación de un recargo del 50 por 100 por el ingreso fuera de plazo de las retenciones a cuenta del IRPF del ejercicio 1991, dictada por la Agencia Estatal de Administración Tributaria (Administración de LLeida).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16 de enero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1630/93 por el ingreso extemporáneo de las retenciones a cuenta del IRPF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1998, la Sección Tercera de este Tribunal acordó admitir a trámite la cuestión registrada con el núm. 1161/98;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14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1161/98,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