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octubre de 2000, don Arlindo Luis Carbalho Cordero interesó el nombramiento de Abogado y Procurador del turno de oficio a fin de promover recurso de amparo contra el acuerdo sancionador de 25 de noviembre de 1999, de la Comisión Disciplinaria del Centro Penitenciario Madrid II, y las posteriores resoluciones judiciales que ratificaron parcialmente la sanción impuesta, fijándola en la de tres días de aislamiento en celda. Hechas las oportunas designaciones, el pasado 5 de enero de 2001, el Procurador don Roberto Alonso Verdú, en representación del demandante, y bajo la dirección del Letrado don Francisco S. Fernández Álvarez, formuló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vulnerado su derecho a utilizar los medios de prueba pertinentes para su defensa (Art. 24.2 CE), lesión en la que habría incurrido la Comisión Disciplinaria del Centro Penitenciario al no admitir, o no pronunciarse sobre diversos elementos de prueba propuestos por el interno en el expediente disciplinario en el que recayó la sanción que ahora cuestiona. Por medio de otrosí solicitó en la demanda de amparo la suspensión del acuerdo sancionador por entender que, de llevarse a efecto el mismo, quedaría sin efecto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octubre de 2001 la Sala acordó la admisión a trámite de la demanda de amparo y acordó formar pieza separada de suspensión con el testimonio de la providencia de admisión y de la demanda de amparo, concediendo, de conformidad con lo prevenido en el artículo 56 LOTC, al Ministerio Fiscal, al Abogado del Estado y al solicitante del amparo el plazo común de tres días para que alegasen lo que estimaran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25 de octubre de 2001 el Abogado del Estado se opuso a la suspensión de la sanción, señalando que, dado el tiempo transcurrido desde su imposición, la suspensión de la ejecución de la sanción sólo produciría complicaciones prácticas, dado que es previsible que la misma se haya ya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30 de octubre de 2001 el Ministerio Fiscal interesó la suspensión de la sanción si la misma no hubiera sido ya ejecutada, y aun para tal caso consideró oportuno que, mientras se resuelve el recurso de amparo, se decrete la suspensión de la anotación de la sanción en el expediente del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29 de octubre de 2001 la representación procesal del recurrente interesó la suspensión de la sanción disciplinaria impuesta por entender que, analizada la naturaleza de la sanción y el tiempo que requiere la resolución del recurso de amparo, de no procederse a ella se causaría un perjuicio de imposible reparación, sin que quepa apreciar que, en este caso, la suspensión entrañaría lesión o perjuicio a terceros o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21 de enero de 2002 se acordó dirigir comunicación al Centro Penitenciario a fin de que informara a este Tribunal si la sanción impuesta había sido o no cumplida. La solicitud ha sido contestada por el Director del Centro, el pasado 25 de enero, indicando que la misma fue ejecutada en el mes de abril de 2000, y quedó cancelada el pasado 5 de julio de 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 Se establece así una regla general y una excepción, siendo ésta última la posibilidad de suspensión</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como consta en la comunicación a que se hace referencia en el antecedente séptimo de esta resolución, el recurrente cumplió en el mes de abril de 2000 la sanción de aislamiento que le fue impuesta, incluso antes de que la demanda de amparo fuera presentada en este Tribunal, lo que, en principio, podría llevarnos a considerar la inutilidad de la suspensión pretendida, pues, si atendiéramos exclusivamente a los efectos propios de la sanción disciplinaria cuestionada, ésta, no solamente ha sido cumplida, sino que incluso ha sido ya cancelada de conformidad con lo dispuesto en el artículo 260 del Reglamento Penitenciario (Real Decreto 190/1996, de 9 de febrero).</w:t>
      </w:r>
    </w:p>
    <w:p w:rsidRPr="00C21FFE" w:rsidR="00AD51A7" w:rsidRDefault="008777C4">
      <w:pPr>
        <w:rPr/>
      </w:pPr>
      <w:r w:rsidRPr="&lt;w:rPr xmlns:w=&quot;http://schemas.openxmlformats.org/wordprocessingml/2006/main&quot;&gt;&lt;w:lang w:val=&quot;es-ES_tradnl&quot; /&gt;&lt;/w:rPr&gt;">
        <w:rPr/>
        <w:t xml:space="preserve">Sin embargo, a pesar de tales circunstancias, tal y como hemos señalado en los AATC 58/1996, de 11 de marzo y 186/2001, de 21 de julio,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Pues bien, tal como se resolvió en las citadas resoluciones, en la medida en que, a pesar del cumplimiento efectivo de la sanción, ésta puede tener efectos negativos en la concesión de beneficios penitenciarios al recurrente (arts.  202, 204, 205 y 206 Reglamento Penitenciario de 1996), y dado que se trata de efectos que por su naturaleza pueden favorecer al reo sin que, en principio, pueda colegirse un inmediato perjuicio del interés general o de los derechos fundamentales o libertades públicas de terceros, resulta pertinente la suspensión solicitada, si bien limitando la suspensión a los efectos que pudieran derivarse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parcialmente la solicitud formulada y suspender los efectos que pudieran derivarse de la sanción disciplinaria de tres días de aislamiento en celda que fue impuesta al recurrente por acuerdo sancionador, de 25 de noviembre de 1999, de la Comisión</w:t>
      </w:r>
    </w:p>
    <w:p w:rsidRPr="" w:rsidR="00AD51A7" w:rsidRDefault="008777C4">
      <w:pPr>
        <w:rPr/>
      </w:pPr>
      <w:r w:rsidRPr="&lt;w:rPr xmlns:w=&quot;http://schemas.openxmlformats.org/wordprocessingml/2006/main&quot;&gt;&lt;w:szCs w:val=&quot;24&quot; /&gt;&lt;/w:rPr&gt;">
        <w:rPr/>
        <w:t xml:space="preserve">Disciplinaria del Centro Penitenciario Madrid II, en el expediente disciplinario 543-2/99.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