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62</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22 de abril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29 de junio de 2000, la Procuradora de los Tribunales doña María Soledad San Mateo García, en nombre y representación de don José Antonio Mas Farre, interpone recurso de amparo contra la Sentencia dictada por la SecAudiencia Provincial de Alicante el 19 de mayo de 2000, en el rollo de apelación núm. 83/00, por la que se condenó al recurrente, como autor responsable de un delito contra la seguridad del tráfico, a las penas de 100.000 pesetas de multa con arresto sustitutorio de cuatro días en caso de impago y privación del permiso de conducir o del derecho a obtenerlo por tiempo de tres meses y un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 este Tribunal, por sendas providencias de 14 de febrero de 2002, acordó, respectivamente, la admisión a trámite de la demanda de amparo y la formación de pieza separada para la tramitación del incidente sobre la suspensión solicitada, concediendo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Procuradora Sra. San Mateo efectúa sus alegaciones, mediante escrito registrado el 27 de febrero de 2002, insistiendo, como ya lo hizo en la demanda de amparo, en que la no suspensión de la pena de privación del permiso de conducir durante tres meses y un día ocasionaría un perjuicio irreparable al recurrente, haciendo perder al amparo su finalidad, sin que existan motivos de denegación por peligro de perturbación grave de los intereses generales o libertades públicas de un tercero. No se hace referencia alguna respecto de la pena de multa y del arresto sustitutorio, en su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evacúa el trámite conferido mediante escrito registrado el 4 de marzo de 2002. En él señala que, al tratarse de una pena privativa de derechos, el interés general de la efectividad del cumplimiento de la condena impuesta exige que se proceda a denegar la suspensión solicitada, pues, además, el actor no ha alegado la concurrencia de circunstancias personales o laborales que la justifiquen.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artículo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(por todos, AATC 18/1998, 47/1998, 79/1998, 182/1998 y 186/1998),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y 25/2002).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Dado que el recurrente nada solicita respecto a la multa impuesta y, en caso de impago, al arresto sustitutorio de cuatro días, aplicada la doctrina expuesta al presente caso, ha de accederse a la suspensión solicitada por el recurrente respecto de la pena de privación del permiso de conducir pues, analizando el supuesto de autos, puede advertirse que el delito contra la seguridad del tráfico previsto y penado en el derogado art. 340 bis a) del Código Penal, texto refundido de 1973 (en la actualidad contenido en el art.  379 del Código vigente) por el que ha sido condenado el ahora demandante de amparo, no reviste notoria gravedad y la corta duración de la pena de privación del permiso de conducir impuesta, haría perder al amparo su finalidad caso de no accederse a la suspensión interesada. Por ello procede acordar la suspensión de conformidad con la doctrina reiterada de este Tribunal (AATC 136/1996, de 27 de marzo, FJ 2 y 55/1998, de 2 de marzo, FJ 3, por todos).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Sentencia de la Sección Primera de la Audiencia Provincial de Alicante de 19 de marzo de 2000, en el rollo de apelación núm.  83/00, tan solo respecto de la pena de privación del permiso de conducir.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veintidós de abril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