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4el Procurador de los Tribunales don Carlos Gómez-Villaboa Mandri, en nombre y representación de don Manuel Fernández Mora, interpuso recurso de amparo contra el Auto de la Audiencia Provincial de Sevilla de fecha 6 de junio de 2002, que resolvía el incidente de nulidad de actuaciones contra la Sentencia de la misma Audiencia de fecha 18 de febrero de 2002, dictada en apelación de la Sentencia de 8 de mayo de 2001 del Juzgado de Primera Instancia e Instrucción de Cazalla de la Sierra (Sevilla), que resolvió un juicio de menor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El 15 de abril de 1999 se presenta por don Rafael Fernández Ruiz demanda contra don Antonio Rubio Martínez y don Manuel Fernández Mora en el Juzgado de Primera Instancia e Instrucción de Cazalla de la Sierra (Sevilla) sobre reclamación de cantidad, que da lugar al procedimiento núm. 79/99 de juicio de menor cuantía. En el suplico de la demanda se solicita la obligación de don Antonio Rubio Martín de reparar el daño causado por el ganado de su propiedad, condenando al mismo al abono de la cantidad de 1.385.720 pesetas más IVA, intereses legales y costas. Además se insta la condena solidaria de los demandados a la obligación de instalar la valla que separe las propiedades del demandante de las de don Manuel Fernández Mora. </w:t>
      </w:r>
    </w:p>
    <w:p w:rsidRPr="00C21FFE" w:rsidR="00AD51A7" w:rsidRDefault="008777C4">
      <w:pPr>
        <w:rPr/>
      </w:pPr>
      <w:r w:rsidRPr="&lt;w:rPr xmlns:w=&quot;http://schemas.openxmlformats.org/wordprocessingml/2006/main&quot;&gt;&lt;w:lang w:val=&quot;es-ES_tradnl&quot; /&gt;&lt;/w:rPr&gt;">
        <w:rPr/>
        <w:t xml:space="preserve">b) Admitida la demanda y trasladada a las partes demandadas, don Manuel Fernández Mora en su propio nombre (sin representación y defensa) presenta escrito en el que respecto al pedimento que se hace de la valla manifiesta que ha sido colocada adecuadamente por lo que se allana a la demanda, entendiéndose exento de responsabilidades reclamadas en la misma. Por providencia de 19 de enero de 2000 del Juzgado de Primera Instancia e Instrucción de Cazalla de la Sierra se tiene por declarado rebelde a don Antonio Rubio Martínez, ordenando dar traslado a la parte actora del escrito de don Manuel Fernández Mora. Aquélla acepta el allanamiento de éste y solicita su condena en costas, instando además la adopción de medidas cautelares contra don Antonio Rubio Martínez. </w:t>
      </w:r>
    </w:p>
    <w:p w:rsidRPr="00C21FFE" w:rsidR="00AD51A7" w:rsidRDefault="008777C4">
      <w:pPr>
        <w:rPr/>
      </w:pPr>
      <w:r w:rsidRPr="&lt;w:rPr xmlns:w=&quot;http://schemas.openxmlformats.org/wordprocessingml/2006/main&quot;&gt;&lt;w:lang w:val=&quot;es-ES_tradnl&quot; /&gt;&lt;/w:rPr&gt;">
        <w:rPr/>
        <w:t xml:space="preserve">c) El 8 de mayo de 2001 el Juzgado dicta Sentencia en la que desestima la demanda absolviendo a don Antonio Rubio y al demandante de amparo de todos los pedimentos formulados contra ellos. Interpuesto recurso de apelación por don Rafael Fernández Ruiz, el mismo es resuelto por Sentencia de 18 de febrero de 2002 de la Audiencia Provincial de Sevilla en la que se revoca la del Juzgado y se estima la demanda promovida, condenando a don Antonio Rubio y al demandante de amparo, de forma solidaria, a satisfacer al actor la cantidad de 1.385.720 pesetas, así como a instalar la valla que separe ambas propiedades. El 1 de abril de 2002 se presenta por la representación procesal del demandante de amparo escrito solicitando la admisión del incidente de nulidad de actuaciones. A la misma se opone don Rafael Fernández. Don Antonio Rubio solicita también la anulación de la Sentencia de apelación. El 6 de junio de 2002 la Audiencia Provincial de Sevilla dicta Auto por el que se acuerda que no ha lugar a la práctica de ninguna de las diligencias solicitadas por el demandante de amparo. Contra estas resoluciones se interpuso el recurso de amparo del que la presente pieza de suspensión trae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que la resolución judicial combatida vulnera, en primer lugar, el art. 24.1 CE en su vertiente de derecho a la tutela judicial efectiva, así como en la de no padecer indefensión, y ello tanto en la fase de instancia como de apelación. Asimismo entiende lesionados los derechos a la defensa y a la asistencia letrada, a un proceso con todas las garantías y a utilizar los medios de prueba pertinentes para su defensa, todos ellos reconocidos en el art. 24.2 CE. Por otra parte, la Sentencia dictada en apelación le parece incongruente, inmotivada e inserta en la doctrina constitucional del error patente, infracciones que se comprenden dentro del art. 24.1 CE. Además el Auto que resuelve el incidente de nulidad de actuaciones no es una respuesta que se ajuste a las exigencias del art. 24.1 CE dado que es inmotivado e incongruente con lo solicitado por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del anterior escrito el recurrente solicitó la suspensión de los efectos ejecutivos de la Sentencia de la Audiencia Provincial de Sevilla porque de no producirse la suspensión se seguirían prejuicios irreparables para él y no se aprecia, por el contrario, perjuicio grave alguno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providencias de 10 de abril de 2003, la Sección Segunda de este Tribunal admitió a trámite la demanda y ordenó que se formase la presente pieza separada de suspensión, concediendo al solicitante de amparo y al Ministerio Fiscal,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16 de abril de 2003 tuvo entrada en el registro de este Tribunal el escrito de alegaciones del demandante de amparo. En el mismo argumenta que de no producirse la suspensión de la Sentencia recaída en apelación se le van a producir perjuicios irreparables, ya que alguno de los efectos ejecutivos de dicha resolución (pago solidario de la indemnización) se consuma con el cumplimiento de la prestación de dar, siendo posteriormente de difícil reparación. Por otro lado, no se aprecia de la no ejecución de la Sentencia perjuicio grave alguno a los intereses generales, pues la naturaleza del conflicto de índole exclusivamente privada excluye que el interés público esté comprometido, ni a los derechos fundamentales de terceros, ni siquiera a los de la parte demandante/apelante en la vía judicial previa, puesto que sus derechos permanecerían aplazados, en tanto que la ejecución de la resolución impugnada produciría perjuicios irreparables al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22 de abril de 2003 presentó su escrito de alegaciones el Ministerio Fiscal. En él expone que en el presente recurso es aplicable la jurisprudencia de este Tribunal que, en materia de suspensión de resoluciones judiciales con efectos meramente patrimoniales, es clara en el sentido que no procede la misma puesto que su reparación posterior, en caso de estimarse el amparo, es meramente económica y por ello no dificultosa ni irreparable, sin que quepa desconocer que el interés general es inherente a todo cumplimiento de una resolución judicial, como repetidamente se señala en la doctrina del Tribunal Constitucional. Por ello concluye interesando que se dicte Auto denegando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resulte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las resoluciones judiciales con efectos meramente patrimoniales en principio no causan perjuicios irreparables, por más que puedan producir efectos desfavorables a quien demanda el amparo, puesto que su reparación posterior, en caso de estimarse el amparo, es meramente económica y por ello no dificultosa, por lo que no procede su suspensión (AATC 573/1985, 574/1985, 275/1990, 287/1997 y 185/1998,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el eventual éxito del amparo, que en esta fase del procedimiento no puede quedar prejuzgado, conllevaría el nacimiento de un derecho del hoy quejoso a no pagar solidariamente la indemnización a la que ha sido condenado por la Sentencia de la Audiencia Provincial de Sevilla.  Pretende el recurrente con la suspensión de la ejecución de la Sentencia aplazar el cumplimiento de una obligación que consiste fundamentalmente en la entrega de una determinada cantidad de dinero, por lo que estamos ante un conflicto entre el interés general inherente a la ejecución de una Sentencia, que consagra el art. 118 CE, por un lado, y, por otro, la pretensión del demandante de amparo de no cumplir, dejando así de satisfacer una obligación de carácter pecuniario a cuyo pago le condena aquélla. Dado el carácter predominantemente económico de la condena que dicha Sentencia contiene, el conflicto hay que resolverlo, como enseña la doctrina constitucional (AATC 573/1985, 574/1985, 275/1990 y 185/1998, entre otros muchos), sacrificando el interés del recurrente, porque éste es perfectamente reparable en el caso de que se concediese el amparo que solicita, lo que hace que en el presente supuesto la causa que, conforme al art. 56.1 LOTC, justifica que pueda acordarse la suspensión de la ejecución de la resolución recurrida, esto es, que la misma hubiere de ocasionar un perjuicio que haría perder al amparo su finalidad, no tenga aquí virtualidad alguna.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las resoluciones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