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febrero de 2002 el Procurador de los Tribunales don Antonio Rodríguez Muñoz, en nombre y representación de don Ángel Palacios Expósito y de doña Katia Vilaginés Pons, interpuso recurso de amparo contra Sentencia de la Sección Primera de la Audiencia Provincial de Barcelona, de 15 de noviembre de 2001, que desestimó el recurso de apelación deducido contra la dictada por el Juzgado de lo Penal núm. 9 de dicha localidad en el procedimiento abreviado núm. </w:t>
      </w:r>
    </w:p>
    <w:p w:rsidRPr="00C21FFE" w:rsidR="00AD51A7" w:rsidRDefault="008777C4">
      <w:pPr>
        <w:rPr/>
      </w:pPr>
      <w:r w:rsidRPr="&lt;w:rPr xmlns:w=&quot;http://schemas.openxmlformats.org/wordprocessingml/2006/main&quot;&gt;&lt;w:lang w:val=&quot;es-ES_tradnl&quot; /&gt;&lt;/w:rPr&gt;">
        <w:rPr/>
        <w:t xml:space="preserve">130-2000, procedeInstrucción núm. 3 de Igualada. En tal proceso penal se había condenado a los demandantes de amparo en concepto de autores de un delito contra la propiedad industrial, imponiéndoseles una pena de dos meses de arresto mayor , accesoria de inhabilitación para el derecho de sufragio y cargo público y multa de un millón de pesetas, con arresto sustitutorio de treinta días. En la misma Sentencia se les condenaba a indemnizar al perjudicado por el delito en la cantidad a determinar en ejecución de Sentencia, conforme al art. 38 de la Ley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aduce vulneración del derecho a la presunción de inocencia (art. 24.2 CE) y a la tutela judicial efectiva (art. 24.1 CE), por cuanto no existe prueba de cargo, la Sentencia de la Audiencia Provincial carece de motivación precisa sobre los motivos del recurso de apelación y, finalmente, no resolvió la alegación de prescripción aducida por el apelante al estimarla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abril de 2003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14 de mayo de 2003, procedente del Juzgado de guardia, en el que tuvo entrada el 12 de mayo de 2003, la representación procesal de los demandantes de amparo formuló alegaciones. En ellas pone de manifiesto que los demandantes han satisfecho ya la pena de multa y que no había recaído todavía resolución acerca de la aplicación de los beneficios de la suspensión de la ejecución de la pena privativa de libertad conforme al art. 80 y siguientes del Código penal. Con cita de la doctrina constitucional que estima de aplicación, termina solicitando de este Tribunal que acuerde la suspensión de las penas privativas de libertad impuestas a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registrado el 14 de mayo de 2003, interesó de este Tribunal que accediese a la suspensión de las Sentencias exclusivamente en lo relativo a la pena privativa de libertad y a la pena accesoria impuesta, denegando la suspensión en todo o demás. </w:t>
      </w:r>
    </w:p>
    <w:p w:rsidRPr="00C21FFE" w:rsidR="00AD51A7" w:rsidRDefault="008777C4">
      <w:pPr>
        <w:rPr/>
      </w:pPr>
      <w:r w:rsidRPr="&lt;w:rPr xmlns:w=&quot;http://schemas.openxmlformats.org/wordprocessingml/2006/main&quot;&gt;&lt;w:lang w:val=&quot;es-ES_tradnl&quot; /&gt;&lt;/w:rPr&gt;">
        <w:rPr/>
        <w:t xml:space="preserve">Tras realizar un examen del iter procesal del que trae causa este recurso de amparo y de la tramitación seguida ante este Tribunal aduce la doctrina constitucional relativa a la suspensión de las penas privativas de corta duración y al régimen que han de seguir las penas accesorias, llegando a la conclusión de que en el presente caso, dada la naturaleza y extensión de las penas impuestas, es procedente acordar la suspensión de las mismas con el alcance indicado, pues su ejecución podría causar un perjuicio irreparable al ser la pena inferior en duración al tiempo que normalmente se consume en la tramitación de un proceso como el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los recurrentes solicitan que se suspenda la ejecución de la Sentencia, en virtud de la cual, como consta en los antecedentes, resultaron condenados a una pena privativa de libertad de dos meses de arresto mayor , accesoria de inhabilitación para el derecho de sufragio y cargo público y multa de un millón de pesetas, con arresto sustitutorio de 30 días. En la misma Sentencia se les condenaba a indemnizar al perjudicado por el delito en la cantidad a determinar en ejecución de Sentencia, conforme al art. 38 de la Ley de marcas.</w:t>
      </w:r>
    </w:p>
    <w:p w:rsidRPr="00C21FFE" w:rsidR="00AD51A7" w:rsidRDefault="008777C4">
      <w:pPr>
        <w:rPr/>
      </w:pPr>
      <w:r w:rsidRPr="&lt;w:rPr xmlns:w=&quot;http://schemas.openxmlformats.org/wordprocessingml/2006/main&quot;&gt;&lt;w:lang w:val=&quot;es-ES_tradnl&quot; /&gt;&lt;/w:rPr&gt;">
        <w:rPr/>
        <w:t xml:space="preserve">En su escrito de alegaciones ponen de manifiesto que han satisfecho la pena de multa, por lo que carece de sentido pronunciarse acerca de la suspensión de un eventual arresto sustitutorio en caso de impago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anterior doctrina nos lleva a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w:t>
      </w:r>
    </w:p>
    <w:p w:rsidRPr="" w:rsidR="00AD51A7" w:rsidRDefault="008777C4">
      <w:pPr>
        <w:rPr/>
      </w:pPr>
      <w:r w:rsidRPr="&lt;w:rPr xmlns:w=&quot;http://schemas.openxmlformats.org/wordprocessingml/2006/main&quot;&gt;&lt;w:szCs w:val=&quot;24&quot; /&gt;&lt;/w:rPr&gt;">
        <w:rPr/>
        <w:t xml:space="preserve">Suspender la Sentencia de la Sección Primera de la Audiencia Provincial de Barcelona, de 15 de noviembre de 2001, y la dictada por el Juzgado de lo Penal núm. 9 de dicha localidad en el procedimiento abreviado núm. 130-2000, procedente del Juzgado de</w:t>
      </w:r>
    </w:p>
    <w:p w:rsidRPr="" w:rsidR="00AD51A7" w:rsidRDefault="008777C4">
      <w:pPr>
        <w:rPr/>
      </w:pPr>
      <w:r w:rsidRPr="&lt;w:rPr xmlns:w=&quot;http://schemas.openxmlformats.org/wordprocessingml/2006/main&quot;&gt;&lt;w:szCs w:val=&quot;24&quot; /&gt;&lt;/w:rPr&gt;">
        <w:rPr/>
        <w:t xml:space="preserve">Instrucción núm. 3 de Igualada, exclusivamente en lo que se refiere a la pena de dos meses de arresto mayor y a la accesoria de inhabilitación para el derecho de sufragio y cargo público.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