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8 de enero de 2002, el Procurador de los Tribunales don Ramón Rodríguez Nogueira, en nombre y representación de don César Antonio Narvón Clavero, interpuso recurso de amparo contra la Sentencia de la Audiencia Provincial de Valencia de 1 de septiembre de 2001 por la que se desestima el recurso de apelación interpuesto frente a la Sentencia de 30 de marzo de 2001 del Juzgado de Primera Instancia núm. 21 de Valencia por la que se le condena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el Sr. Narvón Clavero, Secretario de Administración Local, en reclamación de 147.000 pesetas, en concepto de cuotas colegiales impagadas. </w:t>
      </w:r>
    </w:p>
    <w:p w:rsidRPr="00C21FFE" w:rsidR="00AD51A7" w:rsidRDefault="008777C4">
      <w:pPr>
        <w:rPr/>
      </w:pPr>
      <w:r w:rsidRPr="&lt;w:rPr xmlns:w=&quot;http://schemas.openxmlformats.org/wordprocessingml/2006/main&quot;&gt;&lt;w:lang w:val=&quot;es-ES_tradnl&quot; /&gt;&lt;/w:rPr&gt;">
        <w:rPr/>
        <w:t xml:space="preserve">b) El Sr. Narvón Clavero se opuso a la demanda alegando, entre otras cuestiones la falta de legitimidad constitucional de la obligatoriedad de la pertenencia al Colegio. Las alegaciones de vulneración de derechos fundamentales fueron rechazadas tanto en la instancia, como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dado que este Colegio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Pr="00C21FFE" w:rsidR="00AD51A7" w:rsidRDefault="008777C4">
      <w:pPr>
        <w:rPr/>
      </w:pPr>
      <w:r w:rsidRPr="&lt;w:rPr xmlns:w=&quot;http://schemas.openxmlformats.org/wordprocessingml/2006/main&quot;&gt;&lt;w:lang w:val=&quot;es-ES_tradnl&quot; /&gt;&lt;/w:rPr&gt;">
        <w:rPr/>
        <w:t xml:space="preserve">En segundo lugar se considera que la Sentencia de la Audiencia vulnera el derecho a la igualdad del art. 14 CE, porque la exigencia de tal colegiación no es de aplicación en otros lugares del territorio español, como en Aragón o en Canarias, en donde su legislación autonómica establece que los profesionales titulados que estén vinculados a las Administraciones públicas no precisarán colegiarse para el ejercicio de tales profesiones al servicio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5 de junio de 2003 la Sección Primera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12 de junio de 2003 tuvo entrada en el registro de este Tribunal el escrito de alegaciones del demandante de amparo. El demandante parte de que conforme a nuestra doctrina (ATC 107/1981), la apreciación de la oportunidad de la suspensión debe relacionarse con la viabilidad de la demanda de amparo, y el Tribunal Constitucional, tanto en Pleno, como en Sala, en Sentencias dictadas en abril y mayo de 2003, ha estimado los recursos de amparo interpuestos por otros dos recurrentes en la misma situación que el demandante. Además, el recurrente alega que la ejecución de la Sentencia mediante el pago de la cantidad dineraria implica per se una vulneración de los derechos fundamentales a la libertad de asociación y a la igualdad y no discriminación cuyo amparo se solicita y haría irreparable la lesión que dicha vulneración produce. Por otra parte entiende que no existe perturbación grave a los intereses generales o de terceros que pueda prevalecer sobre el perjuicio irreparable a sus derechos fundamentales que implicaría el pago de las cuotas colegiales. Suplica por ello al Tribunal Constitucional que acuerde la suspensión de los efectos ejecutivos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21 de junio de 2002 presentó su escrito de alegaciones el Ministerio Fiscal. En él concluye que siendo el interés pretendido por el demandante con la suspensión solicitada el del aplazamiento de la cuota de colegiación, a la vista de los intereses en juego debe ceder el interés del recurrente, pues es perfectamente reparable al tratarse de la devolución de una cantidad. Por todo ello el Fiscal interesa que se deniegue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así como del interés particular del demandante de amparo que alega a su vez la lesión de un derecho fundamental. En tal aspecto es el potencial perjudicado quien ha de justificar el eventual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resulte otorgado, impida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conllevaría el nacimiento de un derecho del hoy demandante a que no le sean cobradas las cuotas que reclama el Colegio de Secretarios, Interventores y Tesoreros de Administración local de habilitación nacional de la provincia de Valencia. Lo que se pretende con la suspensión que solicita el recurrente de la ejecución de la Sentencia que lo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sacrificando el interés del recurrente, porque éste sería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 Así lo hemos acordado en supuestos similares al presente en los AATC 147/2002, de 23 de julio, 168/2002 y 170/2002, ambos de 30 de septiembre.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