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362</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10 de noviembre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21 de enero de 2003, don Deogracias Talaverano Rico, abogado, interpuso en su propio nombre, recurso de amparo contra la Sentencia de 20 de octubre de 2000 de la Sección Primera de la Audiencia Provincial de Lleida que condenó en apelación al recurrente, como autor de un delito de prevaricación de abogado (art. 360 CP de 1973), a las penas de dos años de suspensión de ejercicio de la profesión de abogado, multa de trescientas mil pesetas, con arresto sustitutorio de veinte días, a indemnizar a don Fernando Diez Piera y doña Antonia Torres Gurillo en la cantidad de 2.213.671 pesetas, asimismo fue condenado al pago de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alega la vulneración del derecho al proceso con todas las garantías (art. 24.2 CE) en relación con el art. 6.1 CEDH, por infracción de las garantías de contradicción e inmediación.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24 de septiembre de 2003, la Sección Segunda de este Tribunal acordó admitir a trámite la demanda de amparo, y, de conformidad con lo previsto en el art. 56 LOTC, abrir pieza separada de suspensión y conceder un plazo común de tres días, al Ministerio Fiscal y al demandante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en este Tribunal el 6 de octubre de 2003, el Ministerio Fiscal, interesó la denegación de la suspensión de la resolución en lo atinente a los pronunciamientos condenatorios de carácter patrimonial, por cuanto los perjuicios no serían irreparables, e instó asimismo la denegación de la suspensión de la pena privativa de derechos impuesta -suspensión para el ejercicio de la profesión de abogado-, dado que la misma ocasionaría una perturbación grave de los intereses generales ya que el delito se cometió en ejercicio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ante este Tribunal el 13 de octubre de 2003, la representación del demandante de amparo reiteró la petición de suspensión de la resolución y de cuantas resoluciones fueran dictadas en su ejecución.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 en sentido similar ATC 58/2002, de 8 de abril, FJ 1].</w:t>
      </w:r>
    </w:p>
    <w:p w:rsidRPr="00C21FFE" w:rsidR="00AD51A7" w:rsidRDefault="008777C4">
      <w:pPr>
        <w:rPr/>
      </w:pPr>
      <w:r w:rsidRPr="&lt;w:rPr xmlns:w=&quot;http://schemas.openxmlformats.org/wordprocessingml/2006/main&quot;&gt;&lt;w:lang w:val=&quot;es-ES_tradnl&quot; /&gt;&lt;/w:rPr&gt;">
        <w:rPr/>
        <w:t xml:space="preserve">En el caso, se ha de examinar la petición de suspensión en relación con las penas de multa, y el arresto sustitutorio para caso de impago, la inhabilitación consistente en la suspensión del derecho a ejercer la profesión de abogado, así como la condena al pago de la indemnización y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los pronunciamientos de carácter patrimonial -en el caso multa, indemnización y costas-, este Tribunal tiene declarado que la ejecución de las Sentencias cuyos efectos son fundamentalmente patrimoniales o de contenido económico ni causan un perjuicio irreparable al obligado al pago por la Sentencia condenatoria, ni el eventual amparo estimado puede perder su finalidad. Pues, en atención al contenido económico del fallo, es legalmente posible, si se otorgara posteriormente el amparo, que el recurrente obtenga la devolución de lo pagado en ejecución de la Sentencia (AATC 573/1985, 574/1985, 275/1990, 117/1999, 106/2002, y 313/2003, por todos). Esta doctrina es igualmente aplicable a la condena en costas procesales, pues al entrañar un pago en dinero, su ejecución no provoca ningún perjuicio que pueda hacer inútil el recurso de amparo (AATC 244/1991, 2092/1992, 267/1995, 117/1999, entre otros muchos). Por consiguiente, en atención al carácter excepcional de la suspensión (art. 56 LOTC) ha de denegarse la suspensión de las resoluciones impugnadas en relación con la pena de multa impuesta, la indemnización y la condena en costas procesales.</w:t>
      </w:r>
    </w:p>
    <w:p w:rsidRPr="00C21FFE" w:rsidR="00AD51A7" w:rsidRDefault="008777C4">
      <w:pPr>
        <w:rPr/>
      </w:pPr>
      <w:r w:rsidRPr="&lt;w:rPr xmlns:w=&quot;http://schemas.openxmlformats.org/wordprocessingml/2006/main&quot;&gt;&lt;w:lang w:val=&quot;es-ES_tradnl&quot; /&gt;&lt;/w:rPr&gt;">
        <w:rPr/>
        <w:t xml:space="preserve">Tampoco ha de suspenderse en este momento la responsabilidad personal subsidiaria para el caso de impago de la multa, dado que se trata de una eventualidad incierta, que depende de que, efectivamente, la multa no llegue a ser abonada voluntariamente o por la vía de apremio y, en cualquier caso, de una eventualidad futura, que, en caso de sobrevenir, podría dar lugar a la modificación de la medida cautelar que ahora se adopta, en virtud del art.  57 LOTC (AATC 136/1999; 48/2003).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 la pena de suspensión del derecho a ejercer la profesión de abogado, se ha de recordar que este Tribunal tiene declarado que la ejecución de las penas de inhabilitación no causan perjuicios irreparables. En particular, como declaramos en el ATC 283/1995 (FJ 3), en la medida en que "se proyecte sobre la profesión u oficio cuyo ejercicio ha propiciado la actividad delictiva, debe estimarse su contenido como predominantemente patrimonial y la posibilidad consecuente de que, si bien de un modo más complejo que las relativas a la multa o al pago de las costas, sean directamente reparables los efectos derivados de la ejecución ante una hipotética estimación del amparo (ATC 144/1995). De ahí que haya que negar la irremediabilidad del efecto de la ejecución, la pérdida de la finalidad de un hipotético amparo y, por lo tanto, el presupuesto de la suspensión" (además, entre otros, ATC 25/2002).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 Sentencia de la Sección Primera de la Audiencia Provincial de Lleida de 4 de octubre de 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