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27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8 de mayo de 2001 en el Registro General de este Tribunal, la Asesora Jurídica-Letrada de la Comunidad Foral de Navarra, actuando en representación de esta Administración, interpuso recurso de amparo contra la Sentencia de 27 de marzo de 2001, de la Sala de lo Contencioso- Administrativo del Tribunal Superior de Justicia de Navarra, por la que se estima el recurso contencioso-administrativo formulado frente al Acuerdo del Gobierno de Navarra de 22 de diciembre de 1997, desestimatorio, a su vez, del recurso ordinario promovido contra la Orden Foral núm. 923/1997, de 11 de agosto, de la Consejera de Medio Ambiente, Ordenación del Territorio y Vivienda,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Por Orden Foral núm. 923/1997, de 11 de agosto, la Consejera de Medio Ambiente, Ordenación del Territorio y Vivienda impuso a la Asociación de Cazadores "Arteiku" de Garayoa una sanción pecuniaria. </w:t>
      </w:r>
    </w:p>
    <w:p w:rsidRPr="00C21FFE" w:rsidR="00AD51A7" w:rsidRDefault="008777C4">
      <w:pPr>
        <w:rPr/>
      </w:pPr>
      <w:r w:rsidRPr="&lt;w:rPr xmlns:w=&quot;http://schemas.openxmlformats.org/wordprocessingml/2006/main&quot;&gt;&lt;w:lang w:val=&quot;es-ES_tradnl&quot; /&gt;&lt;/w:rPr&gt;">
        <w:rPr/>
        <w:t xml:space="preserve">b) Este acto administrativo sancionador fue confirmado en vía administrativa mediante el Acuerdo del Gobierno de Navarra de 22 de diciembre de 1997. </w:t>
      </w:r>
    </w:p>
    <w:p w:rsidRPr="00C21FFE" w:rsidR="00AD51A7" w:rsidRDefault="008777C4">
      <w:pPr>
        <w:rPr/>
      </w:pPr>
      <w:r w:rsidRPr="&lt;w:rPr xmlns:w=&quot;http://schemas.openxmlformats.org/wordprocessingml/2006/main&quot;&gt;&lt;w:lang w:val=&quot;es-ES_tradnl&quot; /&gt;&lt;/w:rPr&gt;">
        <w:rPr/>
        <w:t xml:space="preserve">c) Frente a estos actos administrativos la citada asociación interpuso recurso contencioso-administrativo. Durante la tramitación de este recurso (y más en concreto una vez elevados los correspondientes escritos de conclusiones), la Sala de lo Contencioso-Administrativo del Tribunal Superior de Justicia de Navarra acordó,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(que era "el Director del Servicio de Asistencia Jurídica y Administrativa") del texto íntegro y literal "entrecomillado" de la resolución sancionadora. </w:t>
      </w:r>
    </w:p>
    <w:p w:rsidRPr="00C21FFE" w:rsidR="00AD51A7" w:rsidRDefault="008777C4">
      <w:pPr>
        <w:rPr/>
      </w:pPr>
      <w:r w:rsidRPr="&lt;w:rPr xmlns:w=&quot;http://schemas.openxmlformats.org/wordprocessingml/2006/main&quot;&gt;&lt;w:lang w:val=&quot;es-ES_tradnl&quot; /&gt;&lt;/w:rPr&gt;">
        <w:rPr/>
        <w:t xml:space="preserve">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Pr="00C21FFE" w:rsidR="00AD51A7" w:rsidRDefault="008777C4">
      <w:pPr>
        <w:rPr/>
      </w:pPr>
      <w:r w:rsidRPr="&lt;w:rPr xmlns:w=&quot;http://schemas.openxmlformats.org/wordprocessingml/2006/main&quot;&gt;&lt;w:lang w:val=&quot;es-ES_tradnl&quot; /&gt;&lt;/w:rPr&gt;">
        <w:rP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Pr="00C21FFE" w:rsidR="00AD51A7" w:rsidRDefault="008777C4">
      <w:pPr>
        <w:rPr/>
      </w:pPr>
      <w:r w:rsidRPr="&lt;w:rPr xmlns:w=&quot;http://schemas.openxmlformats.org/wordprocessingml/2006/main&quot;&gt;&lt;w:lang w:val=&quot;es-ES_tradnl&quot; /&gt;&lt;/w:rPr&gt;">
        <w:rP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asociación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Pr="00C21FFE" w:rsidR="00AD51A7" w:rsidRDefault="008777C4">
      <w:pPr>
        <w:rPr/>
      </w:pPr>
      <w:r w:rsidRPr="&lt;w:rPr xmlns:w=&quot;http://schemas.openxmlformats.org/wordprocessingml/2006/main&quot;&gt;&lt;w:lang w:val=&quot;es-ES_tradnl&quot; /&gt;&lt;/w:rPr&gt;">
        <w:rP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Pr="00C21FFE" w:rsidR="00AD51A7" w:rsidRDefault="008777C4">
      <w:pPr>
        <w:rPr/>
      </w:pPr>
      <w:r w:rsidRPr="&lt;w:rPr xmlns:w=&quot;http://schemas.openxmlformats.org/wordprocessingml/2006/main&quot;&gt;&lt;w:lang w:val=&quot;es-ES_tradnl&quot; /&gt;&lt;/w:rPr&gt;">
        <w:rP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Pr="00C21FFE" w:rsidR="00AD51A7" w:rsidRDefault="008777C4">
      <w:pPr>
        <w:rPr/>
      </w:pPr>
      <w:r w:rsidRPr="&lt;w:rPr xmlns:w=&quot;http://schemas.openxmlformats.org/wordprocessingml/2006/main&quot;&gt;&lt;w:lang w:val=&quot;es-ES_tradnl&quot; /&gt;&lt;/w:rPr&gt;">
        <w:rPr/>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Pr="00C21FFE" w:rsidR="00AD51A7" w:rsidRDefault="008777C4">
      <w:pPr>
        <w:rPr/>
      </w:pPr>
      <w:r w:rsidRPr="&lt;w:rPr xmlns:w=&quot;http://schemas.openxmlformats.org/wordprocessingml/2006/main&quot;&gt;&lt;w:lang w:val=&quot;es-ES_tradnl&quot; /&gt;&lt;/w:rPr&gt;">
        <w:rPr/>
        <w:t xml:space="preserve">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2002, la Sección Cuarta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6 de junio de 2002, de la Secretaría de Justicia de la Sección Cuarta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interpuesto, de conformidad con el art. 50.2 LOTC, recurso de súplica contra la providencia de 6 de mayo de 2002, mediante la cual la Sección Cuarta de este Tribunal acordó la inadmisión a trámite del recurso de amparo promovido por la Comunidad Foral de Navarra frente a la Sentencia de 27 de marzo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Pr="00C21FFE" w:rsidR="00AD51A7" w:rsidRDefault="008777C4">
      <w:pPr>
        <w:rPr/>
      </w:pPr>
      <w:r w:rsidRPr="&lt;w:rPr xmlns:w=&quot;http://schemas.openxmlformats.org/wordprocessingml/2006/main&quot;&gt;&lt;w:lang w:val=&quot;es-ES_tradnl&quot; /&gt;&lt;/w:rPr&gt;">
        <w:rP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 base debemos indicar que la queja relativa a la pretendida vulneración del derecho a la tutela judicial efectiva por incurrir, en primer lugar, la motivación de la Sentencia en un error patente, además de ser manifiestamente irrazonable y arbitraria, debe ser inadmitida por falta de legitimación de la Comunidad Foral de Navarra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aquel al que hace referencia la presente queja.</w:t>
      </w:r>
    </w:p>
    <w:p w:rsidRPr="00C21FFE" w:rsidR="00AD51A7" w:rsidRDefault="008777C4">
      <w:pPr>
        <w:rPr/>
      </w:pPr>
      <w:r w:rsidRPr="&lt;w:rPr xmlns:w=&quot;http://schemas.openxmlformats.org/wordprocessingml/2006/main&quot;&gt;&lt;w:lang w:val=&quot;es-ES_tradnl&quot; /&gt;&lt;/w:rPr&gt;">
        <w:rP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Pr="00C21FFE" w:rsidR="00AD51A7" w:rsidRDefault="008777C4">
      <w:pPr>
        <w:rPr/>
      </w:pPr>
      <w:r w:rsidRPr="&lt;w:rPr xmlns:w=&quot;http://schemas.openxmlformats.org/wordprocessingml/2006/main&quot;&gt;&lt;w:lang w:val=&quot;es-ES_tradnl&quot; /&gt;&lt;/w:rPr&gt;">
        <w:rPr/>
        <w:t xml:space="preserve">La aducida violación del derecho a la utilización de los medios de prueba pertinentes para la defensa (art. 24.2 CE), por último, fue igualmente analizada en los tantas veces citados AATC 91/2003 y 105/2003, siendo rechazada la queja correspondiente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6 de mayo de 2002, mediante la que esta misma Sección acordó la inadmisión del recurso de amparo núm. 2623-2001.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