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8 de mayo de 2001 en el Registro General de este Tribunal, el Asesor Jurídico-Letrado de la Comunidad Foral de Navarra interpuso recurso de amparo contra la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había causado indefensión en la medida que se fundaba en una interpretación del art. 43.2 LJCA de 1956 que era en exceso rigurosa y formalista y contraria al principio de contradicción. Y, en el segundo, porque con su decisión de inadmisión del documento aportado en el citado trámite de alegaciones, la Sala sentenciadora le había impedido acreditar la existencia de la resolución sancionadora, objeto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 públicas la titularidad del derecho a la tutela judicial efectiva que garantiza el art. 24.1 CE, el presente recurso debe ser admitido a su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13 de junio de 2002, se acordó dar traslado del recurso de súplica a la representación procesal de la Administración recurrente en amparo para alegaciones. Con fecha 26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Pr="00C21FFE" w:rsidR="00AD51A7" w:rsidRDefault="008777C4">
      <w:pPr>
        <w:rPr/>
      </w:pPr>
      <w:r w:rsidRPr="&lt;w:rPr xmlns:w=&quot;http://schemas.openxmlformats.org/wordprocessingml/2006/main&quot;&gt;&lt;w:lang w:val=&quot;es-ES_tradnl&quot; /&gt;&lt;/w:rPr&gt;">
        <w:rPr/>
        <w:t xml:space="preserve">Como tampoco, por otra parte, puede decirse que la citada interpretación judicial viole el derecho a la utilización de los medios de prueba pertinentes para la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23 de mayo de 2002, mediante la que esta misma Sección acordó la inadmisión del recurso de amparo núm. 2622-2001.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