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4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26 de mayo de 2003, don Fernando Antonio Marzagón Villaluenga solicitó la designación de Procurador de los Tribunales del turno de oficio para interponer recurso de amparo contra las providencias de fecha 9 y 19 de mayo de 2003, dictadas por la Sección Quinta de la Audiencia Provincial de Vizcaya en el recurso de apelación núm. 116-2002.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16 de septiembre de 2003, se concedió a la Procuradora doña María Alicia Hernández Villa, designada del turno de oficio, el plazo de veinte días para que, bajo la dirección de la Letrada doña María José Alvarez Sánchez, formulara la demanda de amparo, lo que verificó mediante escrito que tuvo entrada en el Tribunal el 14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comunicación de fecha 3 de febrero de 2004, la Sala de lo Civil del Tribunal Supremo remitió testimonio del Auto de la misma fecha por el que se estimaba parcialmente el recurso de queja núm. 707-2003, interpuesto por el recurrente de amparo, declarando nula la providencia de 9 de mayo de 2003, dictada por la Sección Quinta de la Audiencia Provincial de Vizcaya en el rollo de apelación núm. 116-2002.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abril de 2004, la Sección acuerda dar traslado al Ministerio Fiscal y al recurrente de amparo para que, en el plazo de diez días, aleguen lo que estimen oportuno en relación con la posible pérdida sobrevenida del objeto del presente recurso de amparo, a la vista del Auto de 3 de febrero de 2004 de la Sala de lo Civil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dictamen que tuvo entrada en el Tribunal el 26 de abril pasado, considera que procede acordar el archivo del proceso por carencia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Procuradora Sra. Hernández Villa, por escrito presentado el 29 de abril de 2004, manifiesta que concurre la pérdida sobrevenida del objeto de este recurso a la vista del mencionado Auto.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aún cuando no contemplada expresamente en el art. 86.1 LOTC, ha sido admitida por este Tribunal como forma de terminación de los distintos procesos constitucionales (AATC 282/2003, de 15 de septiembre, y 30/2004, de 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anteriormente expuesto se desprende que el presente recurso de amparo carece de objeto, pues ha desaparecido de manera sobrevenida a la presentación de la demanda de amparo, como consecuencia de la actuación de la Sala de lo Civil del Tribunal Supremo al dictar el Auto de 3 de febrero de 2004, la vulneración de derechos fundamentales denunciada en la demanda antes de que este Tribunal se pronunciase sobre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concluido por falta de objeto el recurso de amparo núm. 3394- 2003.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