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junio de 2002, doña Montserrat Sorribes Calle, Procuradora de los Tribunales, asistida del Abogado don Gonzalo Hernández Hernández, interpuso recurso de amparo en nombre de Sociedad Operadora del Futbolín, S.L. contra la resolución de la que se hace mérito en el encabezamiento, así como contra el acto administrativo confirmado por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los que seguidamente se reseñan: </w:t>
      </w:r>
    </w:p>
    <w:p w:rsidRPr="00C21FFE" w:rsidR="00AD51A7" w:rsidRDefault="008777C4">
      <w:pPr>
        <w:rPr/>
      </w:pPr>
      <w:r w:rsidRPr="&lt;w:rPr xmlns:w=&quot;http://schemas.openxmlformats.org/wordprocessingml/2006/main&quot;&gt;&lt;w:lang w:val=&quot;es-ES_tradnl&quot; /&gt;&lt;/w:rPr&gt;">
        <w:rPr/>
        <w:t xml:space="preserve">a) El 16 de agosto de 2001 el Consejero de Interior de la Generalidad de Cataluña dictó resolución por la que impuso a la entidad mercantil ahora demandante de amparo una multa de 3005,56 euros. Según se consigna en el hecho primero de dicha resolución, “en fecha 6 de abril de 2001 se dictó acuerdo de inicio de expediente sancionador contra la empresa explotadora Sociedad Operadora del Futbolín, S.L., en virtud del acta levantada en fecha 17 de enero de 2001 por los agentes de la policía de la Generalidad-Mossos d’Esquadra en inspección realizada en el local denominado Bar Munich, en el Bloque Santo Tomás, escalera B, de Sant Pere i Sant Pau, de Tarragona, al haberse comprobado que en el mencionado local había instalada y en funcionamiento una máquina modelo CRANESAURUS PLUS, propiedad de la empresa explotadora Sociedad Operadora del Futbolín, S.L. que dispensaba objetos de valor superior al del importe necesario para utilizarla, así como otros de valor sensiblemente inferior a este importe”. </w:t>
      </w:r>
    </w:p>
    <w:p w:rsidRPr="00C21FFE" w:rsidR="00AD51A7" w:rsidRDefault="008777C4">
      <w:pPr>
        <w:rPr/>
      </w:pPr>
      <w:r w:rsidRPr="&lt;w:rPr xmlns:w=&quot;http://schemas.openxmlformats.org/wordprocessingml/2006/main&quot;&gt;&lt;w:lang w:val=&quot;es-ES_tradnl&quot; /&gt;&lt;/w:rPr&gt;">
        <w:rPr/>
        <w:t xml:space="preserve">Se descarta que concurra la excepción del art. 2.a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dicha máquina suponía que “dispensaba objetos de un valor que no se corresponde con el del importe depositado”. De donde se deduce que la máquina no puede entenderse excluida, siéndole de aplicación la Ley 1/1991, de 27 de febrero, reguladora del Régimen sancionador del juego en Cataluña, sancionándose a la empresa por la comisión de una falta muy grave tipificada en el art. 3.c de dicha Ley, consistente en “incumplir órdenes, mandatos y prohibiciones previstas por la normativa vigente o contenidas en las autorizaciones específicas e incumplir actos administrativos de ejecución” por incumplimiento de lo dispuesto en el art. 2.a del Reglamento citado. </w:t>
      </w:r>
    </w:p>
    <w:p w:rsidRPr="00C21FFE" w:rsidR="00AD51A7" w:rsidRDefault="008777C4">
      <w:pPr>
        <w:rPr/>
      </w:pPr>
      <w:r w:rsidRPr="&lt;w:rPr xmlns:w=&quot;http://schemas.openxmlformats.org/wordprocessingml/2006/main&quot;&gt;&lt;w:lang w:val=&quot;es-ES_tradnl&quot; /&gt;&lt;/w:rPr&gt;">
        <w:rPr/>
        <w:t xml:space="preserve">b) Contra esta sanción se interpuso recurso contencioso-administrativo. En el escrito de demanda se adujo la vulneración de los principios de legalidad y tipicidad, puesto que el art. 2.a del Reglamento no contiene ninguna obligación o mandato, por lo que no resulta idóneo para integrar el tipo del art. 3.c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12 de Barcelona, mediante Sentencia de 23 de mayo de 2002, desestimó el recurso en su integridad. En dicha resolución, tras señalarse que la cuestión ha sido objeto de otros pronunciamientos anteriores, todos ellos desestimatorios, porque se entendió que se trataba de la explotación de una máquina de juego sin la obtención de la autorización administrativa previa, se rechaza la vulneración del principio de legalidad sancionadora puesto que “si bien la resolución impugnada carece de la debida claridad expositiva, al hacer recaer su motivación en una doble negación –esta es, que la máquina no cumple los requisitos para su no afectación por el Reglamento de máquinas recreativas-, a la vez que tan sólo implícitamente alude a lo que constituye la premisa mayor del silogismo –que las máquinas expendedoras que incluyen elemento de juego, envite o azar deben ser homologadas e inscritas como recreativas tipo ‘B’ y, por tanto, sometidas a su régimen normativo de solicitud y autorización previa de explotación-, de ello no cabe deducir que la explotación de la máquina grúa en la forma descrita en la demanda no suponga incumplimiento de las obligaciones formales y materiales que para las máquinas recreativas establece el Reglamento de aplicación, o de las prohibiciones para el caso contrario impuestas [...] que es precisamente en lo que consiste la infracción por la que fue sancionada, ni así tampoco falta de conocimiento completo de la imputación, pues en todo caso su destinatario pudo colegir del antecedente de hecho primero de la resolución que la infracción consistía en la instalación y funcionamiento de una máquina tipo grúa que dispensaba bien objetos de valor superior al precio para su utilización, bien otros de valor sensiblemente inferior a ese importe, así como, de sus consideraciones jurídicas segunda y tercera, que dicha máquina en razón de la forma de su utilización no quedaba dispensada de la regulación del Reglamento de máquinas recreativas, mas que, por todo ello, se había incurrido en una infracción muy grave consistente en el incumplimiento de las prohibiciones establecidas en la normativa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2.a del Reglamento - que no tipifica la conducta sancionada, quebrantándose de este modo el derecho a la legalidad sancionadora proclamado por el art. 25.1 CE, al no respetarse los principios de legalidad y tipicidad. Por lo que hace a la Sentencia del Juzgado de lo Contencioso-administrativo núm. 12 de Barcelona se denuncia la vulneración de los arts. 24 y 25 CE “al no respetar dicha Sentencia los principios de congruencia judicial, seguridad jurídica, defensa efectiva y, en especial, el principio acusatorio”. </w:t>
      </w:r>
    </w:p>
    <w:p w:rsidRPr="00C21FFE" w:rsidR="00AD51A7" w:rsidRDefault="008777C4">
      <w:pPr>
        <w:rPr/>
      </w:pPr>
      <w:r w:rsidRPr="&lt;w:rPr xmlns:w=&quot;http://schemas.openxmlformats.org/wordprocessingml/2006/main&quot;&gt;&lt;w:lang w:val=&quot;es-ES_tradnl&quot; /&gt;&lt;/w:rPr&gt;">
        <w:rPr/>
        <w:t xml:space="preserve">La recurrente se queja de que en ningún momento del procedimiento sancionador se le reprochó el incumplimiento de lo dispuesto en el art. 4.2.1 del Reglamento, conforme al cual, “deberán ser homologadas e inscritas como modelos de máquinas tipo B, las máquinas expendedoras que incluyan algún elemento de juego, apuesta, envite o azar”. Antes bien, el tipo se integró con los arts. 3.c de la Ley 1/1991, de acuerdo al cual es infracción muy grave el incumplimiento de “órdenes, mandatos y prohibiciones previstas por la normativa vigente”, y 2.a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ha integrado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octubre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mercantil recurrente se presentó en este Tribunal el 31 de octubre de 2003. En dicho escrito se reiteran las razones por las cuales la demandante de amparo entiende que la Sentencia vulneró su derecho a obtener la tutela judicial efectiva. Considera que el Juzgado incurrió en arbitrariedad al confirmar la sanción administrativa impugnada en base a un hecho (falta de homologación de inscripción de la máquina) y a un precepto legal (art. 4.2.1 del Reglamento) distintos al hecho y al precepto legal que fueron objeto del acto administrativo recurrido. Alegó igualmente que once Juzgados de lo Contencioso-Administrativo de Barcelona apreciaron en recursos contencioso-administrativos idénticos que el hecho imputado no era constitutivo de ningún ilícito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noviembre de 2003 tuvo entrada en el Registro General de este Tribunal Constitucional el escrito de alegaciones del Ministerio Fiscal, quien interesa la inadmisión del recurso de amparo. </w:t>
      </w:r>
    </w:p>
    <w:p w:rsidRPr="00C21FFE" w:rsidR="00AD51A7" w:rsidRDefault="008777C4">
      <w:pPr>
        <w:rPr/>
      </w:pPr>
      <w:r w:rsidRPr="&lt;w:rPr xmlns:w=&quot;http://schemas.openxmlformats.org/wordprocessingml/2006/main&quot;&gt;&lt;w:lang w:val=&quot;es-ES_tradnl&quot; /&gt;&lt;/w:rPr&gt;">
        <w:rP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Pr="00C21FFE" w:rsidR="00AD51A7" w:rsidRDefault="008777C4">
      <w:pPr>
        <w:rPr/>
      </w:pPr>
      <w:r w:rsidRPr="&lt;w:rPr xmlns:w=&quot;http://schemas.openxmlformats.org/wordprocessingml/2006/main&quot;&gt;&lt;w:lang w:val=&quot;es-ES_tradnl&quot; /&gt;&lt;/w:rPr&gt;">
        <w:rPr/>
        <w:t xml:space="preserve">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resolución del Consejero de Interior de la Generalidad de Cataluña de 16 de agosto de 2001, por la que se impuso a la entidad Sociedad Operadora del Futbolín, S.L una sanción de 3.005,56 euros por la comisión de una infracción en materia de juego, y la Sentencia del Juzgado de lo Contencioso-Administrativo núm. 12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achaca a las resoluciones impugnadas la vulneración del derecho a la legalidad sancionadora (art. 25.1 CE). Esta queja presenta una doble vertiente, en función del objeto contra el que se dirija.</w:t>
      </w:r>
    </w:p>
    <w:p w:rsidRPr="00C21FFE" w:rsidR="00AD51A7" w:rsidRDefault="008777C4">
      <w:pPr>
        <w:rPr/>
      </w:pPr>
      <w:r w:rsidRPr="&lt;w:rPr xmlns:w=&quot;http://schemas.openxmlformats.org/wordprocessingml/2006/main&quot;&gt;&lt;w:lang w:val=&quot;es-ES_tradnl&quot; /&gt;&lt;/w:rPr&gt;">
        <w:rPr/>
        <w:t xml:space="preserve">Así, por lo que se refiere a la resolución administrativa sancionadora, denuncia la recurrente que carece de la mínima identificación del tipo infractor que se habría cometido, toda vez que la mención al art. 3.c de la Ley 1/1991, de 27 de febrero, reguladora del Régimen sancionador del juego en Cataluña, que califica como infracción muy grave el incumplimiento de “órdenes, mandatos y prohibiciones previstas por la normativa vigente”, se completa con la cita del art. 2.a del citado Reglamento, siendo así que en este precepto reglamentario no se formula ninguna orden, mandato o prohibición, sino que se limita a excluir del ámbito de aplicación del Reglamento las máquinas expendedoras de productos.</w:t>
      </w:r>
    </w:p>
    <w:p w:rsidRPr="00C21FFE" w:rsidR="00AD51A7" w:rsidRDefault="008777C4">
      <w:pPr>
        <w:rPr/>
      </w:pPr>
      <w:r w:rsidRPr="&lt;w:rPr xmlns:w=&quot;http://schemas.openxmlformats.org/wordprocessingml/2006/main&quot;&gt;&lt;w:lang w:val=&quot;es-ES_tradnl&quot; /&gt;&lt;/w:rPr&gt;">
        <w:rPr/>
        <w:t xml:space="preserve">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Pr="00C21FFE" w:rsidR="00AD51A7" w:rsidRDefault="008777C4">
      <w:pPr>
        <w:rPr/>
      </w:pPr>
      <w:r w:rsidRPr="&lt;w:rPr xmlns:w=&quot;http://schemas.openxmlformats.org/wordprocessingml/2006/main&quot;&gt;&lt;w:lang w:val=&quot;es-ES_tradnl&quot; /&gt;&lt;/w:rPr&gt;">
        <w:rPr/>
        <w:t xml:space="preserve">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Pr="00C21FFE" w:rsidR="00AD51A7" w:rsidRDefault="008777C4">
      <w:pPr>
        <w:rPr/>
      </w:pPr>
      <w:r w:rsidRPr="&lt;w:rPr xmlns:w=&quot;http://schemas.openxmlformats.org/wordprocessingml/2006/main&quot;&gt;&lt;w:lang w:val=&quot;es-ES_tradnl&quot; /&gt;&lt;/w:rPr&gt;">
        <w:rPr/>
        <w:t xml:space="preserve">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Pr="00C21FFE" w:rsidR="00AD51A7" w:rsidRDefault="008777C4">
      <w:pPr>
        <w:rPr/>
      </w:pPr>
      <w:r w:rsidRPr="&lt;w:rPr xmlns:w=&quot;http://schemas.openxmlformats.org/wordprocessingml/2006/main&quot;&gt;&lt;w:lang w:val=&quot;es-ES_tradnl&quot; /&gt;&lt;/w:rPr&gt;">
        <w:rPr/>
        <w:t xml:space="preserve">Pues bien, el examen del presente caso a la luz de la doctrina expuesta pone de manifiesto la carencia de relevancia constitucional de la queja. En este caso existía una norma sancionadora previa, como es el art. 3.c de la Ley 1/1991, de 27 de febrero, que considera falta 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 su Reglamento de ejecución y, específicamente, al precepto del mismo que determinaba que su conducta quedara sujeta a la normativa citada. La ausencia de una referencia explícita al incumplimiento del deber de homologación de la máquina, contenido en el art. 4.2.1 del Reglamento citado,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carece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Sentencia del Juzgado de lo Contencioso-Administrativo núm. 12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el punto de vista del art. 24 CE la queja frente a la Sentencia consiste en que, no obstante reconocer, según dice la demandante, la falta de tipicidad de la conducta imputada en el art. 2.a del Reglamento, y haciendo caso omiso de los términos en que habría quedado planteado el debate litigioso, aquella Sentencia se fundó en el incumplimiento de la homologación, tipificado en el art. 4.2.1 del citado Reglamento. Considera la demandante que el Juzgado ha fallado en su contra dando a la sanción impuesta un fundamento fáctico (la falta de homologación e inscripción de la máquina) y un amparo normativo (el art. 4.2.1 del citado Reglamento)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por la definición de la conducta infractora que se aprecia y su subsunción en un concreto tipo infractor y por la consecuencia punitiva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Pr="00C21FFE" w:rsidR="00AD51A7" w:rsidRDefault="008777C4">
      <w:pPr>
        <w:rPr/>
      </w:pPr>
      <w:r w:rsidRPr="&lt;w:rPr xmlns:w=&quot;http://schemas.openxmlformats.org/wordprocessingml/2006/main&quot;&gt;&lt;w:lang w:val=&quot;es-ES_tradnl&quot; /&gt;&lt;/w:rPr&gt;">
        <w:rPr/>
        <w:t xml:space="preserve">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significaban, un incumplimiento del art. 2.a del Reglamento. Ello supone, a juicio del órgano sancionador, la comisión de la infracción muy grave recogida en el art. 3.c de la Ley 1/1991, de 27 de febrero.</w:t>
      </w:r>
    </w:p>
    <w:p w:rsidRPr="00C21FFE" w:rsidR="00AD51A7" w:rsidRDefault="008777C4">
      <w:pPr>
        <w:rPr/>
      </w:pPr>
      <w:r w:rsidRPr="&lt;w:rPr xmlns:w=&quot;http://schemas.openxmlformats.org/wordprocessingml/2006/main&quot;&gt;&lt;w:lang w:val=&quot;es-ES_tradnl&quot; /&gt;&lt;/w:rPr&gt;">
        <w:rPr/>
        <w:t xml:space="preserve">La Sentencia del Juzgado de lo Contencioso-administrativo núm. 12 de Barcelona no fue, pues, la que sustentó ex post la decisión administrativa. No puede decirse que la Sentencia suministre una motivación que la resolución sancionadora habría omitido. De haberlo hecho en respuesta a la impugnación contencioso-administrativa, el proceder del órgano jurisdiccional no podría reputarse constitucionalmente lícito,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Pr="00C21FFE" w:rsidR="00AD51A7" w:rsidRDefault="008777C4">
      <w:pPr>
        <w:rPr/>
      </w:pPr>
      <w:r w:rsidRPr="&lt;w:rPr xmlns:w=&quot;http://schemas.openxmlformats.org/wordprocessingml/2006/main&quot;&gt;&lt;w:lang w:val=&quot;es-ES_tradnl&quot; /&gt;&lt;/w:rPr&gt;">
        <w:rPr/>
        <w:t xml:space="preserve">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Pr="00C21FFE" w:rsidR="00AD51A7" w:rsidRDefault="008777C4">
      <w:pPr>
        <w:rPr/>
      </w:pPr>
      <w:r w:rsidRPr="&lt;w:rPr xmlns:w=&quot;http://schemas.openxmlformats.org/wordprocessingml/2006/main&quot;&gt;&lt;w:lang w:val=&quot;es-ES_tradnl&quot; /&gt;&lt;/w:rPr&gt;">
        <w:rPr/>
        <w:t xml:space="preserve">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Pr="00C21FFE" w:rsidR="00AD51A7" w:rsidRDefault="008777C4">
      <w:pPr>
        <w:rPr/>
      </w:pPr>
      <w:r w:rsidRPr="&lt;w:rPr xmlns:w=&quot;http://schemas.openxmlformats.org/wordprocessingml/2006/main&quot;&gt;&lt;w:lang w:val=&quot;es-ES_tradnl&quot; /&gt;&lt;/w:rPr&gt;">
        <w:rPr/>
        <w:t xml:space="preserve">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después de dar por buena la descripción de hechos de la resolución administrativa y constatar que la demandante no los había contradicho (fundamento jurídico tercero), y admitir que la resolución administrativa carece de la debida claridad expositiva, asume la subsunción de la conducta de la demandante en el tipo de infracción administrativa que en ella se había efectuado (fundamento jurídico cuarto), después de explicitar su sentido real y su motivación, motivación que, como ya se ha razonado, es respetuosa del art. 25.1 CE. En efecto, la Sentencia viene a confirmar el criterio administrativo de que la explotación de la máquina de la demandante, por sus características, no quedaba dispensada, por razón de lo dispuesto en su art. 2, de la regulación del Reglamento citado, de todo él, y en concreto de sus exigencias de homologación e inscripción, exigencias que no habrían sido cumplidas, pues la máquina era operada sin haberlas cumplido, motivando con ello la comisión de la infracción prevista en el art. 3.c de la Ley 1/1991, de 27 de febrero, que fue el invocado por la Administración en su resolución.</w:t>
      </w:r>
    </w:p>
    <w:p w:rsidRPr="00C21FFE" w:rsidR="00AD51A7" w:rsidRDefault="008777C4">
      <w:pPr>
        <w:rPr/>
      </w:pPr>
      <w:r w:rsidRPr="&lt;w:rPr xmlns:w=&quot;http://schemas.openxmlformats.org/wordprocessingml/2006/main&quot;&gt;&lt;w:lang w:val=&quot;es-ES_tradnl&quot; /&gt;&lt;/w:rPr&gt;">
        <w:rPr/>
        <w:t xml:space="preserve">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esta ocasión, habiéndose limitado el Juzgado a hacer explícito lo que estuvo implícito en el curso de todo el expediente sancionador, cual era el incumplimiento del primer deber que dimanaba del sometimiento de la máquina al Reglamento: su homologación. Ni se buscó otra norma que 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podemos, pues, sino, en virtud de lo dispuesto en el art. 50.1.c LOTC, inadmitir la demanda por su evidente carencia de contenido constitucional, según apreciamos inicialmente en la providencia de 27 de octubre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